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333-235532</w:t>
      </w:r>
    </w:p>
    <w:p>
      <w:pPr>
        <w:spacing w:after="0" w:line="136"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Prospectus Supplement</w:t>
      </w:r>
    </w:p>
    <w:p>
      <w:pPr>
        <w:spacing w:after="0" w:line="25"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To the Prospectus dated January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2465070</wp:posOffset>
            </wp:positionH>
            <wp:positionV relativeFrom="paragraph">
              <wp:posOffset>58420</wp:posOffset>
            </wp:positionV>
            <wp:extent cx="2219960" cy="514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$100,000,000</w:t>
      </w:r>
    </w:p>
    <w:p>
      <w:pPr>
        <w:spacing w:after="0" w:line="9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4.25% Notes due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140335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50" w:lineRule="exact"/>
        <w:rPr>
          <w:sz w:val="24"/>
          <w:szCs w:val="24"/>
          <w:color w:val="auto"/>
        </w:rPr>
      </w:pPr>
    </w:p>
    <w:p>
      <w:pPr>
        <w:ind w:left="120" w:right="140"/>
        <w:spacing w:after="0" w:line="233" w:lineRule="auto"/>
        <w:rPr>
          <w:sz w:val="20"/>
          <w:szCs w:val="20"/>
          <w:color w:val="auto"/>
        </w:rPr>
      </w:pPr>
      <w:r>
        <w:rPr>
          <w:rFonts w:ascii="Arial" w:cs="Arial" w:eastAsia="Arial" w:hAnsi="Arial"/>
          <w:sz w:val="14"/>
          <w:szCs w:val="14"/>
          <w:color w:val="auto"/>
        </w:rPr>
        <w:t>PennantPark Floating Rate Capital Ltd. is offering for sale $100 million in aggregate principal amount of 4.25% notes due 2026, which we refer to as the Notes. The Notes will mature on April 1, 2026. We will pay interest on the Notes on April 1 and October 1 of each year, beginning on October 1, 2021. We may redeem the Notes in whole or in part at any time or from time to time at the redemption price discussed under the caption “</w:t>
      </w:r>
      <w:r>
        <w:rPr>
          <w:rFonts w:ascii="Arial" w:cs="Arial" w:eastAsia="Arial" w:hAnsi="Arial"/>
          <w:sz w:val="14"/>
          <w:szCs w:val="14"/>
          <w:i w:val="1"/>
          <w:iCs w:val="1"/>
          <w:color w:val="auto"/>
        </w:rPr>
        <w:t>The Offering—Optional redemption</w:t>
      </w:r>
      <w:r>
        <w:rPr>
          <w:rFonts w:ascii="Arial" w:cs="Arial" w:eastAsia="Arial" w:hAnsi="Arial"/>
          <w:sz w:val="14"/>
          <w:szCs w:val="14"/>
          <w:color w:val="auto"/>
        </w:rPr>
        <w:t>” in this prospectus supplement. The Notes will be issued in minimum denominations of $2,000 and integral multiples of $1,000 in excess thereof.</w:t>
      </w:r>
    </w:p>
    <w:p>
      <w:pPr>
        <w:spacing w:after="0" w:line="23" w:lineRule="exact"/>
        <w:rPr>
          <w:sz w:val="24"/>
          <w:szCs w:val="24"/>
          <w:color w:val="auto"/>
        </w:rPr>
      </w:pPr>
    </w:p>
    <w:p>
      <w:pPr>
        <w:ind w:left="120" w:right="60"/>
        <w:spacing w:after="0" w:line="245" w:lineRule="auto"/>
        <w:rPr>
          <w:sz w:val="20"/>
          <w:szCs w:val="20"/>
          <w:color w:val="auto"/>
        </w:rPr>
      </w:pPr>
      <w:r>
        <w:rPr>
          <w:rFonts w:ascii="Arial" w:cs="Arial" w:eastAsia="Arial" w:hAnsi="Arial"/>
          <w:sz w:val="13"/>
          <w:szCs w:val="13"/>
          <w:color w:val="auto"/>
        </w:rPr>
        <w:t xml:space="preserve">The Notes will be our direct unsecured obligations and rank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with any current and future unsecured unsubordinated indebtedness issued by PennantPark Floating Rate Capital Ltd. Because the Notes will not be secured by any of our assets, they will be effectively subordinated to all of our existing and future secured indebtedness (or any indebtedness that is initially unsecured as to which we subsequently grant a security interest) to the extent of the value of the assets securing such indebtedness. The Notes will be structurally subordinated to all existing and future indebtedness and other obligations of any of our subsidiaries because the Notes will be obligations exclusively of PennantPark Floating Rate Capital Ltd. and not of any of our subsidiaries. The Notes will be senior in right of payment to any future outstanding series of our preferred stock. None of our subsidiaries is a guarantor of the Notes and the Notes will not be required to be guaranteed by any subsidiary we may acquire or create in the future. As of December 31, 2020, we had $602.7 million of debt outstanding, of which $117.8 million was unsecured and unsubordinated indebtedness and $484.9 million was secured indebtedness. None of our current indebtedness will be subordinated to the Notes. Currently, there is no public market for the Notes. We do not intend to list the Notes on any securities exchange or automated dealer quotation system.</w:t>
      </w:r>
    </w:p>
    <w:p>
      <w:pPr>
        <w:spacing w:after="0" w:line="21" w:lineRule="exact"/>
        <w:rPr>
          <w:sz w:val="24"/>
          <w:szCs w:val="24"/>
          <w:color w:val="auto"/>
        </w:rPr>
      </w:pPr>
    </w:p>
    <w:p>
      <w:pPr>
        <w:ind w:left="120" w:right="280"/>
        <w:spacing w:after="0" w:line="248" w:lineRule="auto"/>
        <w:rPr>
          <w:sz w:val="20"/>
          <w:szCs w:val="20"/>
          <w:color w:val="auto"/>
        </w:rPr>
      </w:pPr>
      <w:r>
        <w:rPr>
          <w:rFonts w:ascii="Arial" w:cs="Arial" w:eastAsia="Arial" w:hAnsi="Arial"/>
          <w:sz w:val="13"/>
          <w:szCs w:val="13"/>
          <w:color w:val="auto"/>
        </w:rPr>
        <w:t>PennantPark Floating Rate Capital Ltd., a Maryland corporation, is a closed-end, externally managed, non-diversified investment company that has elected to be treated as a business development company, or BDC, under the Investment Company Act of 1940, as amended, or the 1940 Act. Our investment objectives are to generate both current income and capital appreciation while seeking to preserve capital. We seek to achieve our investment objectives by investing primarily in loans bearing variable rates of interest, or Floating Rate Loans, and other investments made to U.S. middle-market private companies whose debt is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We are externally managed by PennantPark Investment Advisers, LLC. PennantPark Investment Administration, LLC provides the administrative services necessary for us to operate.</w:t>
      </w:r>
    </w:p>
    <w:p>
      <w:pPr>
        <w:spacing w:after="0" w:line="18" w:lineRule="exact"/>
        <w:rPr>
          <w:sz w:val="24"/>
          <w:szCs w:val="24"/>
          <w:color w:val="auto"/>
        </w:rPr>
      </w:pPr>
    </w:p>
    <w:p>
      <w:pPr>
        <w:ind w:left="120" w:right="40"/>
        <w:spacing w:after="0" w:line="247" w:lineRule="auto"/>
        <w:rPr>
          <w:sz w:val="20"/>
          <w:szCs w:val="20"/>
          <w:color w:val="auto"/>
        </w:rPr>
      </w:pPr>
      <w:r>
        <w:rPr>
          <w:rFonts w:ascii="Arial" w:cs="Arial" w:eastAsia="Arial" w:hAnsi="Arial"/>
          <w:sz w:val="13"/>
          <w:szCs w:val="13"/>
          <w:color w:val="auto"/>
        </w:rPr>
        <w:t>This prospectus supplement, the accompanying prospectus, any free writing prospectus, and the documents incorporated by reference in this prospectus supplement and the accompanying prospectus, contain important information you should know before investing in our securities. Please read this prospectus supplement, the accompanying prospectus, and any free writing prospectus, and the documents incorporated by reference in this prospectus supplement and the accompanying prospectus,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15</w:t>
      </w:r>
      <w:r>
        <w:rPr>
          <w:rFonts w:ascii="Arial" w:cs="Arial" w:eastAsia="Arial" w:hAnsi="Arial"/>
          <w:sz w:val="11"/>
          <w:szCs w:val="11"/>
          <w:color w:val="auto"/>
        </w:rPr>
        <w:t>th</w:t>
      </w:r>
      <w:r>
        <w:rPr>
          <w:rFonts w:ascii="Arial" w:cs="Arial" w:eastAsia="Arial" w:hAnsi="Arial"/>
          <w:sz w:val="13"/>
          <w:szCs w:val="13"/>
          <w:color w:val="auto"/>
        </w:rPr>
        <w:t xml:space="preserve"> Floor, New York, NY 10022, by calling us collect at (212) 905-1000 or by visiting our website at </w:t>
      </w:r>
      <w:r>
        <w:rPr>
          <w:rFonts w:ascii="Arial" w:cs="Arial" w:eastAsia="Arial" w:hAnsi="Arial"/>
          <w:sz w:val="13"/>
          <w:szCs w:val="13"/>
          <w:i w:val="1"/>
          <w:iCs w:val="1"/>
          <w:u w:val="single" w:color="auto"/>
          <w:color w:val="auto"/>
        </w:rPr>
        <w:t>www.pennantpark.com</w:t>
      </w:r>
      <w:r>
        <w:rPr>
          <w:rFonts w:ascii="Arial" w:cs="Arial" w:eastAsia="Arial" w:hAnsi="Arial"/>
          <w:sz w:val="13"/>
          <w:szCs w:val="13"/>
          <w:color w:val="auto"/>
        </w:rPr>
        <w:t xml:space="preserve">. Except for the documents incorporated by reference into this prospectus supplement and the accompanying prospectus, the information on our website is not part of this prospectus supplement or the accompanying prospectus. The SEC also maintains a website at </w:t>
      </w:r>
      <w:r>
        <w:rPr>
          <w:rFonts w:ascii="Arial" w:cs="Arial" w:eastAsia="Arial" w:hAnsi="Arial"/>
          <w:sz w:val="13"/>
          <w:szCs w:val="13"/>
          <w:i w:val="1"/>
          <w:iCs w:val="1"/>
          <w:u w:val="single" w:color="auto"/>
          <w:color w:val="auto"/>
        </w:rPr>
        <w:t>www.sec.gov</w:t>
      </w:r>
      <w:r>
        <w:rPr>
          <w:rFonts w:ascii="Arial" w:cs="Arial" w:eastAsia="Arial" w:hAnsi="Arial"/>
          <w:sz w:val="13"/>
          <w:szCs w:val="13"/>
          <w:color w:val="auto"/>
        </w:rPr>
        <w:t xml:space="preserve"> that contains such information free of charge.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99695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2" w:lineRule="exact"/>
        <w:rPr>
          <w:sz w:val="24"/>
          <w:szCs w:val="24"/>
          <w:color w:val="auto"/>
        </w:rPr>
      </w:pPr>
    </w:p>
    <w:p>
      <w:pPr>
        <w:ind w:left="120" w:right="200"/>
        <w:spacing w:after="0" w:line="258"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the Notes involves a high degree of risk, including the risk of leverage. Before buying any of the Notes, you should read the discussion of the material risks of investing in us in “</w:t>
      </w:r>
      <w:hyperlink w:anchor="page14">
        <w:r>
          <w:rPr>
            <w:rFonts w:ascii="Arial" w:cs="Arial" w:eastAsia="Arial" w:hAnsi="Arial"/>
            <w:sz w:val="17"/>
            <w:szCs w:val="17"/>
            <w:b w:val="1"/>
            <w:bCs w:val="1"/>
            <w:u w:val="single" w:color="auto"/>
            <w:color w:val="0000EE"/>
          </w:rPr>
          <w:t>Risk Factors</w:t>
        </w:r>
      </w:hyperlink>
      <w:r>
        <w:rPr>
          <w:rFonts w:ascii="Arial" w:cs="Arial" w:eastAsia="Arial" w:hAnsi="Arial"/>
          <w:sz w:val="17"/>
          <w:szCs w:val="17"/>
          <w:b w:val="1"/>
          <w:bCs w:val="1"/>
          <w:color w:val="auto"/>
        </w:rPr>
        <w:t>” beginning on page S-12 of this prospectus supplement and page 7 of the accompanying prospectus, in our most recent Annual Report on Form 10-K, in our most recent Quarterly Report on Form 10-Q and in any of our other filings with the SEC incorporated by reference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106045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2" w:lineRule="exact"/>
        <w:rPr>
          <w:sz w:val="24"/>
          <w:szCs w:val="24"/>
          <w:color w:val="auto"/>
        </w:rPr>
      </w:pPr>
    </w:p>
    <w:p>
      <w:pPr>
        <w:ind w:left="120" w:right="180"/>
        <w:spacing w:after="0" w:line="258" w:lineRule="auto"/>
        <w:rPr>
          <w:sz w:val="20"/>
          <w:szCs w:val="20"/>
          <w:color w:val="auto"/>
        </w:rPr>
      </w:pPr>
      <w:r>
        <w:rPr>
          <w:rFonts w:ascii="Arial" w:cs="Arial" w:eastAsia="Arial" w:hAnsi="Arial"/>
          <w:sz w:val="14"/>
          <w:szCs w:val="14"/>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103505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7" w:lineRule="exact"/>
        <w:rPr>
          <w:sz w:val="24"/>
          <w:szCs w:val="24"/>
          <w:color w:val="auto"/>
        </w:rPr>
      </w:pPr>
    </w:p>
    <w:p>
      <w:pPr>
        <w:ind w:left="120" w:right="140"/>
        <w:spacing w:after="0" w:line="258" w:lineRule="auto"/>
        <w:rPr>
          <w:sz w:val="20"/>
          <w:szCs w:val="20"/>
          <w:color w:val="auto"/>
        </w:rPr>
      </w:pPr>
      <w:r>
        <w:rPr>
          <w:rFonts w:ascii="Arial" w:cs="Arial" w:eastAsia="Arial" w:hAnsi="Arial"/>
          <w:sz w:val="14"/>
          <w:szCs w:val="14"/>
          <w:b w:val="1"/>
          <w:bCs w:val="1"/>
          <w:color w:val="auto"/>
        </w:rPr>
        <w:t>THE NOTES ARE NOT DEPOSITS OR OTHER OBLIGATIONS OF A BANK AND ARE NOT INSURED BY THE FEDERAL DEPOSIT INSURANCE CORPORATION OR ANY OTHER GOVERNMENT AGENCY.</w:t>
      </w:r>
    </w:p>
    <w:p>
      <w:pPr>
        <w:spacing w:after="0" w:line="23" w:lineRule="exact"/>
        <w:rPr>
          <w:sz w:val="24"/>
          <w:szCs w:val="24"/>
          <w:color w:val="auto"/>
        </w:rPr>
      </w:pPr>
    </w:p>
    <w:tbl>
      <w:tblPr>
        <w:tblLayout w:type="fixed"/>
        <w:tblInd w:w="1440" w:type="dxa"/>
        <w:tblCellMar>
          <w:top w:w="0" w:type="dxa"/>
          <w:left w:w="0" w:type="dxa"/>
          <w:bottom w:w="0" w:type="dxa"/>
          <w:right w:w="0" w:type="dxa"/>
        </w:tblCellMar>
      </w:tblPr>
      <w:tr>
        <w:trPr>
          <w:trHeight w:val="153"/>
        </w:trPr>
        <w:tc>
          <w:tcPr>
            <w:tcW w:w="654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5"/>
              </w:rPr>
              <w:t>Per Note</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CCEEFF"/>
            </w:tcBorders>
          </w:tcPr>
          <w:p>
            <w:pPr>
              <w:spacing w:after="0"/>
              <w:rPr>
                <w:sz w:val="13"/>
                <w:szCs w:val="13"/>
                <w:color w:val="auto"/>
              </w:rPr>
            </w:pPr>
          </w:p>
        </w:tc>
      </w:tr>
      <w:tr>
        <w:trPr>
          <w:trHeight w:val="142"/>
        </w:trPr>
        <w:tc>
          <w:tcPr>
            <w:tcW w:w="65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Public offering price(1)</w:t>
            </w:r>
          </w:p>
        </w:tc>
        <w:tc>
          <w:tcPr>
            <w:tcW w:w="820" w:type="dxa"/>
            <w:vAlign w:val="bottom"/>
            <w:gridSpan w:val="2"/>
            <w:shd w:val="clear" w:color="auto" w:fill="CCEEFF"/>
          </w:tcPr>
          <w:p>
            <w:pPr>
              <w:jc w:val="right"/>
              <w:ind w:right="220"/>
              <w:spacing w:after="0" w:line="142" w:lineRule="exact"/>
              <w:rPr>
                <w:sz w:val="20"/>
                <w:szCs w:val="20"/>
                <w:color w:val="auto"/>
              </w:rPr>
            </w:pPr>
            <w:r>
              <w:rPr>
                <w:rFonts w:ascii="Arial" w:cs="Arial" w:eastAsia="Arial" w:hAnsi="Arial"/>
                <w:sz w:val="14"/>
                <w:szCs w:val="14"/>
                <w:color w:val="auto"/>
              </w:rPr>
              <w:t>99.441%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99,441,000</w:t>
            </w:r>
          </w:p>
        </w:tc>
        <w:tc>
          <w:tcPr>
            <w:tcW w:w="40" w:type="dxa"/>
            <w:vAlign w:val="bottom"/>
            <w:shd w:val="clear" w:color="auto" w:fill="CCEEFF"/>
          </w:tcPr>
          <w:p>
            <w:pPr>
              <w:spacing w:after="0"/>
              <w:rPr>
                <w:sz w:val="12"/>
                <w:szCs w:val="12"/>
                <w:color w:val="auto"/>
              </w:rPr>
            </w:pPr>
          </w:p>
        </w:tc>
      </w:tr>
      <w:tr>
        <w:trPr>
          <w:trHeight w:val="148"/>
        </w:trPr>
        <w:tc>
          <w:tcPr>
            <w:tcW w:w="6540" w:type="dxa"/>
            <w:vAlign w:val="bottom"/>
          </w:tcPr>
          <w:p>
            <w:pPr>
              <w:spacing w:after="0" w:line="149" w:lineRule="exact"/>
              <w:rPr>
                <w:sz w:val="20"/>
                <w:szCs w:val="20"/>
                <w:color w:val="auto"/>
              </w:rPr>
            </w:pPr>
            <w:r>
              <w:rPr>
                <w:rFonts w:ascii="Arial" w:cs="Arial" w:eastAsia="Arial" w:hAnsi="Arial"/>
                <w:sz w:val="14"/>
                <w:szCs w:val="14"/>
                <w:color w:val="auto"/>
              </w:rPr>
              <w:t>Underwriting discount (sales load)</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2.000%</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9"/>
              </w:rPr>
              <w:t>2,000,000</w:t>
            </w:r>
          </w:p>
        </w:tc>
      </w:tr>
      <w:tr>
        <w:trPr>
          <w:trHeight w:val="148"/>
        </w:trPr>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before expenses, to us(2)</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97.441%</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8"/>
              </w:rPr>
              <w:t>97,441,000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7" w:lineRule="exact"/>
        <w:rPr>
          <w:sz w:val="24"/>
          <w:szCs w:val="24"/>
          <w:color w:val="auto"/>
        </w:rPr>
      </w:pPr>
    </w:p>
    <w:p>
      <w:pPr>
        <w:ind w:left="540" w:right="40" w:hanging="424"/>
        <w:spacing w:after="0" w:line="230"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public offering price set forth above does not include accrued interest, if any. Interest on the Notes will accrue from March 23, 2021 and must be paid by the purchaser if the Notes are delivered after March 23, 2021.</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Total expenses of the offering payable by us, excluding the underwriting discount, are estimated to be $0.6 million. See “</w:t>
      </w:r>
      <w:r>
        <w:rPr>
          <w:rFonts w:ascii="Arial" w:cs="Arial" w:eastAsia="Arial" w:hAnsi="Arial"/>
          <w:sz w:val="14"/>
          <w:szCs w:val="14"/>
          <w:i w:val="1"/>
          <w:iCs w:val="1"/>
          <w:color w:val="auto"/>
        </w:rPr>
        <w:t>Underwriting</w:t>
      </w:r>
      <w:r>
        <w:rPr>
          <w:rFonts w:ascii="Arial" w:cs="Arial" w:eastAsia="Arial" w:hAnsi="Arial"/>
          <w:sz w:val="14"/>
          <w:szCs w:val="14"/>
          <w:color w:val="auto"/>
        </w:rPr>
        <w:t>” in this prospectus supplement.</w:t>
      </w:r>
    </w:p>
    <w:p>
      <w:pPr>
        <w:spacing w:after="0" w:line="30" w:lineRule="exact"/>
        <w:rPr>
          <w:sz w:val="24"/>
          <w:szCs w:val="24"/>
          <w:color w:val="auto"/>
        </w:rPr>
      </w:pPr>
    </w:p>
    <w:p>
      <w:pPr>
        <w:ind w:left="120"/>
        <w:spacing w:after="0"/>
        <w:rPr>
          <w:sz w:val="20"/>
          <w:szCs w:val="20"/>
          <w:color w:val="auto"/>
        </w:rPr>
      </w:pPr>
      <w:r>
        <w:rPr>
          <w:rFonts w:ascii="Arial" w:cs="Arial" w:eastAsia="Arial" w:hAnsi="Arial"/>
          <w:sz w:val="14"/>
          <w:szCs w:val="14"/>
          <w:color w:val="auto"/>
        </w:rPr>
        <w:t>Delivery of the Notes in book-entry form through The Depository Trust Company, or DTC, will be made on or about March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123825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i w:val="1"/>
          <w:iCs w:val="1"/>
          <w:color w:val="auto"/>
        </w:rPr>
        <w:t>Joint Book-Running Managers</w:t>
      </w:r>
    </w:p>
    <w:p>
      <w:pPr>
        <w:spacing w:after="0" w:line="200" w:lineRule="exact"/>
        <w:rPr>
          <w:sz w:val="24"/>
          <w:szCs w:val="24"/>
          <w:color w:val="auto"/>
        </w:rPr>
      </w:pPr>
    </w:p>
    <w:p>
      <w:pPr>
        <w:spacing w:after="0" w:line="224" w:lineRule="exact"/>
        <w:rPr>
          <w:sz w:val="24"/>
          <w:szCs w:val="24"/>
          <w:color w:val="auto"/>
        </w:rPr>
      </w:pPr>
    </w:p>
    <w:p>
      <w:pPr>
        <w:ind w:left="6620"/>
        <w:spacing w:after="0"/>
        <w:rPr>
          <w:sz w:val="20"/>
          <w:szCs w:val="20"/>
          <w:color w:val="auto"/>
        </w:rPr>
      </w:pPr>
      <w:r>
        <w:rPr>
          <w:rFonts w:ascii="Arial" w:cs="Arial" w:eastAsia="Arial" w:hAnsi="Arial"/>
          <w:sz w:val="18"/>
          <w:szCs w:val="18"/>
          <w:i w:val="1"/>
          <w:iCs w:val="1"/>
          <w:color w:val="auto"/>
        </w:rPr>
        <w:t>A Stifel Company</w:t>
      </w:r>
    </w:p>
    <w:p>
      <w:pPr>
        <w:spacing w:after="0" w:line="12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i w:val="1"/>
          <w:iCs w:val="1"/>
          <w:color w:val="auto"/>
        </w:rPr>
        <w:t>Co-Managers</w:t>
      </w:r>
    </w:p>
    <w:p>
      <w:pPr>
        <w:sectPr>
          <w:pgSz w:w="11900" w:h="16838" w:orient="portrait"/>
          <w:cols w:equalWidth="0" w:num="1">
            <w:col w:w="11140"/>
          </w:cols>
          <w:pgMar w:left="320" w:top="230" w:right="439" w:bottom="1440" w:gutter="0" w:footer="0" w:header="0"/>
        </w:sectPr>
      </w:pPr>
    </w:p>
    <w:p>
      <w:pPr>
        <w:spacing w:after="0" w:line="100" w:lineRule="exact"/>
        <w:rPr>
          <w:sz w:val="24"/>
          <w:szCs w:val="24"/>
          <w:color w:val="auto"/>
        </w:rPr>
      </w:pPr>
    </w:p>
    <w:p>
      <w:pPr>
        <w:ind w:left="2180"/>
        <w:spacing w:after="0"/>
        <w:rPr>
          <w:sz w:val="20"/>
          <w:szCs w:val="20"/>
          <w:color w:val="auto"/>
        </w:rPr>
      </w:pPr>
      <w:r>
        <w:rPr>
          <w:rFonts w:ascii="Arial" w:cs="Arial" w:eastAsia="Arial" w:hAnsi="Arial"/>
          <w:sz w:val="19"/>
          <w:szCs w:val="19"/>
          <w:b w:val="1"/>
          <w:bCs w:val="1"/>
          <w:color w:val="auto"/>
        </w:rPr>
        <w:t>JMP Securities</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Ladenburg Thalmann</w:t>
      </w:r>
    </w:p>
    <w:p>
      <w:pPr>
        <w:spacing w:after="0" w:line="137" w:lineRule="exact"/>
        <w:rPr>
          <w:sz w:val="24"/>
          <w:szCs w:val="24"/>
          <w:color w:val="auto"/>
        </w:rPr>
      </w:pPr>
    </w:p>
    <w:p>
      <w:pPr>
        <w:sectPr>
          <w:pgSz w:w="11900" w:h="16838" w:orient="portrait"/>
          <w:cols w:equalWidth="0" w:num="2">
            <w:col w:w="6700" w:space="720"/>
            <w:col w:w="3720"/>
          </w:cols>
          <w:pgMar w:left="320" w:top="230" w:right="439" w:bottom="1440" w:gutter="0" w:footer="0" w:header="0"/>
          <w:type w:val="continuous"/>
        </w:sectPr>
      </w:pPr>
    </w:p>
    <w:p>
      <w:pPr>
        <w:jc w:val="center"/>
        <w:ind w:right="-99"/>
        <w:spacing w:after="0"/>
        <w:rPr>
          <w:sz w:val="20"/>
          <w:szCs w:val="20"/>
          <w:color w:val="auto"/>
        </w:rPr>
      </w:pPr>
      <w:r>
        <w:rPr>
          <w:rFonts w:ascii="Arial" w:cs="Arial" w:eastAsia="Arial" w:hAnsi="Arial"/>
          <w:sz w:val="12"/>
          <w:szCs w:val="12"/>
          <w:b w:val="1"/>
          <w:bCs w:val="1"/>
          <w:color w:val="auto"/>
        </w:rPr>
        <w:t>The date of this prospectus supplement is March 18, 2021.</w:t>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0560" w:type="dxa"/>
            <w:vAlign w:val="bottom"/>
          </w:tcPr>
          <w:p>
            <w:pPr>
              <w:jc w:val="center"/>
              <w:ind w:left="350"/>
              <w:spacing w:after="0"/>
              <w:rPr>
                <w:sz w:val="20"/>
                <w:szCs w:val="20"/>
                <w:color w:val="auto"/>
              </w:rPr>
            </w:pPr>
            <w:r>
              <w:rPr>
                <w:rFonts w:ascii="Arial" w:cs="Arial" w:eastAsia="Arial" w:hAnsi="Arial"/>
                <w:sz w:val="18"/>
                <w:szCs w:val="18"/>
                <w:b w:val="1"/>
                <w:bCs w:val="1"/>
                <w:color w:val="auto"/>
                <w:w w:val="98"/>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560" w:type="dxa"/>
            <w:vAlign w:val="bottom"/>
          </w:tcPr>
          <w:p>
            <w:pPr>
              <w:jc w:val="center"/>
              <w:ind w:left="370"/>
              <w:spacing w:after="0"/>
              <w:rPr>
                <w:sz w:val="20"/>
                <w:szCs w:val="20"/>
                <w:color w:val="auto"/>
              </w:rPr>
            </w:pPr>
            <w:r>
              <w:rPr>
                <w:rFonts w:ascii="Arial" w:cs="Arial" w:eastAsia="Arial" w:hAnsi="Arial"/>
                <w:sz w:val="18"/>
                <w:szCs w:val="18"/>
                <w:b w:val="1"/>
                <w:bCs w:val="1"/>
                <w:color w:val="auto"/>
                <w:w w:val="97"/>
              </w:rPr>
              <w:t>PROSPECTUS SUPPLEMENT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560" w:type="dxa"/>
            <w:vAlign w:val="bottom"/>
            <w:vMerge w:val="restart"/>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ABOUT THIS PROSPECTUS SUPPLEMENT</w:t>
              </w:r>
            </w:hyperlink>
          </w:p>
        </w:tc>
        <w:tc>
          <w:tcPr>
            <w:tcW w:w="42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0560" w:type="dxa"/>
            <w:vAlign w:val="bottom"/>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THE OFFERING</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PROSPECTUS SUPPLEMENT SUMMARY</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FORWARD-LOOKING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RISK FACTORS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USE OF PROCEEDS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CAPITALIZATION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DESCRIPTION OF THE NOTES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S-19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CERTAIN U.S. FEDERAL INCOME TAX CONSIDERATIONS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S-34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UNDERWRITING</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S-38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LEGAL MATTERS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INDEPENDENT REGISTERED PUBLIC ACCOUNTING FIRM</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INDEPENDENT AUDITOR</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S-44</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INCORPORATION BY REFERENCE</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S-44</w:t>
            </w:r>
          </w:p>
        </w:tc>
        <w:tc>
          <w:tcPr>
            <w:tcW w:w="0" w:type="dxa"/>
            <w:vAlign w:val="bottom"/>
          </w:tcPr>
          <w:p>
            <w:pPr>
              <w:spacing w:after="0"/>
              <w:rPr>
                <w:sz w:val="1"/>
                <w:szCs w:val="1"/>
                <w:color w:val="auto"/>
              </w:rPr>
            </w:pPr>
          </w:p>
        </w:tc>
      </w:tr>
      <w:tr>
        <w:trPr>
          <w:trHeight w:val="230"/>
        </w:trPr>
        <w:tc>
          <w:tcPr>
            <w:tcW w:w="1056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AVAILABLE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S-45</w:t>
            </w:r>
          </w:p>
        </w:tc>
        <w:tc>
          <w:tcPr>
            <w:tcW w:w="0" w:type="dxa"/>
            <w:vAlign w:val="bottom"/>
          </w:tcPr>
          <w:p>
            <w:pPr>
              <w:spacing w:after="0"/>
              <w:rPr>
                <w:sz w:val="1"/>
                <w:szCs w:val="1"/>
                <w:color w:val="auto"/>
              </w:rPr>
            </w:pPr>
          </w:p>
        </w:tc>
      </w:tr>
      <w:tr>
        <w:trPr>
          <w:trHeight w:val="648"/>
        </w:trPr>
        <w:tc>
          <w:tcPr>
            <w:tcW w:w="10560" w:type="dxa"/>
            <w:vAlign w:val="bottom"/>
          </w:tcPr>
          <w:p>
            <w:pPr>
              <w:jc w:val="center"/>
              <w:ind w:left="350"/>
              <w:spacing w:after="0"/>
              <w:rPr>
                <w:sz w:val="20"/>
                <w:szCs w:val="20"/>
                <w:color w:val="auto"/>
              </w:rPr>
            </w:pPr>
            <w:r>
              <w:rPr>
                <w:rFonts w:ascii="Arial" w:cs="Arial" w:eastAsia="Arial" w:hAnsi="Arial"/>
                <w:sz w:val="18"/>
                <w:szCs w:val="18"/>
                <w:b w:val="1"/>
                <w:bCs w:val="1"/>
                <w:color w:val="auto"/>
                <w:w w:val="96"/>
              </w:rPr>
              <w:t>PROSPECTUS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560" w:type="dxa"/>
            <w:vAlign w:val="bottom"/>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PROSPECTUS SUMMARY</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FEES AND EXPENSES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RISK FACTORS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FORWARD-LOOKING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USE OF PROCEEDS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SENIOR SECURITIES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PRICE RANGE OF COMMON STOCK</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SALES OF COMMON STOCK BELOW NET ASSET VALUE</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DISTRIBUTIONS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PORTFOLIO COMPANIES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PORTFOLIO MANAGEMENT</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DETERMINATION OF NET ASSET VALUE</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DESCRIPTION OF OUR CAPITAL STOCK</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DESCRIPTION OF OUR PREFERRED STOCK</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DESCRIPTION OF OUR WARRANTS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DESCRIPTION OF OUR SUBSCRIPTION RIGHTS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DESCRIPTION OF OUR DEBT SECURITIES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BROKERAGE ALLOCATIONS AND OTHER PRACTICES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MATERIAL U.S. FEDERAL INCOME TAX CONSIDERATIONS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PLAN OF DISTRIBUTION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SUB-ADMINISTRATOR, CUSTODIAN, TRANSFER AGENT AND TRUSTEE</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LEGAL MATTERS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INDEPENDENT REGISTERED PUBLIC ACCOUNTING FIRM</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56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INCORPORATION BY REFERENCE</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1056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AVAILABLE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This document is in two parts. The first part is this prospectus supplement, which describes the specific details regarding this offering of Notes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w:t>
      </w:r>
    </w:p>
    <w:p>
      <w:pPr>
        <w:spacing w:after="0" w:line="16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b w:val="1"/>
          <w:bCs w:val="1"/>
          <w:color w:val="auto"/>
        </w:rPr>
        <w:t>YOU SHOULD RELY ONLY ON THE INFORMATION CONTAINED IN THIS PROSPECTUS SUPPLEMENT, INCLUDING THE DOCUMENTS WE INCORPORATE BY REFERENCE HEREIN, AND THE ACCOMPANYING PROSPECTUS AND ANY FREE WRITING PROSPECTUS, INCLUDING THE DOCUMENTS WE INCORPORATE BY REFERENCE THEREIN. WE HAVE NOT, AND THE UNDERWRITERS HAVE NOT, AUTHORIZED ANY OTHER PERSON TO PROVIDE YOU WITH DIFFERENT OR ADDITIONAL INFORMATION. IF ANYONE PROVIDES YOU WITH DIFFERENT OR ADDITIONAL INFORMATION, YOU SHOULD NOT RELY ON IT. WE ARE NOT, AND THE UNDERWRITERS ARE NOT, MAKING AN OFFER TO SELL THESE NOTES IN ANY JURISDICTION WHERE THE OFFER OR SALE IS NOT PERMITTED. YOU SHOULD ASSUME THAT THE INFORMATION APPEARING IN THIS PROSPECTUS SUPPLEMENT, INCLUDING THE DOCUMENTS WE INCORPORATE BY REFERENCE HEREIN, AND THE ACCOMPANYING PROSPECTUS AND ANY FREE WRITING PROSPECTUS, INCLUDING THE DOCUMENTS WE INCORPORATE BY REFERENCE THEREIN, IS ACCURATE ONLY AS OF ITS RESPECTIVE DATE, REGARDLESS OF THE TIME OF DELIVERY OF THIS PROSPECTUS SUPPLEMENT, THE ACCOMPANYING PROSPECTUS, ANY FREE WRITING PROSPECTUS OR ANY SALES OF THE NOTES. OUR BUSINESS, FINANCIAL CONDITION, RESULTS OF OPERATIONS AND PROSPECTS MAY HAVE CHANGED SINCE THOSE DATES.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046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66046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ind w:left="300" w:right="260"/>
        <w:spacing w:after="0" w:line="296" w:lineRule="auto"/>
        <w:rPr>
          <w:sz w:val="20"/>
          <w:szCs w:val="20"/>
          <w:color w:val="auto"/>
        </w:rPr>
      </w:pPr>
      <w:r>
        <w:rPr>
          <w:rFonts w:ascii="Arial" w:cs="Arial" w:eastAsia="Arial" w:hAnsi="Arial"/>
          <w:sz w:val="16"/>
          <w:szCs w:val="16"/>
          <w:color w:val="auto"/>
        </w:rPr>
        <w:t>This prospectus supplement sets forth certain terms of the Notes that we are offering pursuant to this prospectus supplement and the accompanying prospectus that is attached to the back of this prospectus supplement. This section outlines the specific legal and financial terms of the Notes. You should read this section together with the more general description of the Notes in the accompanying prospectus under the heading “Description of Our Debt Securities” before investing in the Notes. Capitalized terms used in this prospectus supplement and not otherwise defined shall have the meanings ascribed to them in the accompanying prospectus or in the indenture governing the Notes.</w:t>
      </w:r>
    </w:p>
    <w:p>
      <w:pPr>
        <w:spacing w:after="0" w:line="6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920" w:type="dxa"/>
            <w:vAlign w:val="bottom"/>
          </w:tcPr>
          <w:p>
            <w:pPr>
              <w:ind w:left="180"/>
              <w:spacing w:after="0"/>
              <w:rPr>
                <w:sz w:val="20"/>
                <w:szCs w:val="20"/>
                <w:color w:val="auto"/>
              </w:rPr>
            </w:pPr>
            <w:r>
              <w:rPr>
                <w:rFonts w:ascii="Arial" w:cs="Arial" w:eastAsia="Arial" w:hAnsi="Arial"/>
                <w:sz w:val="18"/>
                <w:szCs w:val="18"/>
                <w:color w:val="auto"/>
              </w:rPr>
              <w:t>Issuer</w:t>
            </w:r>
          </w:p>
        </w:tc>
        <w:tc>
          <w:tcPr>
            <w:tcW w:w="7100" w:type="dxa"/>
            <w:vAlign w:val="bottom"/>
          </w:tcPr>
          <w:p>
            <w:pPr>
              <w:ind w:left="300"/>
              <w:spacing w:after="0"/>
              <w:rPr>
                <w:sz w:val="20"/>
                <w:szCs w:val="20"/>
                <w:color w:val="auto"/>
              </w:rPr>
            </w:pPr>
            <w:r>
              <w:rPr>
                <w:rFonts w:ascii="Arial" w:cs="Arial" w:eastAsia="Arial" w:hAnsi="Arial"/>
                <w:sz w:val="18"/>
                <w:szCs w:val="18"/>
                <w:color w:val="auto"/>
              </w:rPr>
              <w:t>PennantPark Floating Rate Capital Ltd.</w:t>
            </w:r>
          </w:p>
        </w:tc>
      </w:tr>
      <w:tr>
        <w:trPr>
          <w:trHeight w:val="351"/>
        </w:trPr>
        <w:tc>
          <w:tcPr>
            <w:tcW w:w="3920" w:type="dxa"/>
            <w:vAlign w:val="bottom"/>
          </w:tcPr>
          <w:p>
            <w:pPr>
              <w:ind w:left="180"/>
              <w:spacing w:after="0"/>
              <w:rPr>
                <w:sz w:val="20"/>
                <w:szCs w:val="20"/>
                <w:color w:val="auto"/>
              </w:rPr>
            </w:pPr>
            <w:r>
              <w:rPr>
                <w:rFonts w:ascii="Arial" w:cs="Arial" w:eastAsia="Arial" w:hAnsi="Arial"/>
                <w:sz w:val="18"/>
                <w:szCs w:val="18"/>
                <w:color w:val="auto"/>
              </w:rPr>
              <w:t>Title of the securities</w:t>
            </w:r>
          </w:p>
        </w:tc>
        <w:tc>
          <w:tcPr>
            <w:tcW w:w="7100" w:type="dxa"/>
            <w:vAlign w:val="bottom"/>
          </w:tcPr>
          <w:p>
            <w:pPr>
              <w:ind w:left="300"/>
              <w:spacing w:after="0"/>
              <w:rPr>
                <w:sz w:val="20"/>
                <w:szCs w:val="20"/>
                <w:color w:val="auto"/>
              </w:rPr>
            </w:pPr>
            <w:r>
              <w:rPr>
                <w:rFonts w:ascii="Arial" w:cs="Arial" w:eastAsia="Arial" w:hAnsi="Arial"/>
                <w:sz w:val="18"/>
                <w:szCs w:val="18"/>
                <w:color w:val="auto"/>
              </w:rPr>
              <w:t>4.25% Notes due 2026</w:t>
            </w:r>
          </w:p>
        </w:tc>
      </w:tr>
      <w:tr>
        <w:trPr>
          <w:trHeight w:val="351"/>
        </w:trPr>
        <w:tc>
          <w:tcPr>
            <w:tcW w:w="3920" w:type="dxa"/>
            <w:vAlign w:val="bottom"/>
          </w:tcPr>
          <w:p>
            <w:pPr>
              <w:ind w:left="180"/>
              <w:spacing w:after="0"/>
              <w:rPr>
                <w:sz w:val="20"/>
                <w:szCs w:val="20"/>
                <w:color w:val="auto"/>
              </w:rPr>
            </w:pPr>
            <w:r>
              <w:rPr>
                <w:rFonts w:ascii="Arial" w:cs="Arial" w:eastAsia="Arial" w:hAnsi="Arial"/>
                <w:sz w:val="18"/>
                <w:szCs w:val="18"/>
                <w:color w:val="auto"/>
                <w:w w:val="99"/>
              </w:rPr>
              <w:t>Initial aggregate principal amount being offered</w:t>
            </w:r>
          </w:p>
        </w:tc>
        <w:tc>
          <w:tcPr>
            <w:tcW w:w="7100" w:type="dxa"/>
            <w:vAlign w:val="bottom"/>
          </w:tcPr>
          <w:p>
            <w:pPr>
              <w:ind w:left="300"/>
              <w:spacing w:after="0"/>
              <w:rPr>
                <w:sz w:val="20"/>
                <w:szCs w:val="20"/>
                <w:color w:val="auto"/>
              </w:rPr>
            </w:pPr>
            <w:r>
              <w:rPr>
                <w:rFonts w:ascii="Arial" w:cs="Arial" w:eastAsia="Arial" w:hAnsi="Arial"/>
                <w:sz w:val="18"/>
                <w:szCs w:val="18"/>
                <w:color w:val="auto"/>
              </w:rPr>
              <w:t>$100 million</w:t>
            </w:r>
          </w:p>
        </w:tc>
      </w:tr>
      <w:tr>
        <w:trPr>
          <w:trHeight w:val="351"/>
        </w:trPr>
        <w:tc>
          <w:tcPr>
            <w:tcW w:w="3920" w:type="dxa"/>
            <w:vAlign w:val="bottom"/>
          </w:tcPr>
          <w:p>
            <w:pPr>
              <w:ind w:left="180"/>
              <w:spacing w:after="0"/>
              <w:rPr>
                <w:sz w:val="20"/>
                <w:szCs w:val="20"/>
                <w:color w:val="auto"/>
              </w:rPr>
            </w:pPr>
            <w:r>
              <w:rPr>
                <w:rFonts w:ascii="Arial" w:cs="Arial" w:eastAsia="Arial" w:hAnsi="Arial"/>
                <w:sz w:val="18"/>
                <w:szCs w:val="18"/>
                <w:color w:val="auto"/>
              </w:rPr>
              <w:t>Issue price</w:t>
            </w:r>
          </w:p>
        </w:tc>
        <w:tc>
          <w:tcPr>
            <w:tcW w:w="7100" w:type="dxa"/>
            <w:vAlign w:val="bottom"/>
          </w:tcPr>
          <w:p>
            <w:pPr>
              <w:ind w:left="300"/>
              <w:spacing w:after="0"/>
              <w:rPr>
                <w:sz w:val="20"/>
                <w:szCs w:val="20"/>
                <w:color w:val="auto"/>
              </w:rPr>
            </w:pPr>
            <w:r>
              <w:rPr>
                <w:rFonts w:ascii="Arial" w:cs="Arial" w:eastAsia="Arial" w:hAnsi="Arial"/>
                <w:sz w:val="18"/>
                <w:szCs w:val="18"/>
                <w:color w:val="auto"/>
              </w:rPr>
              <w:t>99.441% of the aggregate principal amount</w:t>
            </w:r>
          </w:p>
        </w:tc>
      </w:tr>
      <w:tr>
        <w:trPr>
          <w:trHeight w:val="337"/>
        </w:trPr>
        <w:tc>
          <w:tcPr>
            <w:tcW w:w="3920" w:type="dxa"/>
            <w:vAlign w:val="bottom"/>
          </w:tcPr>
          <w:p>
            <w:pPr>
              <w:ind w:left="180"/>
              <w:spacing w:after="0"/>
              <w:rPr>
                <w:sz w:val="20"/>
                <w:szCs w:val="20"/>
                <w:color w:val="auto"/>
              </w:rPr>
            </w:pPr>
            <w:r>
              <w:rPr>
                <w:rFonts w:ascii="Arial" w:cs="Arial" w:eastAsia="Arial" w:hAnsi="Arial"/>
                <w:sz w:val="18"/>
                <w:szCs w:val="18"/>
                <w:color w:val="auto"/>
              </w:rPr>
              <w:t>Principal payable at maturity</w:t>
            </w:r>
          </w:p>
        </w:tc>
        <w:tc>
          <w:tcPr>
            <w:tcW w:w="7100" w:type="dxa"/>
            <w:vAlign w:val="bottom"/>
          </w:tcPr>
          <w:p>
            <w:pPr>
              <w:ind w:left="300"/>
              <w:spacing w:after="0"/>
              <w:rPr>
                <w:sz w:val="20"/>
                <w:szCs w:val="20"/>
                <w:color w:val="auto"/>
              </w:rPr>
            </w:pPr>
            <w:r>
              <w:rPr>
                <w:rFonts w:ascii="Arial" w:cs="Arial" w:eastAsia="Arial" w:hAnsi="Arial"/>
                <w:sz w:val="18"/>
                <w:szCs w:val="18"/>
                <w:color w:val="auto"/>
                <w:w w:val="93"/>
              </w:rPr>
              <w:t>100% of the aggregate principal amount; the principal amount of each Note will be payable</w:t>
            </w:r>
          </w:p>
        </w:tc>
      </w:tr>
      <w:tr>
        <w:trPr>
          <w:trHeight w:val="216"/>
        </w:trPr>
        <w:tc>
          <w:tcPr>
            <w:tcW w:w="3920" w:type="dxa"/>
            <w:vAlign w:val="bottom"/>
          </w:tcPr>
          <w:p>
            <w:pPr>
              <w:spacing w:after="0"/>
              <w:rPr>
                <w:sz w:val="18"/>
                <w:szCs w:val="18"/>
                <w:color w:val="auto"/>
              </w:rPr>
            </w:pPr>
          </w:p>
        </w:tc>
        <w:tc>
          <w:tcPr>
            <w:tcW w:w="7100" w:type="dxa"/>
            <w:vAlign w:val="bottom"/>
          </w:tcPr>
          <w:p>
            <w:pPr>
              <w:ind w:left="300"/>
              <w:spacing w:after="0"/>
              <w:rPr>
                <w:sz w:val="20"/>
                <w:szCs w:val="20"/>
                <w:color w:val="auto"/>
              </w:rPr>
            </w:pPr>
            <w:r>
              <w:rPr>
                <w:rFonts w:ascii="Arial" w:cs="Arial" w:eastAsia="Arial" w:hAnsi="Arial"/>
                <w:sz w:val="18"/>
                <w:szCs w:val="18"/>
                <w:color w:val="auto"/>
                <w:w w:val="95"/>
              </w:rPr>
              <w:t>on its stated maturity date at the office of the Paying Agent, Registrar and Transfer Agent</w:t>
            </w:r>
          </w:p>
        </w:tc>
      </w:tr>
      <w:tr>
        <w:trPr>
          <w:trHeight w:val="230"/>
        </w:trPr>
        <w:tc>
          <w:tcPr>
            <w:tcW w:w="3920" w:type="dxa"/>
            <w:vAlign w:val="bottom"/>
          </w:tcPr>
          <w:p>
            <w:pPr>
              <w:spacing w:after="0"/>
              <w:rPr>
                <w:sz w:val="20"/>
                <w:szCs w:val="20"/>
                <w:color w:val="auto"/>
              </w:rPr>
            </w:pPr>
          </w:p>
        </w:tc>
        <w:tc>
          <w:tcPr>
            <w:tcW w:w="7100" w:type="dxa"/>
            <w:vAlign w:val="bottom"/>
          </w:tcPr>
          <w:p>
            <w:pPr>
              <w:ind w:left="300"/>
              <w:spacing w:after="0"/>
              <w:rPr>
                <w:sz w:val="20"/>
                <w:szCs w:val="20"/>
                <w:color w:val="auto"/>
              </w:rPr>
            </w:pPr>
            <w:r>
              <w:rPr>
                <w:rFonts w:ascii="Arial" w:cs="Arial" w:eastAsia="Arial" w:hAnsi="Arial"/>
                <w:sz w:val="18"/>
                <w:szCs w:val="18"/>
                <w:color w:val="auto"/>
              </w:rPr>
              <w:t>for the Notes or at such other office in New York City as we may designate.</w:t>
            </w:r>
          </w:p>
        </w:tc>
      </w:tr>
      <w:tr>
        <w:trPr>
          <w:trHeight w:val="338"/>
        </w:trPr>
        <w:tc>
          <w:tcPr>
            <w:tcW w:w="3920" w:type="dxa"/>
            <w:vAlign w:val="bottom"/>
          </w:tcPr>
          <w:p>
            <w:pPr>
              <w:ind w:left="180"/>
              <w:spacing w:after="0"/>
              <w:rPr>
                <w:sz w:val="20"/>
                <w:szCs w:val="20"/>
                <w:color w:val="auto"/>
              </w:rPr>
            </w:pPr>
            <w:r>
              <w:rPr>
                <w:rFonts w:ascii="Arial" w:cs="Arial" w:eastAsia="Arial" w:hAnsi="Arial"/>
                <w:sz w:val="18"/>
                <w:szCs w:val="18"/>
                <w:color w:val="auto"/>
              </w:rPr>
              <w:t>Type of Note</w:t>
            </w:r>
          </w:p>
        </w:tc>
        <w:tc>
          <w:tcPr>
            <w:tcW w:w="7100" w:type="dxa"/>
            <w:vAlign w:val="bottom"/>
          </w:tcPr>
          <w:p>
            <w:pPr>
              <w:ind w:left="300"/>
              <w:spacing w:after="0"/>
              <w:rPr>
                <w:sz w:val="20"/>
                <w:szCs w:val="20"/>
                <w:color w:val="auto"/>
              </w:rPr>
            </w:pPr>
            <w:r>
              <w:rPr>
                <w:rFonts w:ascii="Arial" w:cs="Arial" w:eastAsia="Arial" w:hAnsi="Arial"/>
                <w:sz w:val="18"/>
                <w:szCs w:val="18"/>
                <w:color w:val="auto"/>
              </w:rPr>
              <w:t>Fixed-rate note</w:t>
            </w:r>
          </w:p>
        </w:tc>
      </w:tr>
      <w:tr>
        <w:trPr>
          <w:trHeight w:val="337"/>
        </w:trPr>
        <w:tc>
          <w:tcPr>
            <w:tcW w:w="3920" w:type="dxa"/>
            <w:vAlign w:val="bottom"/>
          </w:tcPr>
          <w:p>
            <w:pPr>
              <w:ind w:left="180"/>
              <w:spacing w:after="0"/>
              <w:rPr>
                <w:sz w:val="20"/>
                <w:szCs w:val="20"/>
                <w:color w:val="auto"/>
              </w:rPr>
            </w:pPr>
            <w:r>
              <w:rPr>
                <w:rFonts w:ascii="Arial" w:cs="Arial" w:eastAsia="Arial" w:hAnsi="Arial"/>
                <w:sz w:val="18"/>
                <w:szCs w:val="18"/>
                <w:color w:val="auto"/>
              </w:rPr>
              <w:t>No established trading market</w:t>
            </w:r>
          </w:p>
        </w:tc>
        <w:tc>
          <w:tcPr>
            <w:tcW w:w="7100" w:type="dxa"/>
            <w:vAlign w:val="bottom"/>
          </w:tcPr>
          <w:p>
            <w:pPr>
              <w:ind w:left="300"/>
              <w:spacing w:after="0"/>
              <w:rPr>
                <w:sz w:val="20"/>
                <w:szCs w:val="20"/>
                <w:color w:val="auto"/>
              </w:rPr>
            </w:pPr>
            <w:r>
              <w:rPr>
                <w:rFonts w:ascii="Arial" w:cs="Arial" w:eastAsia="Arial" w:hAnsi="Arial"/>
                <w:sz w:val="18"/>
                <w:szCs w:val="18"/>
                <w:color w:val="auto"/>
                <w:w w:val="92"/>
              </w:rPr>
              <w:t>We do not intend to list the Notes on any securities exchange or automated dealer quotation</w:t>
            </w:r>
          </w:p>
        </w:tc>
      </w:tr>
      <w:tr>
        <w:trPr>
          <w:trHeight w:val="216"/>
        </w:trPr>
        <w:tc>
          <w:tcPr>
            <w:tcW w:w="3920" w:type="dxa"/>
            <w:vAlign w:val="bottom"/>
          </w:tcPr>
          <w:p>
            <w:pPr>
              <w:spacing w:after="0"/>
              <w:rPr>
                <w:sz w:val="18"/>
                <w:szCs w:val="18"/>
                <w:color w:val="auto"/>
              </w:rPr>
            </w:pPr>
          </w:p>
        </w:tc>
        <w:tc>
          <w:tcPr>
            <w:tcW w:w="7100" w:type="dxa"/>
            <w:vAlign w:val="bottom"/>
          </w:tcPr>
          <w:p>
            <w:pPr>
              <w:ind w:left="300"/>
              <w:spacing w:after="0"/>
              <w:rPr>
                <w:sz w:val="20"/>
                <w:szCs w:val="20"/>
                <w:color w:val="auto"/>
              </w:rPr>
            </w:pPr>
            <w:r>
              <w:rPr>
                <w:rFonts w:ascii="Arial" w:cs="Arial" w:eastAsia="Arial" w:hAnsi="Arial"/>
                <w:sz w:val="18"/>
                <w:szCs w:val="18"/>
                <w:color w:val="auto"/>
                <w:w w:val="95"/>
              </w:rPr>
              <w:t>system. Although the underwriters have informed us that they intend to make a market in</w:t>
            </w:r>
          </w:p>
        </w:tc>
      </w:tr>
      <w:tr>
        <w:trPr>
          <w:trHeight w:val="216"/>
        </w:trPr>
        <w:tc>
          <w:tcPr>
            <w:tcW w:w="3920" w:type="dxa"/>
            <w:vAlign w:val="bottom"/>
          </w:tcPr>
          <w:p>
            <w:pPr>
              <w:spacing w:after="0"/>
              <w:rPr>
                <w:sz w:val="18"/>
                <w:szCs w:val="18"/>
                <w:color w:val="auto"/>
              </w:rPr>
            </w:pPr>
          </w:p>
        </w:tc>
        <w:tc>
          <w:tcPr>
            <w:tcW w:w="7100" w:type="dxa"/>
            <w:vAlign w:val="bottom"/>
          </w:tcPr>
          <w:p>
            <w:pPr>
              <w:ind w:left="300"/>
              <w:spacing w:after="0"/>
              <w:rPr>
                <w:sz w:val="20"/>
                <w:szCs w:val="20"/>
                <w:color w:val="auto"/>
              </w:rPr>
            </w:pPr>
            <w:r>
              <w:rPr>
                <w:rFonts w:ascii="Arial" w:cs="Arial" w:eastAsia="Arial" w:hAnsi="Arial"/>
                <w:sz w:val="18"/>
                <w:szCs w:val="18"/>
                <w:color w:val="auto"/>
                <w:w w:val="92"/>
              </w:rPr>
              <w:t>the Notes, they are not obligated to do so, and may discontinue any such market at any time</w:t>
            </w:r>
          </w:p>
        </w:tc>
      </w:tr>
      <w:tr>
        <w:trPr>
          <w:trHeight w:val="216"/>
        </w:trPr>
        <w:tc>
          <w:tcPr>
            <w:tcW w:w="3920" w:type="dxa"/>
            <w:vAlign w:val="bottom"/>
          </w:tcPr>
          <w:p>
            <w:pPr>
              <w:spacing w:after="0"/>
              <w:rPr>
                <w:sz w:val="18"/>
                <w:szCs w:val="18"/>
                <w:color w:val="auto"/>
              </w:rPr>
            </w:pPr>
          </w:p>
        </w:tc>
        <w:tc>
          <w:tcPr>
            <w:tcW w:w="7100" w:type="dxa"/>
            <w:vAlign w:val="bottom"/>
          </w:tcPr>
          <w:p>
            <w:pPr>
              <w:ind w:left="300"/>
              <w:spacing w:after="0"/>
              <w:rPr>
                <w:sz w:val="20"/>
                <w:szCs w:val="20"/>
                <w:color w:val="auto"/>
              </w:rPr>
            </w:pPr>
            <w:r>
              <w:rPr>
                <w:rFonts w:ascii="Arial" w:cs="Arial" w:eastAsia="Arial" w:hAnsi="Arial"/>
                <w:sz w:val="18"/>
                <w:szCs w:val="18"/>
                <w:color w:val="auto"/>
                <w:w w:val="97"/>
              </w:rPr>
              <w:t>without notice. Accordingly, we cannot assure you that a liquid market for the Notes will</w:t>
            </w:r>
          </w:p>
        </w:tc>
      </w:tr>
      <w:tr>
        <w:trPr>
          <w:trHeight w:val="230"/>
        </w:trPr>
        <w:tc>
          <w:tcPr>
            <w:tcW w:w="3920" w:type="dxa"/>
            <w:vAlign w:val="bottom"/>
          </w:tcPr>
          <w:p>
            <w:pPr>
              <w:spacing w:after="0"/>
              <w:rPr>
                <w:sz w:val="20"/>
                <w:szCs w:val="20"/>
                <w:color w:val="auto"/>
              </w:rPr>
            </w:pPr>
          </w:p>
        </w:tc>
        <w:tc>
          <w:tcPr>
            <w:tcW w:w="7100" w:type="dxa"/>
            <w:vAlign w:val="bottom"/>
          </w:tcPr>
          <w:p>
            <w:pPr>
              <w:ind w:left="300"/>
              <w:spacing w:after="0"/>
              <w:rPr>
                <w:sz w:val="20"/>
                <w:szCs w:val="20"/>
                <w:color w:val="auto"/>
              </w:rPr>
            </w:pPr>
            <w:r>
              <w:rPr>
                <w:rFonts w:ascii="Arial" w:cs="Arial" w:eastAsia="Arial" w:hAnsi="Arial"/>
                <w:sz w:val="18"/>
                <w:szCs w:val="18"/>
                <w:color w:val="auto"/>
              </w:rPr>
              <w:t>develop or be maintained.</w:t>
            </w:r>
          </w:p>
        </w:tc>
      </w:tr>
      <w:tr>
        <w:trPr>
          <w:trHeight w:val="338"/>
        </w:trPr>
        <w:tc>
          <w:tcPr>
            <w:tcW w:w="3920" w:type="dxa"/>
            <w:vAlign w:val="bottom"/>
          </w:tcPr>
          <w:p>
            <w:pPr>
              <w:ind w:left="180"/>
              <w:spacing w:after="0"/>
              <w:rPr>
                <w:sz w:val="20"/>
                <w:szCs w:val="20"/>
                <w:color w:val="auto"/>
              </w:rPr>
            </w:pPr>
            <w:r>
              <w:rPr>
                <w:rFonts w:ascii="Arial" w:cs="Arial" w:eastAsia="Arial" w:hAnsi="Arial"/>
                <w:sz w:val="18"/>
                <w:szCs w:val="18"/>
                <w:color w:val="auto"/>
              </w:rPr>
              <w:t>Interest rate</w:t>
            </w:r>
          </w:p>
        </w:tc>
        <w:tc>
          <w:tcPr>
            <w:tcW w:w="7100" w:type="dxa"/>
            <w:vAlign w:val="bottom"/>
          </w:tcPr>
          <w:p>
            <w:pPr>
              <w:ind w:left="300"/>
              <w:spacing w:after="0"/>
              <w:rPr>
                <w:sz w:val="20"/>
                <w:szCs w:val="20"/>
                <w:color w:val="auto"/>
              </w:rPr>
            </w:pPr>
            <w:r>
              <w:rPr>
                <w:rFonts w:ascii="Arial" w:cs="Arial" w:eastAsia="Arial" w:hAnsi="Arial"/>
                <w:sz w:val="18"/>
                <w:szCs w:val="18"/>
                <w:color w:val="auto"/>
              </w:rPr>
              <w:t>4.25% per year</w:t>
            </w:r>
          </w:p>
        </w:tc>
      </w:tr>
      <w:tr>
        <w:trPr>
          <w:trHeight w:val="351"/>
        </w:trPr>
        <w:tc>
          <w:tcPr>
            <w:tcW w:w="3920" w:type="dxa"/>
            <w:vAlign w:val="bottom"/>
          </w:tcPr>
          <w:p>
            <w:pPr>
              <w:ind w:left="180"/>
              <w:spacing w:after="0"/>
              <w:rPr>
                <w:sz w:val="20"/>
                <w:szCs w:val="20"/>
                <w:color w:val="auto"/>
              </w:rPr>
            </w:pPr>
            <w:r>
              <w:rPr>
                <w:rFonts w:ascii="Arial" w:cs="Arial" w:eastAsia="Arial" w:hAnsi="Arial"/>
                <w:sz w:val="18"/>
                <w:szCs w:val="18"/>
                <w:color w:val="auto"/>
              </w:rPr>
              <w:t>Yield To Maturity</w:t>
            </w:r>
          </w:p>
        </w:tc>
        <w:tc>
          <w:tcPr>
            <w:tcW w:w="7100" w:type="dxa"/>
            <w:vAlign w:val="bottom"/>
          </w:tcPr>
          <w:p>
            <w:pPr>
              <w:ind w:left="300"/>
              <w:spacing w:after="0"/>
              <w:rPr>
                <w:sz w:val="20"/>
                <w:szCs w:val="20"/>
                <w:color w:val="auto"/>
              </w:rPr>
            </w:pPr>
            <w:r>
              <w:rPr>
                <w:rFonts w:ascii="Arial" w:cs="Arial" w:eastAsia="Arial" w:hAnsi="Arial"/>
                <w:sz w:val="18"/>
                <w:szCs w:val="18"/>
                <w:color w:val="auto"/>
              </w:rPr>
              <w:t>4.375%</w:t>
            </w:r>
          </w:p>
        </w:tc>
      </w:tr>
      <w:tr>
        <w:trPr>
          <w:trHeight w:val="351"/>
        </w:trPr>
        <w:tc>
          <w:tcPr>
            <w:tcW w:w="3920" w:type="dxa"/>
            <w:vAlign w:val="bottom"/>
          </w:tcPr>
          <w:p>
            <w:pPr>
              <w:ind w:left="180"/>
              <w:spacing w:after="0"/>
              <w:rPr>
                <w:sz w:val="20"/>
                <w:szCs w:val="20"/>
                <w:color w:val="auto"/>
              </w:rPr>
            </w:pPr>
            <w:r>
              <w:rPr>
                <w:rFonts w:ascii="Arial" w:cs="Arial" w:eastAsia="Arial" w:hAnsi="Arial"/>
                <w:sz w:val="18"/>
                <w:szCs w:val="18"/>
                <w:color w:val="auto"/>
              </w:rPr>
              <w:t>Day count basis</w:t>
            </w:r>
          </w:p>
        </w:tc>
        <w:tc>
          <w:tcPr>
            <w:tcW w:w="7100" w:type="dxa"/>
            <w:vAlign w:val="bottom"/>
          </w:tcPr>
          <w:p>
            <w:pPr>
              <w:ind w:left="300"/>
              <w:spacing w:after="0"/>
              <w:rPr>
                <w:sz w:val="20"/>
                <w:szCs w:val="20"/>
                <w:color w:val="auto"/>
              </w:rPr>
            </w:pPr>
            <w:r>
              <w:rPr>
                <w:rFonts w:ascii="Arial" w:cs="Arial" w:eastAsia="Arial" w:hAnsi="Arial"/>
                <w:sz w:val="18"/>
                <w:szCs w:val="18"/>
                <w:color w:val="auto"/>
              </w:rPr>
              <w:t>360-day year of twelve 30-day months</w:t>
            </w:r>
          </w:p>
        </w:tc>
      </w:tr>
      <w:tr>
        <w:trPr>
          <w:trHeight w:val="351"/>
        </w:trPr>
        <w:tc>
          <w:tcPr>
            <w:tcW w:w="3920" w:type="dxa"/>
            <w:vAlign w:val="bottom"/>
          </w:tcPr>
          <w:p>
            <w:pPr>
              <w:ind w:left="180"/>
              <w:spacing w:after="0"/>
              <w:rPr>
                <w:sz w:val="20"/>
                <w:szCs w:val="20"/>
                <w:color w:val="auto"/>
              </w:rPr>
            </w:pPr>
            <w:r>
              <w:rPr>
                <w:rFonts w:ascii="Arial" w:cs="Arial" w:eastAsia="Arial" w:hAnsi="Arial"/>
                <w:sz w:val="18"/>
                <w:szCs w:val="18"/>
                <w:color w:val="auto"/>
              </w:rPr>
              <w:t>Original issue date</w:t>
            </w:r>
          </w:p>
        </w:tc>
        <w:tc>
          <w:tcPr>
            <w:tcW w:w="7100" w:type="dxa"/>
            <w:vAlign w:val="bottom"/>
          </w:tcPr>
          <w:p>
            <w:pPr>
              <w:ind w:left="300"/>
              <w:spacing w:after="0"/>
              <w:rPr>
                <w:sz w:val="20"/>
                <w:szCs w:val="20"/>
                <w:color w:val="auto"/>
              </w:rPr>
            </w:pPr>
            <w:r>
              <w:rPr>
                <w:rFonts w:ascii="Arial" w:cs="Arial" w:eastAsia="Arial" w:hAnsi="Arial"/>
                <w:sz w:val="18"/>
                <w:szCs w:val="18"/>
                <w:color w:val="auto"/>
              </w:rPr>
              <w:t>March 23, 2021</w:t>
            </w:r>
          </w:p>
        </w:tc>
      </w:tr>
      <w:tr>
        <w:trPr>
          <w:trHeight w:val="297"/>
        </w:trPr>
        <w:tc>
          <w:tcPr>
            <w:tcW w:w="3920" w:type="dxa"/>
            <w:vAlign w:val="bottom"/>
          </w:tcPr>
          <w:p>
            <w:pPr>
              <w:ind w:left="180"/>
              <w:spacing w:after="0"/>
              <w:rPr>
                <w:sz w:val="20"/>
                <w:szCs w:val="20"/>
                <w:color w:val="auto"/>
              </w:rPr>
            </w:pPr>
            <w:r>
              <w:rPr>
                <w:rFonts w:ascii="Arial" w:cs="Arial" w:eastAsia="Arial" w:hAnsi="Arial"/>
                <w:sz w:val="18"/>
                <w:szCs w:val="18"/>
                <w:color w:val="auto"/>
              </w:rPr>
              <w:t>Stated maturity date</w:t>
            </w:r>
          </w:p>
        </w:tc>
        <w:tc>
          <w:tcPr>
            <w:tcW w:w="7100" w:type="dxa"/>
            <w:vAlign w:val="bottom"/>
          </w:tcPr>
          <w:p>
            <w:pPr>
              <w:ind w:left="300"/>
              <w:spacing w:after="0"/>
              <w:rPr>
                <w:sz w:val="20"/>
                <w:szCs w:val="20"/>
                <w:color w:val="auto"/>
              </w:rPr>
            </w:pPr>
            <w:r>
              <w:rPr>
                <w:rFonts w:ascii="Arial" w:cs="Arial" w:eastAsia="Arial" w:hAnsi="Arial"/>
                <w:sz w:val="18"/>
                <w:szCs w:val="18"/>
                <w:color w:val="auto"/>
              </w:rPr>
              <w:t>April 1, 2026</w:t>
            </w:r>
          </w:p>
        </w:tc>
      </w:tr>
      <w:tr>
        <w:trPr>
          <w:trHeight w:val="351"/>
        </w:trPr>
        <w:tc>
          <w:tcPr>
            <w:tcW w:w="3920" w:type="dxa"/>
            <w:vAlign w:val="bottom"/>
          </w:tcPr>
          <w:p>
            <w:pPr>
              <w:ind w:left="180"/>
              <w:spacing w:after="0"/>
              <w:rPr>
                <w:sz w:val="20"/>
                <w:szCs w:val="20"/>
                <w:color w:val="auto"/>
              </w:rPr>
            </w:pPr>
            <w:r>
              <w:rPr>
                <w:rFonts w:ascii="Arial" w:cs="Arial" w:eastAsia="Arial" w:hAnsi="Arial"/>
                <w:sz w:val="18"/>
                <w:szCs w:val="18"/>
                <w:color w:val="auto"/>
              </w:rPr>
              <w:t>Date interest starts accruing</w:t>
            </w:r>
          </w:p>
        </w:tc>
        <w:tc>
          <w:tcPr>
            <w:tcW w:w="7100" w:type="dxa"/>
            <w:vAlign w:val="bottom"/>
          </w:tcPr>
          <w:p>
            <w:pPr>
              <w:ind w:left="300"/>
              <w:spacing w:after="0"/>
              <w:rPr>
                <w:sz w:val="20"/>
                <w:szCs w:val="20"/>
                <w:color w:val="auto"/>
              </w:rPr>
            </w:pPr>
            <w:r>
              <w:rPr>
                <w:rFonts w:ascii="Arial" w:cs="Arial" w:eastAsia="Arial" w:hAnsi="Arial"/>
                <w:sz w:val="18"/>
                <w:szCs w:val="18"/>
                <w:color w:val="auto"/>
              </w:rPr>
              <w:t>March 23, 2021</w:t>
            </w:r>
          </w:p>
        </w:tc>
      </w:tr>
      <w:tr>
        <w:trPr>
          <w:trHeight w:val="337"/>
        </w:trPr>
        <w:tc>
          <w:tcPr>
            <w:tcW w:w="3920" w:type="dxa"/>
            <w:vAlign w:val="bottom"/>
          </w:tcPr>
          <w:p>
            <w:pPr>
              <w:ind w:left="180"/>
              <w:spacing w:after="0"/>
              <w:rPr>
                <w:sz w:val="20"/>
                <w:szCs w:val="20"/>
                <w:color w:val="auto"/>
              </w:rPr>
            </w:pPr>
            <w:r>
              <w:rPr>
                <w:rFonts w:ascii="Arial" w:cs="Arial" w:eastAsia="Arial" w:hAnsi="Arial"/>
                <w:sz w:val="18"/>
                <w:szCs w:val="18"/>
                <w:color w:val="auto"/>
              </w:rPr>
              <w:t>Interest payment dates</w:t>
            </w:r>
          </w:p>
        </w:tc>
        <w:tc>
          <w:tcPr>
            <w:tcW w:w="7100" w:type="dxa"/>
            <w:vAlign w:val="bottom"/>
          </w:tcPr>
          <w:p>
            <w:pPr>
              <w:ind w:left="300"/>
              <w:spacing w:after="0"/>
              <w:rPr>
                <w:sz w:val="20"/>
                <w:szCs w:val="20"/>
                <w:color w:val="auto"/>
              </w:rPr>
            </w:pPr>
            <w:r>
              <w:rPr>
                <w:rFonts w:ascii="Arial" w:cs="Arial" w:eastAsia="Arial" w:hAnsi="Arial"/>
                <w:sz w:val="18"/>
                <w:szCs w:val="18"/>
                <w:color w:val="auto"/>
                <w:w w:val="93"/>
              </w:rPr>
              <w:t>Every April 1 and October 1, commencing October 1, 2021. If an interest payment date is a</w:t>
            </w:r>
          </w:p>
        </w:tc>
      </w:tr>
      <w:tr>
        <w:trPr>
          <w:trHeight w:val="216"/>
        </w:trPr>
        <w:tc>
          <w:tcPr>
            <w:tcW w:w="3920" w:type="dxa"/>
            <w:vAlign w:val="bottom"/>
          </w:tcPr>
          <w:p>
            <w:pPr>
              <w:spacing w:after="0"/>
              <w:rPr>
                <w:sz w:val="18"/>
                <w:szCs w:val="18"/>
                <w:color w:val="auto"/>
              </w:rPr>
            </w:pPr>
          </w:p>
        </w:tc>
        <w:tc>
          <w:tcPr>
            <w:tcW w:w="7100" w:type="dxa"/>
            <w:vAlign w:val="bottom"/>
          </w:tcPr>
          <w:p>
            <w:pPr>
              <w:ind w:left="300"/>
              <w:spacing w:after="0"/>
              <w:rPr>
                <w:sz w:val="20"/>
                <w:szCs w:val="20"/>
                <w:color w:val="auto"/>
              </w:rPr>
            </w:pPr>
            <w:r>
              <w:rPr>
                <w:rFonts w:ascii="Arial" w:cs="Arial" w:eastAsia="Arial" w:hAnsi="Arial"/>
                <w:sz w:val="18"/>
                <w:szCs w:val="18"/>
                <w:color w:val="auto"/>
                <w:w w:val="94"/>
              </w:rPr>
              <w:t>non-business day, the applicable interest payment will be made on the next business day,</w:t>
            </w:r>
          </w:p>
        </w:tc>
      </w:tr>
      <w:tr>
        <w:trPr>
          <w:trHeight w:val="230"/>
        </w:trPr>
        <w:tc>
          <w:tcPr>
            <w:tcW w:w="3920" w:type="dxa"/>
            <w:vAlign w:val="bottom"/>
          </w:tcPr>
          <w:p>
            <w:pPr>
              <w:spacing w:after="0"/>
              <w:rPr>
                <w:sz w:val="20"/>
                <w:szCs w:val="20"/>
                <w:color w:val="auto"/>
              </w:rPr>
            </w:pPr>
          </w:p>
        </w:tc>
        <w:tc>
          <w:tcPr>
            <w:tcW w:w="7100" w:type="dxa"/>
            <w:vAlign w:val="bottom"/>
          </w:tcPr>
          <w:p>
            <w:pPr>
              <w:ind w:left="300"/>
              <w:spacing w:after="0"/>
              <w:rPr>
                <w:sz w:val="20"/>
                <w:szCs w:val="20"/>
                <w:color w:val="auto"/>
              </w:rPr>
            </w:pPr>
            <w:r>
              <w:rPr>
                <w:rFonts w:ascii="Arial" w:cs="Arial" w:eastAsia="Arial" w:hAnsi="Arial"/>
                <w:sz w:val="18"/>
                <w:szCs w:val="18"/>
                <w:color w:val="auto"/>
              </w:rPr>
              <w:t>and no additional interest will accrue as a result of such delayed payment</w:t>
            </w:r>
          </w:p>
        </w:tc>
      </w:tr>
      <w:tr>
        <w:trPr>
          <w:trHeight w:val="323"/>
        </w:trPr>
        <w:tc>
          <w:tcPr>
            <w:tcW w:w="3920" w:type="dxa"/>
            <w:vAlign w:val="bottom"/>
          </w:tcPr>
          <w:p>
            <w:pPr>
              <w:ind w:left="180"/>
              <w:spacing w:after="0"/>
              <w:rPr>
                <w:sz w:val="20"/>
                <w:szCs w:val="20"/>
                <w:color w:val="auto"/>
              </w:rPr>
            </w:pPr>
            <w:r>
              <w:rPr>
                <w:rFonts w:ascii="Arial" w:cs="Arial" w:eastAsia="Arial" w:hAnsi="Arial"/>
                <w:sz w:val="18"/>
                <w:szCs w:val="18"/>
                <w:color w:val="auto"/>
              </w:rPr>
              <w:t>Interest periods</w:t>
            </w:r>
          </w:p>
        </w:tc>
        <w:tc>
          <w:tcPr>
            <w:tcW w:w="7100" w:type="dxa"/>
            <w:vAlign w:val="bottom"/>
          </w:tcPr>
          <w:p>
            <w:pPr>
              <w:ind w:left="300"/>
              <w:spacing w:after="0"/>
              <w:rPr>
                <w:sz w:val="20"/>
                <w:szCs w:val="20"/>
                <w:color w:val="auto"/>
              </w:rPr>
            </w:pPr>
            <w:r>
              <w:rPr>
                <w:rFonts w:ascii="Arial" w:cs="Arial" w:eastAsia="Arial" w:hAnsi="Arial"/>
                <w:sz w:val="18"/>
                <w:szCs w:val="18"/>
                <w:color w:val="auto"/>
                <w:w w:val="99"/>
              </w:rPr>
              <w:t>The initial interest period will be the period from and including March 23, 2021, to, but</w:t>
            </w:r>
          </w:p>
        </w:tc>
      </w:tr>
      <w:tr>
        <w:trPr>
          <w:trHeight w:val="216"/>
        </w:trPr>
        <w:tc>
          <w:tcPr>
            <w:tcW w:w="3920" w:type="dxa"/>
            <w:vAlign w:val="bottom"/>
          </w:tcPr>
          <w:p>
            <w:pPr>
              <w:spacing w:after="0"/>
              <w:rPr>
                <w:sz w:val="18"/>
                <w:szCs w:val="18"/>
                <w:color w:val="auto"/>
              </w:rPr>
            </w:pPr>
          </w:p>
        </w:tc>
        <w:tc>
          <w:tcPr>
            <w:tcW w:w="7100" w:type="dxa"/>
            <w:vAlign w:val="bottom"/>
          </w:tcPr>
          <w:p>
            <w:pPr>
              <w:ind w:left="300"/>
              <w:spacing w:after="0"/>
              <w:rPr>
                <w:sz w:val="20"/>
                <w:szCs w:val="20"/>
                <w:color w:val="auto"/>
              </w:rPr>
            </w:pPr>
            <w:r>
              <w:rPr>
                <w:rFonts w:ascii="Arial" w:cs="Arial" w:eastAsia="Arial" w:hAnsi="Arial"/>
                <w:sz w:val="18"/>
                <w:szCs w:val="18"/>
                <w:color w:val="auto"/>
                <w:w w:val="94"/>
              </w:rPr>
              <w:t>excluding, the initial interest payment date, and the subsequent interest periods will be the</w:t>
            </w:r>
          </w:p>
        </w:tc>
      </w:tr>
      <w:tr>
        <w:trPr>
          <w:trHeight w:val="216"/>
        </w:trPr>
        <w:tc>
          <w:tcPr>
            <w:tcW w:w="3920" w:type="dxa"/>
            <w:vAlign w:val="bottom"/>
          </w:tcPr>
          <w:p>
            <w:pPr>
              <w:spacing w:after="0"/>
              <w:rPr>
                <w:sz w:val="18"/>
                <w:szCs w:val="18"/>
                <w:color w:val="auto"/>
              </w:rPr>
            </w:pPr>
          </w:p>
        </w:tc>
        <w:tc>
          <w:tcPr>
            <w:tcW w:w="7100" w:type="dxa"/>
            <w:vAlign w:val="bottom"/>
          </w:tcPr>
          <w:p>
            <w:pPr>
              <w:ind w:left="300"/>
              <w:spacing w:after="0"/>
              <w:rPr>
                <w:sz w:val="20"/>
                <w:szCs w:val="20"/>
                <w:color w:val="auto"/>
              </w:rPr>
            </w:pPr>
            <w:r>
              <w:rPr>
                <w:rFonts w:ascii="Arial" w:cs="Arial" w:eastAsia="Arial" w:hAnsi="Arial"/>
                <w:sz w:val="18"/>
                <w:szCs w:val="18"/>
                <w:color w:val="auto"/>
                <w:w w:val="98"/>
              </w:rPr>
              <w:t>periods from and including an interest payment date to, but excluding, the next interest</w:t>
            </w:r>
          </w:p>
        </w:tc>
      </w:tr>
      <w:tr>
        <w:trPr>
          <w:trHeight w:val="230"/>
        </w:trPr>
        <w:tc>
          <w:tcPr>
            <w:tcW w:w="3920" w:type="dxa"/>
            <w:vAlign w:val="bottom"/>
          </w:tcPr>
          <w:p>
            <w:pPr>
              <w:spacing w:after="0"/>
              <w:rPr>
                <w:sz w:val="20"/>
                <w:szCs w:val="20"/>
                <w:color w:val="auto"/>
              </w:rPr>
            </w:pPr>
          </w:p>
        </w:tc>
        <w:tc>
          <w:tcPr>
            <w:tcW w:w="7100" w:type="dxa"/>
            <w:vAlign w:val="bottom"/>
          </w:tcPr>
          <w:p>
            <w:pPr>
              <w:ind w:left="300"/>
              <w:spacing w:after="0"/>
              <w:rPr>
                <w:sz w:val="20"/>
                <w:szCs w:val="20"/>
                <w:color w:val="auto"/>
              </w:rPr>
            </w:pPr>
            <w:r>
              <w:rPr>
                <w:rFonts w:ascii="Arial" w:cs="Arial" w:eastAsia="Arial" w:hAnsi="Arial"/>
                <w:sz w:val="18"/>
                <w:szCs w:val="18"/>
                <w:color w:val="auto"/>
              </w:rPr>
              <w:t>payment date or the stated maturity date, as the case may be.</w:t>
            </w:r>
          </w:p>
        </w:tc>
      </w:tr>
      <w:tr>
        <w:trPr>
          <w:trHeight w:val="323"/>
        </w:trPr>
        <w:tc>
          <w:tcPr>
            <w:tcW w:w="3920" w:type="dxa"/>
            <w:vAlign w:val="bottom"/>
          </w:tcPr>
          <w:p>
            <w:pPr>
              <w:ind w:left="180"/>
              <w:spacing w:after="0"/>
              <w:rPr>
                <w:sz w:val="20"/>
                <w:szCs w:val="20"/>
                <w:color w:val="auto"/>
              </w:rPr>
            </w:pPr>
            <w:r>
              <w:rPr>
                <w:rFonts w:ascii="Arial" w:cs="Arial" w:eastAsia="Arial" w:hAnsi="Arial"/>
                <w:sz w:val="18"/>
                <w:szCs w:val="18"/>
                <w:color w:val="auto"/>
              </w:rPr>
              <w:t>Regular record dates for interest</w:t>
            </w:r>
          </w:p>
        </w:tc>
        <w:tc>
          <w:tcPr>
            <w:tcW w:w="7100" w:type="dxa"/>
            <w:vAlign w:val="bottom"/>
          </w:tcPr>
          <w:p>
            <w:pPr>
              <w:ind w:left="300"/>
              <w:spacing w:after="0"/>
              <w:rPr>
                <w:sz w:val="20"/>
                <w:szCs w:val="20"/>
                <w:color w:val="auto"/>
              </w:rPr>
            </w:pPr>
            <w:r>
              <w:rPr>
                <w:rFonts w:ascii="Arial" w:cs="Arial" w:eastAsia="Arial" w:hAnsi="Arial"/>
                <w:sz w:val="18"/>
                <w:szCs w:val="18"/>
                <w:color w:val="auto"/>
                <w:w w:val="94"/>
              </w:rPr>
              <w:t>Every March 15 and September 15, commencing September 15, 2021; if a record date for</w:t>
            </w:r>
          </w:p>
        </w:tc>
      </w:tr>
      <w:tr>
        <w:trPr>
          <w:trHeight w:val="230"/>
        </w:trPr>
        <w:tc>
          <w:tcPr>
            <w:tcW w:w="3920" w:type="dxa"/>
            <w:vAlign w:val="bottom"/>
          </w:tcPr>
          <w:p>
            <w:pPr>
              <w:spacing w:after="0"/>
              <w:rPr>
                <w:sz w:val="20"/>
                <w:szCs w:val="20"/>
                <w:color w:val="auto"/>
              </w:rPr>
            </w:pPr>
          </w:p>
        </w:tc>
        <w:tc>
          <w:tcPr>
            <w:tcW w:w="7100" w:type="dxa"/>
            <w:vAlign w:val="bottom"/>
          </w:tcPr>
          <w:p>
            <w:pPr>
              <w:ind w:left="300"/>
              <w:spacing w:after="0"/>
              <w:rPr>
                <w:sz w:val="20"/>
                <w:szCs w:val="20"/>
                <w:color w:val="auto"/>
              </w:rPr>
            </w:pPr>
            <w:r>
              <w:rPr>
                <w:rFonts w:ascii="Arial" w:cs="Arial" w:eastAsia="Arial" w:hAnsi="Arial"/>
                <w:sz w:val="18"/>
                <w:szCs w:val="18"/>
                <w:color w:val="auto"/>
              </w:rPr>
              <w:t>interest is a non-business day, then that record date will be the next business day.</w:t>
            </w:r>
          </w:p>
        </w:tc>
      </w:tr>
      <w:tr>
        <w:trPr>
          <w:trHeight w:val="338"/>
        </w:trPr>
        <w:tc>
          <w:tcPr>
            <w:tcW w:w="3920" w:type="dxa"/>
            <w:vAlign w:val="bottom"/>
          </w:tcPr>
          <w:p>
            <w:pPr>
              <w:ind w:left="180"/>
              <w:spacing w:after="0"/>
              <w:rPr>
                <w:sz w:val="20"/>
                <w:szCs w:val="20"/>
                <w:color w:val="auto"/>
              </w:rPr>
            </w:pPr>
            <w:r>
              <w:rPr>
                <w:rFonts w:ascii="Arial" w:cs="Arial" w:eastAsia="Arial" w:hAnsi="Arial"/>
                <w:sz w:val="18"/>
                <w:szCs w:val="18"/>
                <w:color w:val="auto"/>
              </w:rPr>
              <w:t>Specified currency</w:t>
            </w:r>
          </w:p>
        </w:tc>
        <w:tc>
          <w:tcPr>
            <w:tcW w:w="7100" w:type="dxa"/>
            <w:vAlign w:val="bottom"/>
          </w:tcPr>
          <w:p>
            <w:pPr>
              <w:ind w:left="300"/>
              <w:spacing w:after="0"/>
              <w:rPr>
                <w:sz w:val="20"/>
                <w:szCs w:val="20"/>
                <w:color w:val="auto"/>
              </w:rPr>
            </w:pPr>
            <w:r>
              <w:rPr>
                <w:rFonts w:ascii="Arial" w:cs="Arial" w:eastAsia="Arial" w:hAnsi="Arial"/>
                <w:sz w:val="18"/>
                <w:szCs w:val="18"/>
                <w:color w:val="auto"/>
              </w:rPr>
              <w:t>U.S. Dollars</w:t>
            </w:r>
          </w:p>
        </w:tc>
      </w:tr>
      <w:tr>
        <w:trPr>
          <w:trHeight w:val="253"/>
        </w:trPr>
        <w:tc>
          <w:tcPr>
            <w:tcW w:w="3920" w:type="dxa"/>
            <w:vAlign w:val="bottom"/>
            <w:tcBorders>
              <w:bottom w:val="single" w:sz="8" w:color="auto"/>
            </w:tcBorders>
          </w:tcPr>
          <w:p>
            <w:pPr>
              <w:spacing w:after="0"/>
              <w:rPr>
                <w:sz w:val="22"/>
                <w:szCs w:val="22"/>
                <w:color w:val="auto"/>
              </w:rPr>
            </w:pPr>
          </w:p>
        </w:tc>
        <w:tc>
          <w:tcPr>
            <w:tcW w:w="7100" w:type="dxa"/>
            <w:vAlign w:val="bottom"/>
            <w:tcBorders>
              <w:bottom w:val="single" w:sz="8" w:color="auto"/>
            </w:tcBorders>
          </w:tcPr>
          <w:p>
            <w:pPr>
              <w:spacing w:after="0"/>
              <w:rPr>
                <w:sz w:val="22"/>
                <w:szCs w:val="22"/>
                <w:color w:val="auto"/>
              </w:rPr>
            </w:pPr>
          </w:p>
        </w:tc>
      </w:tr>
      <w:tr>
        <w:trPr>
          <w:trHeight w:val="604"/>
        </w:trPr>
        <w:tc>
          <w:tcPr>
            <w:tcW w:w="3920" w:type="dxa"/>
            <w:vAlign w:val="bottom"/>
          </w:tcPr>
          <w:p>
            <w:pPr>
              <w:spacing w:after="0"/>
              <w:rPr>
                <w:sz w:val="24"/>
                <w:szCs w:val="24"/>
                <w:color w:val="auto"/>
              </w:rPr>
            </w:pPr>
          </w:p>
        </w:tc>
        <w:tc>
          <w:tcPr>
            <w:tcW w:w="7100" w:type="dxa"/>
            <w:vAlign w:val="bottom"/>
          </w:tcPr>
          <w:p>
            <w:pPr>
              <w:ind w:left="146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29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Place of payment</w:t>
            </w:r>
          </w:p>
        </w:tc>
        <w:tc>
          <w:tcPr>
            <w:tcW w:w="8080" w:type="dxa"/>
            <w:vAlign w:val="bottom"/>
            <w:tcBorders>
              <w:top w:val="single" w:sz="8" w:color="auto"/>
              <w:right w:val="single" w:sz="8" w:color="auto"/>
            </w:tcBorders>
          </w:tcPr>
          <w:p>
            <w:pPr>
              <w:ind w:left="1280"/>
              <w:spacing w:after="0"/>
              <w:rPr>
                <w:sz w:val="20"/>
                <w:szCs w:val="20"/>
                <w:color w:val="auto"/>
              </w:rPr>
            </w:pPr>
            <w:r>
              <w:rPr>
                <w:rFonts w:ascii="Arial" w:cs="Arial" w:eastAsia="Arial" w:hAnsi="Arial"/>
                <w:sz w:val="18"/>
                <w:szCs w:val="18"/>
                <w:color w:val="auto"/>
              </w:rPr>
              <w:t>The City of New York</w:t>
            </w:r>
          </w:p>
        </w:tc>
      </w:tr>
      <w:tr>
        <w:trPr>
          <w:trHeight w:val="351"/>
        </w:trPr>
        <w:tc>
          <w:tcPr>
            <w:tcW w:w="2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Ranking of Notes</w:t>
            </w: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The Notes will be our direct unsecured obligations and will rank:</w:t>
            </w:r>
          </w:p>
        </w:tc>
      </w:tr>
      <w:tr>
        <w:trPr>
          <w:trHeight w:val="337"/>
        </w:trPr>
        <w:tc>
          <w:tcPr>
            <w:tcW w:w="2940" w:type="dxa"/>
            <w:vAlign w:val="bottom"/>
            <w:tcBorders>
              <w:left w:val="single" w:sz="8" w:color="auto"/>
            </w:tcBorders>
          </w:tcPr>
          <w:p>
            <w:pPr>
              <w:spacing w:after="0"/>
              <w:rPr>
                <w:sz w:val="24"/>
                <w:szCs w:val="24"/>
                <w:color w:val="auto"/>
              </w:rPr>
            </w:pPr>
          </w:p>
        </w:tc>
        <w:tc>
          <w:tcPr>
            <w:tcW w:w="808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any existing and future unsecured</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w w:val="93"/>
              </w:rPr>
              <w:t>unsubordinated indebtedness, including approximately $117.8 million in aggregate</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w w:val="92"/>
              </w:rPr>
              <w:t>principal amount outstanding under our 4.3% Series A notes due 2023, or the 2023</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Notes, as of December 31, 2020;</w:t>
            </w:r>
          </w:p>
        </w:tc>
      </w:tr>
      <w:tr>
        <w:trPr>
          <w:trHeight w:val="323"/>
        </w:trPr>
        <w:tc>
          <w:tcPr>
            <w:tcW w:w="2940" w:type="dxa"/>
            <w:vAlign w:val="bottom"/>
            <w:tcBorders>
              <w:left w:val="single" w:sz="8" w:color="auto"/>
            </w:tcBorders>
          </w:tcPr>
          <w:p>
            <w:pPr>
              <w:spacing w:after="0"/>
              <w:rPr>
                <w:sz w:val="24"/>
                <w:szCs w:val="24"/>
                <w:color w:val="auto"/>
              </w:rPr>
            </w:pPr>
          </w:p>
        </w:tc>
        <w:tc>
          <w:tcPr>
            <w:tcW w:w="808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w w:val="95"/>
              </w:rPr>
              <w:t>•   senior to any of our future indebtedness that expressly states it is subordinated in</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right of payment to the Notes;</w:t>
            </w:r>
          </w:p>
        </w:tc>
      </w:tr>
      <w:tr>
        <w:trPr>
          <w:trHeight w:val="338"/>
        </w:trPr>
        <w:tc>
          <w:tcPr>
            <w:tcW w:w="2940" w:type="dxa"/>
            <w:vAlign w:val="bottom"/>
            <w:tcBorders>
              <w:left w:val="single" w:sz="8" w:color="auto"/>
            </w:tcBorders>
          </w:tcPr>
          <w:p>
            <w:pPr>
              <w:spacing w:after="0"/>
              <w:rPr>
                <w:sz w:val="24"/>
                <w:szCs w:val="24"/>
                <w:color w:val="auto"/>
              </w:rPr>
            </w:pPr>
          </w:p>
        </w:tc>
        <w:tc>
          <w:tcPr>
            <w:tcW w:w="808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   senior to any series of preferred stock that we may issue in the future;</w:t>
            </w:r>
          </w:p>
        </w:tc>
      </w:tr>
      <w:tr>
        <w:trPr>
          <w:trHeight w:val="323"/>
        </w:trPr>
        <w:tc>
          <w:tcPr>
            <w:tcW w:w="2940" w:type="dxa"/>
            <w:vAlign w:val="bottom"/>
            <w:tcBorders>
              <w:left w:val="single" w:sz="8" w:color="auto"/>
            </w:tcBorders>
          </w:tcPr>
          <w:p>
            <w:pPr>
              <w:spacing w:after="0"/>
              <w:rPr>
                <w:sz w:val="24"/>
                <w:szCs w:val="24"/>
                <w:color w:val="auto"/>
              </w:rPr>
            </w:pPr>
          </w:p>
        </w:tc>
        <w:tc>
          <w:tcPr>
            <w:tcW w:w="808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   effectively subordinated in right of payment to all of our existing and future</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w w:val="98"/>
              </w:rPr>
              <w:t>secured indebtedness (including indebtedness that is initially unsecured, but to</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w w:val="99"/>
              </w:rPr>
              <w:t>which we subsequently grant security), to the extent of the value of the assets</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securing such indebtedness; and</w:t>
            </w:r>
          </w:p>
        </w:tc>
      </w:tr>
      <w:tr>
        <w:trPr>
          <w:trHeight w:val="323"/>
        </w:trPr>
        <w:tc>
          <w:tcPr>
            <w:tcW w:w="2940" w:type="dxa"/>
            <w:vAlign w:val="bottom"/>
            <w:tcBorders>
              <w:left w:val="single" w:sz="8" w:color="auto"/>
            </w:tcBorders>
          </w:tcPr>
          <w:p>
            <w:pPr>
              <w:spacing w:after="0"/>
              <w:rPr>
                <w:sz w:val="24"/>
                <w:szCs w:val="24"/>
                <w:color w:val="auto"/>
              </w:rPr>
            </w:pPr>
          </w:p>
        </w:tc>
        <w:tc>
          <w:tcPr>
            <w:tcW w:w="8080" w:type="dxa"/>
            <w:vAlign w:val="bottom"/>
            <w:tcBorders>
              <w:right w:val="single" w:sz="8" w:color="auto"/>
            </w:tcBorders>
          </w:tcPr>
          <w:p>
            <w:pPr>
              <w:ind w:left="1640"/>
              <w:spacing w:after="0"/>
              <w:rPr>
                <w:sz w:val="20"/>
                <w:szCs w:val="20"/>
                <w:color w:val="auto"/>
              </w:rPr>
            </w:pPr>
            <w:r>
              <w:rPr>
                <w:rFonts w:ascii="Arial" w:cs="Arial" w:eastAsia="Arial" w:hAnsi="Arial"/>
                <w:sz w:val="18"/>
                <w:szCs w:val="18"/>
                <w:color w:val="auto"/>
              </w:rPr>
              <w:t>•   structurally subordinated to all existing and future indebtedness and other</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obligations of any of our subsidiaries, financing vehicles or similar facilities,</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including without limitation, approximately (i) $256.9 million of borrowings</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w w:val="98"/>
              </w:rPr>
              <w:t>outstanding under our multi-currency senior secured revolving credit facility, as</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amended and restated with Truist Bank (formerly SunTrust Bank) and other</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w w:val="94"/>
              </w:rPr>
              <w:t>lenders, or the Credit Facility, to the extent of the value of the assets securing our</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Credit Facility, as of December 31, 2020 and (ii) $228.0 million aggregate</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principal amount outstanding under our 2031 Asset-Backed Debt (as defined</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900"/>
              <w:spacing w:after="0"/>
              <w:rPr>
                <w:sz w:val="20"/>
                <w:szCs w:val="20"/>
                <w:color w:val="auto"/>
              </w:rPr>
            </w:pPr>
            <w:r>
              <w:rPr>
                <w:rFonts w:ascii="Arial" w:cs="Arial" w:eastAsia="Arial" w:hAnsi="Arial"/>
                <w:sz w:val="18"/>
                <w:szCs w:val="18"/>
                <w:color w:val="auto"/>
              </w:rPr>
              <w:t>below) as of December 31, 2020.</w:t>
            </w:r>
          </w:p>
        </w:tc>
      </w:tr>
      <w:tr>
        <w:trPr>
          <w:trHeight w:val="323"/>
        </w:trPr>
        <w:tc>
          <w:tcPr>
            <w:tcW w:w="2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Denominations</w:t>
            </w: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9"/>
              </w:rPr>
              <w:t>We will issue the Notes in denominations of $2,000 and integral multiples of $1,000 in</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excess thereof.</w:t>
            </w:r>
          </w:p>
        </w:tc>
      </w:tr>
      <w:tr>
        <w:trPr>
          <w:trHeight w:val="323"/>
        </w:trPr>
        <w:tc>
          <w:tcPr>
            <w:tcW w:w="2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Business day</w:t>
            </w: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9"/>
              </w:rPr>
              <w:t>Each Monday, Tuesday, Wednesday, Thursday and Friday that is not a day on which</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banking institutions in The City of New York are authorized or required by law or</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executive order to close.</w:t>
            </w:r>
          </w:p>
        </w:tc>
      </w:tr>
      <w:tr>
        <w:trPr>
          <w:trHeight w:val="323"/>
        </w:trPr>
        <w:tc>
          <w:tcPr>
            <w:tcW w:w="29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Optional redemption</w:t>
            </w: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6"/>
              </w:rPr>
              <w:t>We may redeem some or all of the Notes at any time, or from time to time, upon not less</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6"/>
              </w:rPr>
              <w:t>than 30 days’ nor more than 60 days’ written notice prior to the date fixed for redemption</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6"/>
              </w:rPr>
              <w:t>thereof, at a redemption price equal to the greater of (1) 100% of the principal amount of</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4"/>
              </w:rPr>
              <w:t>the Notes to be redeemed or (2) the sum of the present values of the remaining scheduled</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5"/>
              </w:rPr>
              <w:t>payments of principal and interest (exclusive of accrued and unpaid interest to the date of</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5"/>
              </w:rPr>
              <w:t>redemption) on the Notes to be redeemed, discounted to the redemption date on a semi-</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8"/>
              </w:rPr>
              <w:t>annual basis (assuming a 360-day year consisting of twelve 30-day months) using the</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8"/>
              </w:rPr>
              <w:t>applicable Treasury Rate plus 50 basis points, plus, in each case, accrued and unpaid</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3"/>
              </w:rPr>
              <w:t xml:space="preserve">interest to the redemption date;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however, that if we redeem any Notes on or after</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5"/>
              </w:rPr>
              <w:t>January 1, 2026 (the date falling three months prior to the maturity date of the Notes), the</w:t>
            </w:r>
          </w:p>
        </w:tc>
      </w:tr>
      <w:tr>
        <w:trPr>
          <w:trHeight w:val="216"/>
        </w:trPr>
        <w:tc>
          <w:tcPr>
            <w:tcW w:w="2940" w:type="dxa"/>
            <w:vAlign w:val="bottom"/>
            <w:tcBorders>
              <w:left w:val="single" w:sz="8" w:color="auto"/>
            </w:tcBorders>
          </w:tcPr>
          <w:p>
            <w:pPr>
              <w:spacing w:after="0"/>
              <w:rPr>
                <w:sz w:val="18"/>
                <w:szCs w:val="18"/>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w w:val="95"/>
              </w:rPr>
              <w:t>redemption price for the Notes will be equal to 100% of the principal amount of the Notes</w:t>
            </w:r>
          </w:p>
        </w:tc>
      </w:tr>
      <w:tr>
        <w:trPr>
          <w:trHeight w:val="230"/>
        </w:trPr>
        <w:tc>
          <w:tcPr>
            <w:tcW w:w="2940" w:type="dxa"/>
            <w:vAlign w:val="bottom"/>
            <w:tcBorders>
              <w:left w:val="single" w:sz="8" w:color="auto"/>
            </w:tcBorders>
          </w:tcPr>
          <w:p>
            <w:pPr>
              <w:spacing w:after="0"/>
              <w:rPr>
                <w:sz w:val="20"/>
                <w:szCs w:val="20"/>
                <w:color w:val="auto"/>
              </w:rPr>
            </w:pPr>
          </w:p>
        </w:tc>
        <w:tc>
          <w:tcPr>
            <w:tcW w:w="8080" w:type="dxa"/>
            <w:vAlign w:val="bottom"/>
            <w:tcBorders>
              <w:right w:val="single" w:sz="8" w:color="auto"/>
            </w:tcBorders>
          </w:tcPr>
          <w:p>
            <w:pPr>
              <w:ind w:left="1280"/>
              <w:spacing w:after="0"/>
              <w:rPr>
                <w:sz w:val="20"/>
                <w:szCs w:val="20"/>
                <w:color w:val="auto"/>
              </w:rPr>
            </w:pPr>
            <w:r>
              <w:rPr>
                <w:rFonts w:ascii="Arial" w:cs="Arial" w:eastAsia="Arial" w:hAnsi="Arial"/>
                <w:sz w:val="18"/>
                <w:szCs w:val="18"/>
                <w:color w:val="auto"/>
              </w:rPr>
              <w:t>to</w:t>
            </w:r>
          </w:p>
        </w:tc>
      </w:tr>
      <w:tr>
        <w:trPr>
          <w:trHeight w:val="240"/>
        </w:trPr>
        <w:tc>
          <w:tcPr>
            <w:tcW w:w="2940" w:type="dxa"/>
            <w:vAlign w:val="bottom"/>
            <w:tcBorders>
              <w:left w:val="single" w:sz="8" w:color="auto"/>
              <w:bottom w:val="single" w:sz="8" w:color="auto"/>
            </w:tcBorders>
          </w:tcPr>
          <w:p>
            <w:pPr>
              <w:spacing w:after="0"/>
              <w:rPr>
                <w:sz w:val="20"/>
                <w:szCs w:val="20"/>
                <w:color w:val="auto"/>
              </w:rPr>
            </w:pPr>
          </w:p>
        </w:tc>
        <w:tc>
          <w:tcPr>
            <w:tcW w:w="8080" w:type="dxa"/>
            <w:vAlign w:val="bottom"/>
            <w:tcBorders>
              <w:bottom w:val="single" w:sz="8" w:color="auto"/>
              <w:right w:val="single" w:sz="8" w:color="auto"/>
            </w:tcBorders>
          </w:tcPr>
          <w:p>
            <w:pPr>
              <w:spacing w:after="0"/>
              <w:rPr>
                <w:sz w:val="20"/>
                <w:szCs w:val="20"/>
                <w:color w:val="auto"/>
              </w:rPr>
            </w:pPr>
          </w:p>
        </w:tc>
      </w:tr>
      <w:tr>
        <w:trPr>
          <w:trHeight w:val="604"/>
        </w:trPr>
        <w:tc>
          <w:tcPr>
            <w:tcW w:w="2940" w:type="dxa"/>
            <w:vAlign w:val="bottom"/>
          </w:tcPr>
          <w:p>
            <w:pPr>
              <w:spacing w:after="0"/>
              <w:rPr>
                <w:sz w:val="24"/>
                <w:szCs w:val="24"/>
                <w:color w:val="auto"/>
              </w:rPr>
            </w:pPr>
          </w:p>
        </w:tc>
        <w:tc>
          <w:tcPr>
            <w:tcW w:w="8080" w:type="dxa"/>
            <w:vAlign w:val="bottom"/>
          </w:tcPr>
          <w:p>
            <w:pPr>
              <w:ind w:left="244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6055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Sinking fund</w:t>
      </w:r>
    </w:p>
    <w:p>
      <w:pPr>
        <w:spacing w:after="0" w:line="144" w:lineRule="exact"/>
        <w:rPr>
          <w:sz w:val="20"/>
          <w:szCs w:val="20"/>
          <w:color w:val="auto"/>
        </w:rPr>
      </w:pPr>
    </w:p>
    <w:p>
      <w:pPr>
        <w:ind w:left="300" w:right="140"/>
        <w:spacing w:after="0" w:line="277" w:lineRule="auto"/>
        <w:rPr>
          <w:sz w:val="20"/>
          <w:szCs w:val="20"/>
          <w:color w:val="auto"/>
        </w:rPr>
      </w:pPr>
      <w:r>
        <w:rPr>
          <w:rFonts w:ascii="Arial" w:cs="Arial" w:eastAsia="Arial" w:hAnsi="Arial"/>
          <w:sz w:val="18"/>
          <w:szCs w:val="18"/>
          <w:color w:val="auto"/>
        </w:rPr>
        <w:t>Offer to Purchase upon a Change of Control Repurchase Event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be redeemed, plus accrued and unpaid interest, if any, to, but excluding, the date of redemption.</w:t>
      </w:r>
    </w:p>
    <w:p>
      <w:pPr>
        <w:spacing w:after="0" w:line="8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Any exercise of our option to redeem the Notes will be done in compliance with the 1940 Act and the related rules, regulations and interpretations, to the extent applicable.</w:t>
      </w:r>
    </w:p>
    <w:p>
      <w:pPr>
        <w:spacing w:after="0" w:line="29"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If we redeem only some of the Notes, the Trustee or DTC, as applicable, will determine the method for selection of the particular Notes to be redeemed, in accordance with the 1940 Act, to the extent applicable. Unless we default in payment of the redemption price, on and after the date of redemption interest will cease to accrue on the Notes called for redemption.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not be subject to any sinking fund.</w:t>
      </w:r>
    </w:p>
    <w:p>
      <w:pPr>
        <w:spacing w:after="0" w:line="144"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If a Change of Control Repurchase Event occurs prior to maturity, unless we have exercised our right to redeem the Notes in full, Holders will have the right, at their option, to require us to repurchase for cash some or all of the Notes at a repurchase price equal to 100% of the principal amount of the Notes being repurchased, plus accrued and unpaid interest to, but not including, the repurchase date.</w:t>
      </w:r>
    </w:p>
    <w:p>
      <w:pPr>
        <w:spacing w:after="0" w:line="82" w:lineRule="exact"/>
        <w:rPr>
          <w:sz w:val="20"/>
          <w:szCs w:val="20"/>
          <w:color w:val="auto"/>
        </w:rPr>
      </w:pPr>
    </w:p>
    <w:p>
      <w:pPr>
        <w:sectPr>
          <w:pgSz w:w="11900" w:h="16838" w:orient="portrait"/>
          <w:cols w:equalWidth="0" w:num="2">
            <w:col w:w="3620" w:space="720"/>
            <w:col w:w="680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30"/>
        </w:trPr>
        <w:tc>
          <w:tcPr>
            <w:tcW w:w="4100" w:type="dxa"/>
            <w:vAlign w:val="bottom"/>
          </w:tcPr>
          <w:p>
            <w:pPr>
              <w:ind w:left="180"/>
              <w:spacing w:after="0"/>
              <w:rPr>
                <w:sz w:val="20"/>
                <w:szCs w:val="20"/>
                <w:color w:val="auto"/>
              </w:rPr>
            </w:pPr>
            <w:r>
              <w:rPr>
                <w:rFonts w:ascii="Arial" w:cs="Arial" w:eastAsia="Arial" w:hAnsi="Arial"/>
                <w:sz w:val="18"/>
                <w:szCs w:val="18"/>
                <w:color w:val="auto"/>
              </w:rPr>
              <w:t>Defeasance</w:t>
            </w:r>
          </w:p>
        </w:tc>
        <w:tc>
          <w:tcPr>
            <w:tcW w:w="6920" w:type="dxa"/>
            <w:vAlign w:val="bottom"/>
          </w:tcPr>
          <w:p>
            <w:pPr>
              <w:ind w:left="120"/>
              <w:spacing w:after="0"/>
              <w:rPr>
                <w:sz w:val="20"/>
                <w:szCs w:val="20"/>
                <w:color w:val="auto"/>
              </w:rPr>
            </w:pPr>
            <w:r>
              <w:rPr>
                <w:rFonts w:ascii="Arial" w:cs="Arial" w:eastAsia="Arial" w:hAnsi="Arial"/>
                <w:sz w:val="18"/>
                <w:szCs w:val="18"/>
                <w:color w:val="auto"/>
              </w:rPr>
              <w:t>The Notes are subject to defeasance by us.</w:t>
            </w:r>
          </w:p>
        </w:tc>
      </w:tr>
      <w:tr>
        <w:trPr>
          <w:trHeight w:val="351"/>
        </w:trPr>
        <w:tc>
          <w:tcPr>
            <w:tcW w:w="4100" w:type="dxa"/>
            <w:vAlign w:val="bottom"/>
          </w:tcPr>
          <w:p>
            <w:pPr>
              <w:ind w:left="180"/>
              <w:spacing w:after="0"/>
              <w:rPr>
                <w:sz w:val="20"/>
                <w:szCs w:val="20"/>
                <w:color w:val="auto"/>
              </w:rPr>
            </w:pPr>
            <w:r>
              <w:rPr>
                <w:rFonts w:ascii="Arial" w:cs="Arial" w:eastAsia="Arial" w:hAnsi="Arial"/>
                <w:sz w:val="18"/>
                <w:szCs w:val="18"/>
                <w:color w:val="auto"/>
              </w:rPr>
              <w:t>Covenant defeasance</w:t>
            </w:r>
          </w:p>
        </w:tc>
        <w:tc>
          <w:tcPr>
            <w:tcW w:w="6920" w:type="dxa"/>
            <w:vAlign w:val="bottom"/>
          </w:tcPr>
          <w:p>
            <w:pPr>
              <w:ind w:left="120"/>
              <w:spacing w:after="0"/>
              <w:rPr>
                <w:sz w:val="20"/>
                <w:szCs w:val="20"/>
                <w:color w:val="auto"/>
              </w:rPr>
            </w:pPr>
            <w:r>
              <w:rPr>
                <w:rFonts w:ascii="Arial" w:cs="Arial" w:eastAsia="Arial" w:hAnsi="Arial"/>
                <w:sz w:val="18"/>
                <w:szCs w:val="18"/>
                <w:color w:val="auto"/>
              </w:rPr>
              <w:t>The Notes are subject to covenant defeasance by us.</w:t>
            </w:r>
          </w:p>
        </w:tc>
      </w:tr>
      <w:tr>
        <w:trPr>
          <w:trHeight w:val="337"/>
        </w:trPr>
        <w:tc>
          <w:tcPr>
            <w:tcW w:w="4100" w:type="dxa"/>
            <w:vAlign w:val="bottom"/>
          </w:tcPr>
          <w:p>
            <w:pPr>
              <w:ind w:left="180"/>
              <w:spacing w:after="0"/>
              <w:rPr>
                <w:sz w:val="20"/>
                <w:szCs w:val="20"/>
                <w:color w:val="auto"/>
              </w:rPr>
            </w:pPr>
            <w:r>
              <w:rPr>
                <w:rFonts w:ascii="Arial" w:cs="Arial" w:eastAsia="Arial" w:hAnsi="Arial"/>
                <w:sz w:val="18"/>
                <w:szCs w:val="18"/>
                <w:color w:val="auto"/>
              </w:rPr>
              <w:t>Form of Notes</w:t>
            </w:r>
          </w:p>
        </w:tc>
        <w:tc>
          <w:tcPr>
            <w:tcW w:w="6920" w:type="dxa"/>
            <w:vAlign w:val="bottom"/>
          </w:tcPr>
          <w:p>
            <w:pPr>
              <w:ind w:left="120"/>
              <w:spacing w:after="0"/>
              <w:rPr>
                <w:sz w:val="20"/>
                <w:szCs w:val="20"/>
                <w:color w:val="auto"/>
              </w:rPr>
            </w:pPr>
            <w:r>
              <w:rPr>
                <w:rFonts w:ascii="Arial" w:cs="Arial" w:eastAsia="Arial" w:hAnsi="Arial"/>
                <w:sz w:val="18"/>
                <w:szCs w:val="18"/>
                <w:color w:val="auto"/>
                <w:w w:val="95"/>
              </w:rPr>
              <w:t>The Notes will be represented by global securities that will be deposited and registered in</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w w:val="98"/>
              </w:rPr>
              <w:t>the name of DTC or its nominee. This means that, except in limited circumstances, you</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will not receive certificates for the Notes. Beneficial interests in the Notes will be</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represented through book-entry accounts of financial institutions acting on behalf of</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w w:val="97"/>
              </w:rPr>
              <w:t>beneficial owners as direct and indirect participants in DTC. Investors may elect to hold</w:t>
            </w:r>
          </w:p>
        </w:tc>
      </w:tr>
      <w:tr>
        <w:trPr>
          <w:trHeight w:val="216"/>
        </w:trPr>
        <w:tc>
          <w:tcPr>
            <w:tcW w:w="4100" w:type="dxa"/>
            <w:vAlign w:val="bottom"/>
          </w:tcPr>
          <w:p>
            <w:pPr>
              <w:spacing w:after="0"/>
              <w:rPr>
                <w:sz w:val="18"/>
                <w:szCs w:val="18"/>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w w:val="98"/>
              </w:rPr>
              <w:t>interests in the Notes through either DTC, if they are a participant, or indirectly through</w:t>
            </w:r>
          </w:p>
        </w:tc>
      </w:tr>
      <w:tr>
        <w:trPr>
          <w:trHeight w:val="230"/>
        </w:trPr>
        <w:tc>
          <w:tcPr>
            <w:tcW w:w="4100" w:type="dxa"/>
            <w:vAlign w:val="bottom"/>
          </w:tcPr>
          <w:p>
            <w:pPr>
              <w:spacing w:after="0"/>
              <w:rPr>
                <w:sz w:val="20"/>
                <w:szCs w:val="20"/>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organizations that are participants in DTC.</w:t>
            </w:r>
          </w:p>
        </w:tc>
      </w:tr>
      <w:tr>
        <w:trPr>
          <w:trHeight w:val="338"/>
        </w:trPr>
        <w:tc>
          <w:tcPr>
            <w:tcW w:w="4100" w:type="dxa"/>
            <w:vAlign w:val="bottom"/>
          </w:tcPr>
          <w:p>
            <w:pPr>
              <w:ind w:left="180"/>
              <w:spacing w:after="0"/>
              <w:rPr>
                <w:sz w:val="20"/>
                <w:szCs w:val="20"/>
                <w:color w:val="auto"/>
              </w:rPr>
            </w:pPr>
            <w:r>
              <w:rPr>
                <w:rFonts w:ascii="Arial" w:cs="Arial" w:eastAsia="Arial" w:hAnsi="Arial"/>
                <w:sz w:val="18"/>
                <w:szCs w:val="18"/>
                <w:color w:val="auto"/>
                <w:w w:val="92"/>
              </w:rPr>
              <w:t>Trustee, Paying Agent, Registrar and Transfer Agent</w:t>
            </w:r>
          </w:p>
        </w:tc>
        <w:tc>
          <w:tcPr>
            <w:tcW w:w="6920" w:type="dxa"/>
            <w:vAlign w:val="bottom"/>
          </w:tcPr>
          <w:p>
            <w:pPr>
              <w:ind w:left="120"/>
              <w:spacing w:after="0"/>
              <w:rPr>
                <w:sz w:val="20"/>
                <w:szCs w:val="20"/>
                <w:color w:val="auto"/>
              </w:rPr>
            </w:pPr>
            <w:r>
              <w:rPr>
                <w:rFonts w:ascii="Arial" w:cs="Arial" w:eastAsia="Arial" w:hAnsi="Arial"/>
                <w:sz w:val="18"/>
                <w:szCs w:val="18"/>
                <w:color w:val="auto"/>
              </w:rPr>
              <w:t>American Stock Transfer &amp; Trust Company, LLC</w:t>
            </w:r>
          </w:p>
        </w:tc>
      </w:tr>
      <w:tr>
        <w:trPr>
          <w:trHeight w:val="458"/>
        </w:trPr>
        <w:tc>
          <w:tcPr>
            <w:tcW w:w="4100" w:type="dxa"/>
            <w:vAlign w:val="bottom"/>
          </w:tcPr>
          <w:p>
            <w:pPr>
              <w:ind w:left="180"/>
              <w:spacing w:after="0"/>
              <w:rPr>
                <w:sz w:val="20"/>
                <w:szCs w:val="20"/>
                <w:color w:val="auto"/>
              </w:rPr>
            </w:pPr>
            <w:r>
              <w:rPr>
                <w:rFonts w:ascii="Arial" w:cs="Arial" w:eastAsia="Arial" w:hAnsi="Arial"/>
                <w:sz w:val="18"/>
                <w:szCs w:val="18"/>
                <w:color w:val="auto"/>
              </w:rPr>
              <w:t>Other covenants</w:t>
            </w:r>
          </w:p>
        </w:tc>
        <w:tc>
          <w:tcPr>
            <w:tcW w:w="6920" w:type="dxa"/>
            <w:vAlign w:val="bottom"/>
          </w:tcPr>
          <w:p>
            <w:pPr>
              <w:ind w:left="120"/>
              <w:spacing w:after="0"/>
              <w:rPr>
                <w:sz w:val="20"/>
                <w:szCs w:val="20"/>
                <w:color w:val="auto"/>
              </w:rPr>
            </w:pPr>
            <w:r>
              <w:rPr>
                <w:rFonts w:ascii="Arial" w:cs="Arial" w:eastAsia="Arial" w:hAnsi="Arial"/>
                <w:sz w:val="18"/>
                <w:szCs w:val="18"/>
                <w:color w:val="auto"/>
              </w:rPr>
              <w:t>In addition to the covenants described in the prospectus attached to this prospectus</w:t>
            </w:r>
          </w:p>
        </w:tc>
      </w:tr>
      <w:tr>
        <w:trPr>
          <w:trHeight w:val="230"/>
        </w:trPr>
        <w:tc>
          <w:tcPr>
            <w:tcW w:w="4100" w:type="dxa"/>
            <w:vAlign w:val="bottom"/>
          </w:tcPr>
          <w:p>
            <w:pPr>
              <w:spacing w:after="0"/>
              <w:rPr>
                <w:sz w:val="20"/>
                <w:szCs w:val="20"/>
                <w:color w:val="auto"/>
              </w:rPr>
            </w:pPr>
          </w:p>
        </w:tc>
        <w:tc>
          <w:tcPr>
            <w:tcW w:w="6920" w:type="dxa"/>
            <w:vAlign w:val="bottom"/>
          </w:tcPr>
          <w:p>
            <w:pPr>
              <w:ind w:left="120"/>
              <w:spacing w:after="0"/>
              <w:rPr>
                <w:sz w:val="20"/>
                <w:szCs w:val="20"/>
                <w:color w:val="auto"/>
              </w:rPr>
            </w:pPr>
            <w:r>
              <w:rPr>
                <w:rFonts w:ascii="Arial" w:cs="Arial" w:eastAsia="Arial" w:hAnsi="Arial"/>
                <w:sz w:val="18"/>
                <w:szCs w:val="18"/>
                <w:color w:val="auto"/>
              </w:rPr>
              <w:t>supplement, the following covenants will apply to the Notes:</w:t>
            </w:r>
          </w:p>
        </w:tc>
      </w:tr>
      <w:tr>
        <w:trPr>
          <w:trHeight w:val="323"/>
        </w:trPr>
        <w:tc>
          <w:tcPr>
            <w:tcW w:w="410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18"/>
                <w:szCs w:val="18"/>
                <w:color w:val="auto"/>
                <w:w w:val="98"/>
              </w:rPr>
              <w:t>•   We agree that for the period of time during which the Notes are outstanding, we</w:t>
            </w:r>
          </w:p>
        </w:tc>
      </w:tr>
      <w:tr>
        <w:trPr>
          <w:trHeight w:val="216"/>
        </w:trPr>
        <w:tc>
          <w:tcPr>
            <w:tcW w:w="4100" w:type="dxa"/>
            <w:vAlign w:val="bottom"/>
          </w:tcPr>
          <w:p>
            <w:pPr>
              <w:spacing w:after="0"/>
              <w:rPr>
                <w:sz w:val="18"/>
                <w:szCs w:val="18"/>
                <w:color w:val="auto"/>
              </w:rPr>
            </w:pPr>
          </w:p>
        </w:tc>
        <w:tc>
          <w:tcPr>
            <w:tcW w:w="6920" w:type="dxa"/>
            <w:vAlign w:val="bottom"/>
          </w:tcPr>
          <w:p>
            <w:pPr>
              <w:ind w:left="740"/>
              <w:spacing w:after="0"/>
              <w:rPr>
                <w:sz w:val="20"/>
                <w:szCs w:val="20"/>
                <w:color w:val="auto"/>
              </w:rPr>
            </w:pPr>
            <w:r>
              <w:rPr>
                <w:rFonts w:ascii="Arial" w:cs="Arial" w:eastAsia="Arial" w:hAnsi="Arial"/>
                <w:sz w:val="18"/>
                <w:szCs w:val="18"/>
                <w:color w:val="auto"/>
                <w:w w:val="97"/>
              </w:rPr>
              <w:t>will not violate Section 18(a)(1)(A) of the 1940 Act as modified by Section 61(a)</w:t>
            </w:r>
          </w:p>
        </w:tc>
      </w:tr>
      <w:tr>
        <w:trPr>
          <w:trHeight w:val="216"/>
        </w:trPr>
        <w:tc>
          <w:tcPr>
            <w:tcW w:w="4100" w:type="dxa"/>
            <w:vAlign w:val="bottom"/>
          </w:tcPr>
          <w:p>
            <w:pPr>
              <w:spacing w:after="0"/>
              <w:rPr>
                <w:sz w:val="18"/>
                <w:szCs w:val="18"/>
                <w:color w:val="auto"/>
              </w:rPr>
            </w:pPr>
          </w:p>
        </w:tc>
        <w:tc>
          <w:tcPr>
            <w:tcW w:w="6920" w:type="dxa"/>
            <w:vAlign w:val="bottom"/>
          </w:tcPr>
          <w:p>
            <w:pPr>
              <w:ind w:left="740"/>
              <w:spacing w:after="0"/>
              <w:rPr>
                <w:sz w:val="20"/>
                <w:szCs w:val="20"/>
                <w:color w:val="auto"/>
              </w:rPr>
            </w:pPr>
            <w:r>
              <w:rPr>
                <w:rFonts w:ascii="Arial" w:cs="Arial" w:eastAsia="Arial" w:hAnsi="Arial"/>
                <w:sz w:val="18"/>
                <w:szCs w:val="18"/>
                <w:color w:val="auto"/>
                <w:w w:val="96"/>
              </w:rPr>
              <w:t>(1) and (2) of the 1940 Act or any successor provisions, as such obligations may</w:t>
            </w:r>
          </w:p>
        </w:tc>
      </w:tr>
      <w:tr>
        <w:trPr>
          <w:trHeight w:val="216"/>
        </w:trPr>
        <w:tc>
          <w:tcPr>
            <w:tcW w:w="4100" w:type="dxa"/>
            <w:vAlign w:val="bottom"/>
          </w:tcPr>
          <w:p>
            <w:pPr>
              <w:spacing w:after="0"/>
              <w:rPr>
                <w:sz w:val="18"/>
                <w:szCs w:val="18"/>
                <w:color w:val="auto"/>
              </w:rPr>
            </w:pPr>
          </w:p>
        </w:tc>
        <w:tc>
          <w:tcPr>
            <w:tcW w:w="6920" w:type="dxa"/>
            <w:vAlign w:val="bottom"/>
          </w:tcPr>
          <w:p>
            <w:pPr>
              <w:ind w:left="740"/>
              <w:spacing w:after="0"/>
              <w:rPr>
                <w:sz w:val="20"/>
                <w:szCs w:val="20"/>
                <w:color w:val="auto"/>
              </w:rPr>
            </w:pPr>
            <w:r>
              <w:rPr>
                <w:rFonts w:ascii="Arial" w:cs="Arial" w:eastAsia="Arial" w:hAnsi="Arial"/>
                <w:sz w:val="18"/>
                <w:szCs w:val="18"/>
                <w:color w:val="auto"/>
                <w:w w:val="95"/>
              </w:rPr>
              <w:t>be amended or superseded, giving effect to any exemptive relief granted to us by</w:t>
            </w:r>
          </w:p>
        </w:tc>
      </w:tr>
      <w:tr>
        <w:trPr>
          <w:trHeight w:val="230"/>
        </w:trPr>
        <w:tc>
          <w:tcPr>
            <w:tcW w:w="4100" w:type="dxa"/>
            <w:vAlign w:val="bottom"/>
          </w:tcPr>
          <w:p>
            <w:pPr>
              <w:spacing w:after="0"/>
              <w:rPr>
                <w:sz w:val="20"/>
                <w:szCs w:val="20"/>
                <w:color w:val="auto"/>
              </w:rPr>
            </w:pPr>
          </w:p>
        </w:tc>
        <w:tc>
          <w:tcPr>
            <w:tcW w:w="6920" w:type="dxa"/>
            <w:vAlign w:val="bottom"/>
          </w:tcPr>
          <w:p>
            <w:pPr>
              <w:ind w:left="740"/>
              <w:spacing w:after="0"/>
              <w:rPr>
                <w:sz w:val="20"/>
                <w:szCs w:val="20"/>
                <w:color w:val="auto"/>
              </w:rPr>
            </w:pPr>
            <w:r>
              <w:rPr>
                <w:rFonts w:ascii="Arial" w:cs="Arial" w:eastAsia="Arial" w:hAnsi="Arial"/>
                <w:sz w:val="18"/>
                <w:szCs w:val="18"/>
                <w:color w:val="auto"/>
              </w:rPr>
              <w:t>the SEC.</w:t>
            </w:r>
          </w:p>
        </w:tc>
      </w:tr>
      <w:tr>
        <w:trPr>
          <w:trHeight w:val="323"/>
        </w:trPr>
        <w:tc>
          <w:tcPr>
            <w:tcW w:w="4100" w:type="dxa"/>
            <w:vAlign w:val="bottom"/>
          </w:tcPr>
          <w:p>
            <w:pPr>
              <w:spacing w:after="0"/>
              <w:rPr>
                <w:sz w:val="24"/>
                <w:szCs w:val="24"/>
                <w:color w:val="auto"/>
              </w:rPr>
            </w:pPr>
          </w:p>
        </w:tc>
        <w:tc>
          <w:tcPr>
            <w:tcW w:w="6920" w:type="dxa"/>
            <w:vAlign w:val="bottom"/>
          </w:tcPr>
          <w:p>
            <w:pPr>
              <w:ind w:left="480"/>
              <w:spacing w:after="0"/>
              <w:rPr>
                <w:sz w:val="20"/>
                <w:szCs w:val="20"/>
                <w:color w:val="auto"/>
              </w:rPr>
            </w:pPr>
            <w:r>
              <w:rPr>
                <w:rFonts w:ascii="Arial" w:cs="Arial" w:eastAsia="Arial" w:hAnsi="Arial"/>
                <w:sz w:val="18"/>
                <w:szCs w:val="18"/>
                <w:color w:val="auto"/>
                <w:w w:val="97"/>
              </w:rPr>
              <w:t>•   If, at any time, we are not subject to the reporting requirements of Sections 13 or</w:t>
            </w:r>
          </w:p>
        </w:tc>
      </w:tr>
      <w:tr>
        <w:trPr>
          <w:trHeight w:val="216"/>
        </w:trPr>
        <w:tc>
          <w:tcPr>
            <w:tcW w:w="4100" w:type="dxa"/>
            <w:vAlign w:val="bottom"/>
          </w:tcPr>
          <w:p>
            <w:pPr>
              <w:spacing w:after="0"/>
              <w:rPr>
                <w:sz w:val="18"/>
                <w:szCs w:val="18"/>
                <w:color w:val="auto"/>
              </w:rPr>
            </w:pPr>
          </w:p>
        </w:tc>
        <w:tc>
          <w:tcPr>
            <w:tcW w:w="6920" w:type="dxa"/>
            <w:vAlign w:val="bottom"/>
          </w:tcPr>
          <w:p>
            <w:pPr>
              <w:ind w:left="740"/>
              <w:spacing w:after="0"/>
              <w:rPr>
                <w:sz w:val="20"/>
                <w:szCs w:val="20"/>
                <w:color w:val="auto"/>
              </w:rPr>
            </w:pPr>
            <w:r>
              <w:rPr>
                <w:rFonts w:ascii="Arial" w:cs="Arial" w:eastAsia="Arial" w:hAnsi="Arial"/>
                <w:sz w:val="18"/>
                <w:szCs w:val="18"/>
                <w:color w:val="auto"/>
                <w:w w:val="95"/>
              </w:rPr>
              <w:t>15(d) of the Securities Exchange Act of 1934, as amended, or the Exchange Act,</w:t>
            </w:r>
          </w:p>
        </w:tc>
      </w:tr>
      <w:tr>
        <w:trPr>
          <w:trHeight w:val="230"/>
        </w:trPr>
        <w:tc>
          <w:tcPr>
            <w:tcW w:w="4100" w:type="dxa"/>
            <w:vAlign w:val="bottom"/>
          </w:tcPr>
          <w:p>
            <w:pPr>
              <w:spacing w:after="0"/>
              <w:rPr>
                <w:sz w:val="20"/>
                <w:szCs w:val="20"/>
                <w:color w:val="auto"/>
              </w:rPr>
            </w:pPr>
          </w:p>
        </w:tc>
        <w:tc>
          <w:tcPr>
            <w:tcW w:w="6920" w:type="dxa"/>
            <w:vAlign w:val="bottom"/>
          </w:tcPr>
          <w:p>
            <w:pPr>
              <w:ind w:left="740"/>
              <w:spacing w:after="0"/>
              <w:rPr>
                <w:sz w:val="20"/>
                <w:szCs w:val="20"/>
                <w:color w:val="auto"/>
              </w:rPr>
            </w:pPr>
            <w:r>
              <w:rPr>
                <w:rFonts w:ascii="Arial" w:cs="Arial" w:eastAsia="Arial" w:hAnsi="Arial"/>
                <w:sz w:val="18"/>
                <w:szCs w:val="18"/>
                <w:color w:val="auto"/>
              </w:rPr>
              <w:t>to file any periodic reports</w:t>
            </w:r>
          </w:p>
        </w:tc>
      </w:tr>
      <w:tr>
        <w:trPr>
          <w:trHeight w:val="240"/>
        </w:trPr>
        <w:tc>
          <w:tcPr>
            <w:tcW w:w="4100" w:type="dxa"/>
            <w:vAlign w:val="bottom"/>
            <w:tcBorders>
              <w:bottom w:val="single" w:sz="8" w:color="auto"/>
            </w:tcBorders>
          </w:tcPr>
          <w:p>
            <w:pPr>
              <w:spacing w:after="0"/>
              <w:rPr>
                <w:sz w:val="20"/>
                <w:szCs w:val="20"/>
                <w:color w:val="auto"/>
              </w:rPr>
            </w:pPr>
          </w:p>
        </w:tc>
        <w:tc>
          <w:tcPr>
            <w:tcW w:w="6920" w:type="dxa"/>
            <w:vAlign w:val="bottom"/>
            <w:tcBorders>
              <w:bottom w:val="single" w:sz="8" w:color="auto"/>
            </w:tcBorders>
          </w:tcPr>
          <w:p>
            <w:pPr>
              <w:spacing w:after="0"/>
              <w:rPr>
                <w:sz w:val="20"/>
                <w:szCs w:val="20"/>
                <w:color w:val="auto"/>
              </w:rPr>
            </w:pPr>
          </w:p>
        </w:tc>
      </w:tr>
      <w:tr>
        <w:trPr>
          <w:trHeight w:val="604"/>
        </w:trPr>
        <w:tc>
          <w:tcPr>
            <w:tcW w:w="4100" w:type="dxa"/>
            <w:vAlign w:val="bottom"/>
          </w:tcPr>
          <w:p>
            <w:pPr>
              <w:spacing w:after="0"/>
              <w:rPr>
                <w:sz w:val="24"/>
                <w:szCs w:val="24"/>
                <w:color w:val="auto"/>
              </w:rPr>
            </w:pPr>
          </w:p>
        </w:tc>
        <w:tc>
          <w:tcPr>
            <w:tcW w:w="6920" w:type="dxa"/>
            <w:vAlign w:val="bottom"/>
          </w:tcPr>
          <w:p>
            <w:pPr>
              <w:ind w:left="128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140"/>
          </w:cols>
          <w:pgMar w:left="32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800" w:type="dxa"/>
            <w:vAlign w:val="bottom"/>
            <w:tcBorders>
              <w:top w:val="single" w:sz="8" w:color="auto"/>
              <w:left w:val="single" w:sz="8" w:color="auto"/>
            </w:tcBorders>
          </w:tcPr>
          <w:p>
            <w:pPr>
              <w:spacing w:after="0"/>
              <w:rPr>
                <w:sz w:val="24"/>
                <w:szCs w:val="24"/>
                <w:color w:val="auto"/>
              </w:rPr>
            </w:pPr>
          </w:p>
        </w:tc>
        <w:tc>
          <w:tcPr>
            <w:tcW w:w="722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8"/>
                <w:szCs w:val="18"/>
                <w:color w:val="auto"/>
                <w:w w:val="97"/>
              </w:rPr>
              <w:t>with the SEC, we agree to publish on our website and to furnish to holders of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Notes and the Trustee, for the period of time during which the Notes are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3"/>
              </w:rPr>
              <w:t>outstanding, our audited annual consolidated financial statements, within 90 days of</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5"/>
              </w:rPr>
              <w:t>our fiscal year end, and unaudited interim consolidated financial statements, within</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45 days of our fiscal quarter end (other than our fourth fiscal quarter). All such</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w w:val="97"/>
              </w:rPr>
              <w:t>financial statements will be prepared, in all material respects, in accordance with</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applicable U. S. generally accepted accounting principles, or GAAP.</w:t>
            </w:r>
          </w:p>
        </w:tc>
      </w:tr>
      <w:tr>
        <w:trPr>
          <w:trHeight w:val="338"/>
        </w:trPr>
        <w:tc>
          <w:tcPr>
            <w:tcW w:w="3800" w:type="dxa"/>
            <w:vAlign w:val="bottom"/>
            <w:tcBorders>
              <w:left w:val="single" w:sz="8" w:color="auto"/>
            </w:tcBorders>
          </w:tcPr>
          <w:p>
            <w:pPr>
              <w:spacing w:after="0"/>
              <w:rPr>
                <w:sz w:val="24"/>
                <w:szCs w:val="24"/>
                <w:color w:val="auto"/>
              </w:rPr>
            </w:pPr>
          </w:p>
        </w:tc>
        <w:tc>
          <w:tcPr>
            <w:tcW w:w="722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w w:val="99"/>
              </w:rPr>
              <w:t>•   The lien covenant included in the form of indenture will not apply to the Notes.</w:t>
            </w:r>
          </w:p>
        </w:tc>
      </w:tr>
      <w:tr>
        <w:trPr>
          <w:trHeight w:val="323"/>
        </w:trPr>
        <w:tc>
          <w:tcPr>
            <w:tcW w:w="3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Events of Default</w:t>
            </w: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If an event of default (as described under “</w:t>
            </w:r>
            <w:r>
              <w:rPr>
                <w:rFonts w:ascii="Arial" w:cs="Arial" w:eastAsia="Arial" w:hAnsi="Arial"/>
                <w:sz w:val="18"/>
                <w:szCs w:val="18"/>
                <w:i w:val="1"/>
                <w:iCs w:val="1"/>
                <w:color w:val="auto"/>
                <w:w w:val="94"/>
              </w:rPr>
              <w:t>Description of the Notes</w:t>
            </w:r>
            <w:r>
              <w:rPr>
                <w:rFonts w:ascii="Arial" w:cs="Arial" w:eastAsia="Arial" w:hAnsi="Arial"/>
                <w:sz w:val="18"/>
                <w:szCs w:val="18"/>
                <w:color w:val="auto"/>
                <w:w w:val="94"/>
              </w:rPr>
              <w:t>”) on the Notes occurs,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9"/>
              </w:rPr>
              <w:t>the principal amount of the Notes, plus accrued and unpaid interest, may be declared</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immediately due and payable, subject to conditions set forth in the indenture. These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4"/>
              </w:rPr>
              <w:t>amounts automatically become due and payable in the case of certain types of bankruptcy</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or insolvency events involving the Company.</w:t>
            </w:r>
          </w:p>
        </w:tc>
      </w:tr>
      <w:tr>
        <w:trPr>
          <w:trHeight w:val="323"/>
        </w:trPr>
        <w:tc>
          <w:tcPr>
            <w:tcW w:w="3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Further Issuances</w:t>
            </w: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We have the ability to issue additional debt securities under the indenture with terms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6"/>
              </w:rPr>
              <w:t>different from the Notes and, without consent of the holders thereof, to reopen the Notes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8"/>
              </w:rPr>
              <w:t>and issue additional Notes. If we issue additional debt securities, these additional debt</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9"/>
              </w:rPr>
              <w:t>securities could have a lien or other security interest greater than that accorded to the</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holders of the Notes, which are unsecured.</w:t>
            </w:r>
          </w:p>
        </w:tc>
      </w:tr>
      <w:tr>
        <w:trPr>
          <w:trHeight w:val="323"/>
        </w:trPr>
        <w:tc>
          <w:tcPr>
            <w:tcW w:w="3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9"/>
              </w:rPr>
              <w:t>Global Clearance and Settlement Procedures</w:t>
            </w: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7"/>
              </w:rPr>
              <w:t>Interests in the Notes will trade in DTC’s Same Day Funds Settlement System, and any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7"/>
              </w:rPr>
              <w:t>permitted secondary market trading activity in such Notes will, therefore, be required by</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3"/>
              </w:rPr>
              <w:t>DTC to be settled in immediately available funds. None of the Company, the Trustee or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7"/>
              </w:rPr>
              <w:t>Paying Agent will have any responsibility for the performance by DTC or its participants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or indirect participants of their respective obligations under the rules and procedures</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governing their operations.</w:t>
            </w:r>
          </w:p>
        </w:tc>
      </w:tr>
      <w:tr>
        <w:trPr>
          <w:trHeight w:val="323"/>
        </w:trPr>
        <w:tc>
          <w:tcPr>
            <w:tcW w:w="3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5"/>
              </w:rPr>
              <w:t>We estimate that net proceeds we will receive from the sale of the $100 million aggregate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5"/>
              </w:rPr>
              <w:t>principal amount of the Notes in this offering will be approximately $96.8 million based on</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5"/>
              </w:rPr>
              <w:t>the public offering price of 99.441% of the aggregate principal amount after deducting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underwriting discounts and commissions of $2.0 million payable by us and estimated</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6"/>
              </w:rPr>
              <w:t>offering expenses of $0.6 million payable by us. We expect to use the net proceeds from</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3"/>
              </w:rPr>
              <w:t>selling securities pursuant to this prospectus supplement to reduce outstanding obligations</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under our Credit Facility, to invest in new or existing portfolio companies or for other</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general corporate or strategic purposes.</w:t>
            </w:r>
          </w:p>
        </w:tc>
      </w:tr>
      <w:tr>
        <w:trPr>
          <w:trHeight w:val="323"/>
        </w:trPr>
        <w:tc>
          <w:tcPr>
            <w:tcW w:w="380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Risk Factors</w:t>
            </w:r>
            <w:r>
              <w:rPr>
                <w:rFonts w:ascii="Arial" w:cs="Arial" w:eastAsia="Arial" w:hAnsi="Arial"/>
                <w:sz w:val="18"/>
                <w:szCs w:val="18"/>
                <w:color w:val="auto"/>
              </w:rPr>
              <w:t>” in this prospectus supplement and beginning on page 7 of the</w:t>
            </w:r>
          </w:p>
        </w:tc>
      </w:tr>
      <w:tr>
        <w:trPr>
          <w:trHeight w:val="216"/>
        </w:trPr>
        <w:tc>
          <w:tcPr>
            <w:tcW w:w="3800" w:type="dxa"/>
            <w:vAlign w:val="bottom"/>
            <w:tcBorders>
              <w:left w:val="single" w:sz="8" w:color="auto"/>
            </w:tcBorders>
          </w:tcPr>
          <w:p>
            <w:pPr>
              <w:spacing w:after="0"/>
              <w:rPr>
                <w:sz w:val="18"/>
                <w:szCs w:val="18"/>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w w:val="97"/>
              </w:rPr>
              <w:t>accompanying prospectus for a discussion of risks you should carefully consider before</w:t>
            </w:r>
          </w:p>
        </w:tc>
      </w:tr>
      <w:tr>
        <w:trPr>
          <w:trHeight w:val="230"/>
        </w:trPr>
        <w:tc>
          <w:tcPr>
            <w:tcW w:w="3800" w:type="dxa"/>
            <w:vAlign w:val="bottom"/>
            <w:tcBorders>
              <w:left w:val="single" w:sz="8" w:color="auto"/>
            </w:tcBorders>
          </w:tcPr>
          <w:p>
            <w:pPr>
              <w:spacing w:after="0"/>
              <w:rPr>
                <w:sz w:val="20"/>
                <w:szCs w:val="20"/>
                <w:color w:val="auto"/>
              </w:rPr>
            </w:pPr>
          </w:p>
        </w:tc>
        <w:tc>
          <w:tcPr>
            <w:tcW w:w="7220" w:type="dxa"/>
            <w:vAlign w:val="bottom"/>
            <w:tcBorders>
              <w:right w:val="single" w:sz="8" w:color="auto"/>
            </w:tcBorders>
          </w:tcPr>
          <w:p>
            <w:pPr>
              <w:ind w:left="420"/>
              <w:spacing w:after="0"/>
              <w:rPr>
                <w:sz w:val="20"/>
                <w:szCs w:val="20"/>
                <w:color w:val="auto"/>
              </w:rPr>
            </w:pPr>
            <w:r>
              <w:rPr>
                <w:rFonts w:ascii="Arial" w:cs="Arial" w:eastAsia="Arial" w:hAnsi="Arial"/>
                <w:sz w:val="18"/>
                <w:szCs w:val="18"/>
                <w:color w:val="auto"/>
              </w:rPr>
              <w:t>deciding to invest in the Notes.</w:t>
            </w:r>
          </w:p>
        </w:tc>
      </w:tr>
      <w:tr>
        <w:trPr>
          <w:trHeight w:val="240"/>
        </w:trPr>
        <w:tc>
          <w:tcPr>
            <w:tcW w:w="3800" w:type="dxa"/>
            <w:vAlign w:val="bottom"/>
            <w:tcBorders>
              <w:left w:val="single" w:sz="8" w:color="auto"/>
              <w:bottom w:val="single" w:sz="8" w:color="auto"/>
            </w:tcBorders>
          </w:tcPr>
          <w:p>
            <w:pPr>
              <w:spacing w:after="0"/>
              <w:rPr>
                <w:sz w:val="20"/>
                <w:szCs w:val="20"/>
                <w:color w:val="auto"/>
              </w:rPr>
            </w:pPr>
          </w:p>
        </w:tc>
        <w:tc>
          <w:tcPr>
            <w:tcW w:w="7220" w:type="dxa"/>
            <w:vAlign w:val="bottom"/>
            <w:tcBorders>
              <w:bottom w:val="single" w:sz="8" w:color="auto"/>
              <w:right w:val="single" w:sz="8" w:color="auto"/>
            </w:tcBorders>
          </w:tcPr>
          <w:p>
            <w:pPr>
              <w:spacing w:after="0"/>
              <w:rPr>
                <w:sz w:val="20"/>
                <w:szCs w:val="20"/>
                <w:color w:val="auto"/>
              </w:rPr>
            </w:pPr>
          </w:p>
        </w:tc>
      </w:tr>
      <w:tr>
        <w:trPr>
          <w:trHeight w:val="604"/>
        </w:trPr>
        <w:tc>
          <w:tcPr>
            <w:tcW w:w="3800" w:type="dxa"/>
            <w:vAlign w:val="bottom"/>
          </w:tcPr>
          <w:p>
            <w:pPr>
              <w:spacing w:after="0"/>
              <w:rPr>
                <w:sz w:val="24"/>
                <w:szCs w:val="24"/>
                <w:color w:val="auto"/>
              </w:rPr>
            </w:pPr>
          </w:p>
        </w:tc>
        <w:tc>
          <w:tcPr>
            <w:tcW w:w="7220" w:type="dxa"/>
            <w:vAlign w:val="bottom"/>
          </w:tcPr>
          <w:p>
            <w:pPr>
              <w:ind w:left="1580"/>
              <w:spacing w:after="0"/>
              <w:rPr>
                <w:sz w:val="20"/>
                <w:szCs w:val="20"/>
                <w:color w:val="auto"/>
              </w:rPr>
            </w:pPr>
            <w:r>
              <w:rPr>
                <w:rFonts w:ascii="Arial" w:cs="Arial" w:eastAsia="Arial" w:hAnsi="Arial"/>
                <w:sz w:val="18"/>
                <w:szCs w:val="18"/>
                <w:color w:val="auto"/>
              </w:rPr>
              <w:t>S-5</w:t>
            </w:r>
          </w:p>
        </w:tc>
      </w:tr>
    </w:tbl>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SUPPLEMENT SUMMARY</w:t>
      </w:r>
    </w:p>
    <w:p>
      <w:pPr>
        <w:spacing w:after="0" w:line="229" w:lineRule="exact"/>
        <w:rPr>
          <w:sz w:val="20"/>
          <w:szCs w:val="20"/>
          <w:color w:val="auto"/>
        </w:rPr>
      </w:pPr>
    </w:p>
    <w:p>
      <w:pPr>
        <w:ind w:left="300"/>
        <w:spacing w:after="0" w:line="290"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subsidiaries. Some of the statements in this prospectus supplement and accompanying prospectus constitute forward-looking statements which apply to us and our consolidated subsidiaries,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accompanying prospectus. You should read carefully the more detailed information set forth under “Risk Factors” and the other information included in this prospectus supplement and accompanying prospectus.</w:t>
      </w:r>
    </w:p>
    <w:p>
      <w:pPr>
        <w:spacing w:after="0" w:line="165" w:lineRule="exact"/>
        <w:rPr>
          <w:sz w:val="20"/>
          <w:szCs w:val="20"/>
          <w:color w:val="auto"/>
        </w:rPr>
      </w:pPr>
    </w:p>
    <w:p>
      <w:pPr>
        <w:ind w:left="300"/>
        <w:spacing w:after="0" w:line="283" w:lineRule="auto"/>
        <w:rPr>
          <w:sz w:val="20"/>
          <w:szCs w:val="20"/>
          <w:color w:val="auto"/>
        </w:rPr>
      </w:pPr>
      <w:r>
        <w:rPr>
          <w:rFonts w:ascii="Arial" w:cs="Arial" w:eastAsia="Arial" w:hAnsi="Arial"/>
          <w:sz w:val="16"/>
          <w:szCs w:val="16"/>
          <w:i w:val="1"/>
          <w:iCs w:val="1"/>
          <w:color w:val="auto"/>
        </w:rPr>
        <w:t>In this prospectus supplement and the accompanying prospectus, except where the context suggests otherwise, the terms “Company,” “we,” “our” or “us” refers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“Administrator” refers to PennantPark Investment Administration, LLC; “2023 Notes” refers to our 4.3% Series A notes due 2023; “SBCAA” refers to the Small Business Credit Availability Act; “Code” refers to the Internal Revenue Code of 1986, as amended; “RIC” refers to a regulated investment company under the Code; “BDC” refers to a business development company under the 1940 Act; “LIBOR” refers to the applicable London Interbank Offered Rate; “TASE” refers to the Tel Aviv Stock Exchange; “Credit Facility” refers to our multi-currency senior secured revolving credit facility, as amended and restated with Truist Bank (formerly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and “2031 Asset-Backed Debt” refers to (i) the issuance of the Class A-1 Senior Secured Floating Rate Notes due 2031, the Class A-2 Senior Secured Fixed Rate Notes due 2031, the Class B-1 Senior Secured Floating Rate Notes due 2031, the Class B-2 Senior Secured Fixed Rate Notes due 2031, the</w:t>
      </w:r>
    </w:p>
    <w:p>
      <w:pPr>
        <w:spacing w:after="0" w:line="2" w:lineRule="exact"/>
        <w:rPr>
          <w:sz w:val="20"/>
          <w:szCs w:val="20"/>
          <w:color w:val="auto"/>
        </w:rPr>
      </w:pPr>
    </w:p>
    <w:p>
      <w:pPr>
        <w:ind w:left="300" w:right="20"/>
        <w:spacing w:after="0" w:line="253" w:lineRule="auto"/>
        <w:rPr>
          <w:sz w:val="20"/>
          <w:szCs w:val="20"/>
          <w:color w:val="auto"/>
        </w:rPr>
      </w:pPr>
      <w:r>
        <w:rPr>
          <w:rFonts w:ascii="Arial" w:cs="Arial" w:eastAsia="Arial" w:hAnsi="Arial"/>
          <w:sz w:val="18"/>
          <w:szCs w:val="18"/>
          <w:i w:val="1"/>
          <w:iCs w:val="1"/>
          <w:color w:val="auto"/>
        </w:rPr>
        <w:t>Class C-1 Secured Deferrable Floating Rate Notes due 2031, the Class C-2 Notes Secured Deferrable Fixed Rate Notes due 2031, and the Class D Secured Deferrable Floating Notes due 2031 and (ii) the borrowing of the Class A-1 Senior Secured Floating Rate Loans due 2031 by the Securitization Issuers in connection with the Debt Securitization. References to our portfolio, our investments, our Credit Facility, and our business include investments we make through our subsidiaries.</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jc w:val="both"/>
        <w:ind w:left="300" w:right="220"/>
        <w:spacing w:after="0" w:line="263" w:lineRule="auto"/>
        <w:rPr>
          <w:sz w:val="20"/>
          <w:szCs w:val="20"/>
          <w:color w:val="auto"/>
        </w:rPr>
      </w:pPr>
      <w:r>
        <w:rPr>
          <w:rFonts w:ascii="Arial" w:cs="Arial" w:eastAsia="Arial" w:hAnsi="Arial"/>
          <w:sz w:val="18"/>
          <w:szCs w:val="18"/>
          <w:color w:val="auto"/>
        </w:rPr>
        <w:t>PennantPark Floating Rate Capital Ltd. is a BDC whose objectives are to generate both current income and capital appreciation while seeking to preserve capital through investing primarily in Floating Rate Loans and other investments made to U.S. middle-market private companies whose debt is rated below investment grade.</w:t>
      </w:r>
    </w:p>
    <w:p>
      <w:pPr>
        <w:spacing w:after="0" w:line="184" w:lineRule="exact"/>
        <w:rPr>
          <w:sz w:val="20"/>
          <w:szCs w:val="20"/>
          <w:color w:val="auto"/>
        </w:rPr>
      </w:pPr>
    </w:p>
    <w:p>
      <w:pPr>
        <w:ind w:left="300" w:right="180"/>
        <w:spacing w:after="0" w:line="255" w:lineRule="auto"/>
        <w:rPr>
          <w:sz w:val="20"/>
          <w:szCs w:val="20"/>
          <w:color w:val="auto"/>
        </w:rPr>
      </w:pPr>
      <w:r>
        <w:rPr>
          <w:rFonts w:ascii="Arial" w:cs="Arial" w:eastAsia="Arial" w:hAnsi="Arial"/>
          <w:sz w:val="18"/>
          <w:szCs w:val="18"/>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0"/>
        <w:spacing w:after="0" w:line="259" w:lineRule="auto"/>
        <w:rPr>
          <w:sz w:val="20"/>
          <w:szCs w:val="20"/>
          <w:color w:val="auto"/>
        </w:rPr>
      </w:pPr>
      <w:r>
        <w:rPr>
          <w:rFonts w:ascii="Arial" w:cs="Arial" w:eastAsia="Arial" w:hAnsi="Arial"/>
          <w:sz w:val="18"/>
          <w:szCs w:val="18"/>
          <w:color w:val="auto"/>
        </w:rPr>
        <w:t>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7" w:lineRule="exact"/>
        <w:rPr>
          <w:sz w:val="20"/>
          <w:szCs w:val="20"/>
          <w:color w:val="auto"/>
        </w:rPr>
      </w:pPr>
    </w:p>
    <w:p>
      <w:pPr>
        <w:ind w:left="300" w:right="80"/>
        <w:spacing w:after="0" w:line="255" w:lineRule="auto"/>
        <w:rPr>
          <w:sz w:val="20"/>
          <w:szCs w:val="20"/>
          <w:color w:val="auto"/>
        </w:rPr>
      </w:pPr>
      <w:r>
        <w:rPr>
          <w:rFonts w:ascii="Arial" w:cs="Arial" w:eastAsia="Arial" w:hAnsi="Arial"/>
          <w:sz w:val="18"/>
          <w:szCs w:val="18"/>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92" w:lineRule="exact"/>
        <w:rPr>
          <w:sz w:val="20"/>
          <w:szCs w:val="20"/>
          <w:color w:val="auto"/>
        </w:rPr>
      </w:pPr>
    </w:p>
    <w:p>
      <w:pPr>
        <w:ind w:left="300" w:right="80"/>
        <w:spacing w:after="0" w:line="259"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300" w:right="60"/>
        <w:spacing w:after="0" w:line="263"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4" w:lineRule="exact"/>
        <w:rPr>
          <w:sz w:val="20"/>
          <w:szCs w:val="20"/>
          <w:color w:val="auto"/>
        </w:rPr>
      </w:pPr>
    </w:p>
    <w:p>
      <w:pPr>
        <w:ind w:left="300"/>
        <w:spacing w:after="0" w:line="290" w:lineRule="auto"/>
        <w:rPr>
          <w:sz w:val="20"/>
          <w:szCs w:val="20"/>
          <w:color w:val="auto"/>
        </w:rPr>
      </w:pPr>
      <w:r>
        <w:rPr>
          <w:rFonts w:ascii="Arial" w:cs="Arial" w:eastAsia="Arial" w:hAnsi="Arial"/>
          <w:sz w:val="16"/>
          <w:szCs w:val="16"/>
          <w:color w:val="auto"/>
        </w:rPr>
        <w:t>We have entered into an investment management agreement, or the Investment Management Agreement, with the Investment Adviser, an external adviser that manages our day-to-day operation.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or the Administration Agreement.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65" w:lineRule="exact"/>
        <w:rPr>
          <w:sz w:val="20"/>
          <w:szCs w:val="20"/>
          <w:color w:val="auto"/>
        </w:rPr>
      </w:pPr>
    </w:p>
    <w:p>
      <w:pPr>
        <w:ind w:left="300" w:right="240"/>
        <w:spacing w:after="0" w:line="263" w:lineRule="auto"/>
        <w:rPr>
          <w:sz w:val="20"/>
          <w:szCs w:val="20"/>
          <w:color w:val="auto"/>
        </w:rPr>
      </w:pPr>
      <w:r>
        <w:rPr>
          <w:rFonts w:ascii="Arial" w:cs="Arial" w:eastAsia="Arial" w:hAnsi="Arial"/>
          <w:sz w:val="18"/>
          <w:szCs w:val="18"/>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84" w:lineRule="exact"/>
        <w:rPr>
          <w:sz w:val="20"/>
          <w:szCs w:val="20"/>
          <w:color w:val="auto"/>
        </w:rPr>
      </w:pPr>
    </w:p>
    <w:p>
      <w:pPr>
        <w:ind w:left="300" w:right="20"/>
        <w:spacing w:after="0" w:line="279" w:lineRule="auto"/>
        <w:rPr>
          <w:sz w:val="20"/>
          <w:szCs w:val="20"/>
          <w:color w:val="auto"/>
        </w:rPr>
      </w:pPr>
      <w:r>
        <w:rPr>
          <w:rFonts w:ascii="Arial" w:cs="Arial" w:eastAsia="Arial" w:hAnsi="Arial"/>
          <w:sz w:val="17"/>
          <w:szCs w:val="17"/>
          <w:color w:val="auto"/>
        </w:rPr>
        <w:t>Funding I, our wholly owned subsidiary and a special purpose entity, was organized in Delaware as a limited liability company in May 2011. We formed Funding I in order to establish the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Credit Facility allows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77" w:lineRule="auto"/>
        <w:rPr>
          <w:sz w:val="20"/>
          <w:szCs w:val="20"/>
          <w:color w:val="auto"/>
        </w:rPr>
      </w:pPr>
      <w:r>
        <w:rPr>
          <w:rFonts w:ascii="Arial" w:cs="Arial" w:eastAsia="Arial" w:hAnsi="Arial"/>
          <w:sz w:val="18"/>
          <w:szCs w:val="18"/>
          <w:color w:val="auto"/>
        </w:rPr>
        <w:t>Funding I to borrow up to $400 million at LIBOR (or an alternative risk-free floating interest rate index) plus 200 basis points during the revolving period. The Credit Facility is secured by all of the assets held by Funding I.</w:t>
      </w:r>
    </w:p>
    <w:p>
      <w:pPr>
        <w:spacing w:after="0" w:line="170" w:lineRule="exact"/>
        <w:rPr>
          <w:sz w:val="20"/>
          <w:szCs w:val="20"/>
          <w:color w:val="auto"/>
        </w:rPr>
      </w:pPr>
    </w:p>
    <w:p>
      <w:pPr>
        <w:ind w:left="300" w:right="60"/>
        <w:spacing w:after="0" w:line="279" w:lineRule="auto"/>
        <w:rPr>
          <w:sz w:val="20"/>
          <w:szCs w:val="20"/>
          <w:color w:val="auto"/>
        </w:rPr>
      </w:pPr>
      <w:r>
        <w:rPr>
          <w:rFonts w:ascii="Arial" w:cs="Arial" w:eastAsia="Arial" w:hAnsi="Arial"/>
          <w:sz w:val="17"/>
          <w:szCs w:val="17"/>
          <w:color w:val="auto"/>
        </w:rPr>
        <w:t>In November 2017, we issued $138.6 million of our 2023 Notes. The principal on the 2023 Notes is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TASE.</w:t>
      </w:r>
    </w:p>
    <w:p>
      <w:pPr>
        <w:spacing w:after="0" w:line="171" w:lineRule="exact"/>
        <w:rPr>
          <w:sz w:val="20"/>
          <w:szCs w:val="20"/>
          <w:color w:val="auto"/>
        </w:rPr>
      </w:pPr>
    </w:p>
    <w:p>
      <w:pPr>
        <w:jc w:val="both"/>
        <w:ind w:left="300" w:right="60"/>
        <w:spacing w:after="0" w:line="263" w:lineRule="auto"/>
        <w:rPr>
          <w:sz w:val="20"/>
          <w:szCs w:val="20"/>
          <w:color w:val="auto"/>
        </w:rPr>
      </w:pPr>
      <w:r>
        <w:rPr>
          <w:rFonts w:ascii="Arial" w:cs="Arial" w:eastAsia="Arial" w:hAnsi="Arial"/>
          <w:sz w:val="18"/>
          <w:szCs w:val="18"/>
          <w:color w:val="auto"/>
        </w:rPr>
        <w:t>In September 2019, the Securitization Issuers completed the Debt Securitization. The 2031 Asset-Backed Debt is secured by a diversified portfolio of the Securitization Issuer consisting primarily of middle-market loans and participation interests in middle-market loans. The 2031 Asset-Backed Debt is scheduled to mature on October 15, 2031.</w:t>
      </w:r>
    </w:p>
    <w:p>
      <w:pPr>
        <w:spacing w:after="0" w:line="184" w:lineRule="exact"/>
        <w:rPr>
          <w:sz w:val="20"/>
          <w:szCs w:val="20"/>
          <w:color w:val="auto"/>
        </w:rPr>
      </w:pPr>
    </w:p>
    <w:p>
      <w:pPr>
        <w:ind w:left="300" w:right="300"/>
        <w:spacing w:after="0" w:line="342" w:lineRule="auto"/>
        <w:rPr>
          <w:sz w:val="20"/>
          <w:szCs w:val="20"/>
          <w:color w:val="auto"/>
        </w:rPr>
      </w:pPr>
      <w:r>
        <w:rPr>
          <w:rFonts w:ascii="Arial" w:cs="Arial" w:eastAsia="Arial" w:hAnsi="Arial"/>
          <w:sz w:val="16"/>
          <w:szCs w:val="16"/>
          <w:color w:val="auto"/>
        </w:rPr>
        <w:t>For a description of our Credit Facility, the 2023 Notes and the 2031 Asset-Backed Debt, please see “</w:t>
      </w:r>
      <w:r>
        <w:rPr>
          <w:rFonts w:ascii="Arial" w:cs="Arial" w:eastAsia="Arial" w:hAnsi="Arial"/>
          <w:sz w:val="16"/>
          <w:szCs w:val="16"/>
          <w:i w:val="1"/>
          <w:iCs w:val="1"/>
          <w:color w:val="auto"/>
        </w:rPr>
        <w:t>Management’s Discussion and Analysis of</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Condition and Results of Operations—Liquidity and Capital Resources” in our most recent Quarterly Report on Form 10-Q.</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00"/>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$11.4 billion across 588 transactions with approximately 190 different financial sponsors through its managed funds.</w:t>
      </w:r>
    </w:p>
    <w:p>
      <w:pPr>
        <w:spacing w:after="0" w:line="166" w:lineRule="exact"/>
        <w:rPr>
          <w:sz w:val="20"/>
          <w:szCs w:val="20"/>
          <w:color w:val="auto"/>
        </w:rPr>
      </w:pPr>
    </w:p>
    <w:p>
      <w:pPr>
        <w:ind w:left="300"/>
        <w:spacing w:after="0" w:line="254" w:lineRule="auto"/>
        <w:rPr>
          <w:sz w:val="20"/>
          <w:szCs w:val="20"/>
          <w:color w:val="auto"/>
        </w:rPr>
      </w:pPr>
      <w:r>
        <w:rPr>
          <w:rFonts w:ascii="Arial" w:cs="Arial" w:eastAsia="Arial" w:hAnsi="Arial"/>
          <w:sz w:val="18"/>
          <w:szCs w:val="18"/>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w:t>
      </w:r>
      <w:r>
        <w:rPr>
          <w:rFonts w:ascii="Arial" w:cs="Arial" w:eastAsia="Arial" w:hAnsi="Arial"/>
          <w:sz w:val="18"/>
          <w:szCs w:val="18"/>
          <w:i w:val="1"/>
          <w:iCs w:val="1"/>
          <w:color w:val="auto"/>
        </w:rPr>
        <w:t>Risk Factors—Risks Relating to our Business and</w:t>
      </w:r>
      <w:r>
        <w:rPr>
          <w:rFonts w:ascii="Arial" w:cs="Arial" w:eastAsia="Arial" w:hAnsi="Arial"/>
          <w:sz w:val="18"/>
          <w:szCs w:val="18"/>
          <w:color w:val="auto"/>
        </w:rPr>
        <w:t xml:space="preserve"> </w:t>
      </w:r>
      <w:r>
        <w:rPr>
          <w:rFonts w:ascii="Arial" w:cs="Arial" w:eastAsia="Arial" w:hAnsi="Arial"/>
          <w:sz w:val="18"/>
          <w:szCs w:val="18"/>
          <w:i w:val="1"/>
          <w:iCs w:val="1"/>
          <w:color w:val="auto"/>
        </w:rPr>
        <w:t>Structure—There are significant potential conflicts of interest which could impact our investment returns</w:t>
      </w:r>
      <w:r>
        <w:rPr>
          <w:rFonts w:ascii="Arial" w:cs="Arial" w:eastAsia="Arial" w:hAnsi="Arial"/>
          <w:sz w:val="18"/>
          <w:szCs w:val="18"/>
          <w:color w:val="auto"/>
        </w:rPr>
        <w:t>” in our most recent Annual Report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for more information.</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00" w:right="40"/>
        <w:spacing w:after="0" w:line="263" w:lineRule="auto"/>
        <w:rPr>
          <w:sz w:val="20"/>
          <w:szCs w:val="20"/>
          <w:color w:val="auto"/>
        </w:rPr>
      </w:pPr>
      <w:r>
        <w:rPr>
          <w:rFonts w:ascii="Arial" w:cs="Arial" w:eastAsia="Arial" w:hAnsi="Arial"/>
          <w:sz w:val="18"/>
          <w:szCs w:val="18"/>
          <w:color w:val="auto"/>
        </w:rPr>
        <w:t>Our administrative and principal executive offices are located at 590 Madison Avenue, 15th Floor, New York, NY 10022. Our common stock is quoted on the Nasdaq Global Select Market and the TASE under the symbol “PFLT.” Our 2023 Notes are listed on the TASE. Our phone number is (212) 905-1000, and our Internet website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728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9728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5" w:lineRule="auto"/>
        <w:rPr>
          <w:sz w:val="20"/>
          <w:szCs w:val="20"/>
          <w:color w:val="auto"/>
        </w:rPr>
      </w:pPr>
      <w:r>
        <w:rPr>
          <w:rFonts w:ascii="Arial" w:cs="Arial" w:eastAsia="Arial" w:hAnsi="Arial"/>
          <w:sz w:val="17"/>
          <w:szCs w:val="17"/>
          <w:color w:val="auto"/>
        </w:rPr>
        <w:t xml:space="preserve">address is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xml:space="preserve">. Except for the documents incorporated by reference into this prospectus supplement and the accompanying prospectus, the information on our website is not part of this prospectus supplement or the accompanying prospectus. We file periodic reports, proxy statements and other information with the SEC and make such reports available on our website free of charge as soon as reasonably practicable. In addition, the SEC maintains an Internet 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xml:space="preserve">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0540"/>
          </w:cols>
          <w:pgMar w:left="320" w:top="45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This prospectus supplement, including the documents we incorporate by reference herein, and the accompanying prospectus and any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including the documents we incorporate by reference herein, and the accompanying prospectus and any free writing prospectus, including the documents we incorporate by reference therein, involve risks and uncertainties, including statements as to:</w:t>
      </w:r>
    </w:p>
    <w:p>
      <w:pPr>
        <w:spacing w:after="0" w:line="83"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 including as a result of the current pandemic caused by COVID-19;</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continue to effectively manage our business due to the significant disruptions caused by the current COVID-19 pandemic;</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the impact of the United Kingdom’s withdrawal from the European Union (commonly known as “Brexit”) and other world economic and political issues.</w:t>
      </w:r>
    </w:p>
    <w:p>
      <w:pPr>
        <w:spacing w:after="0" w:line="170"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statements for any reason, including the factors in “Risk Factors” in this prospectus supplement and the accompanying prospectus, in the documents incorporated by reference, and elsewhere in this prospectus supplement and the accompany prospectus.</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including the documents we incorporate by reference herein, and the accompanying prospectus and any free writing prospectus, including the documents we incorporate by reference therein, should not be regarded as a representation by us that our plans and objectives will be achieved. 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through reports that we in the future may file with SEC including Annual Reports on Form 10-K, Quarterly Reports on Form 10-Q and Current Reports on Form 8-K.</w:t>
      </w:r>
    </w:p>
    <w:p>
      <w:pPr>
        <w:spacing w:after="0" w:line="182"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You should understand that, under Sections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supplement or in periodic reports we file under the Exchange Act.</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00"/>
          </w:cols>
          <w:pgMar w:left="320" w:top="459"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i w:val="1"/>
          <w:iCs w:val="1"/>
          <w:color w:val="auto"/>
        </w:rPr>
        <w:t>Before you invest in our securities, you should be aware of various risks. In addition to the other information contained in this prospectus supplement, the accompanying prospectus, and any free writing prospectus, you should consider carefully the following information and the risk factors incorporated by reference in our most recent Annual Report on Form 10-K and any subsequent Quarterly Reports on Form 10-Q or Current Reports on Form 8-K we file after the date of this prospectus supplement, and all other information contained or incorporated by reference into this prospectus supplement, the accompanying prospectus, and any free writing prospectus, as updated by our subsequent filings under the Exchange Act, before making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NAV and the trading price of or value of our notes may decline, and you may lose all or part of your investment.</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THE NOTES</w:t>
      </w:r>
    </w:p>
    <w:p>
      <w:pPr>
        <w:spacing w:after="0" w:line="225"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b w:val="1"/>
          <w:bCs w:val="1"/>
          <w:color w:val="auto"/>
        </w:rPr>
        <w:t>The Notes will be unsecured and therefore will be effectively subordinated to any secured indebtedness we have currently incurred or may incur in the future.</w:t>
      </w:r>
    </w:p>
    <w:p>
      <w:pPr>
        <w:spacing w:after="0" w:line="58"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 xml:space="preserve">The Notes will not be secured by any of our assets or any of the assets of our subsidiaries. As a result, the Notes will be effectively subordinated to any secured indebtedness we or our subsidiaries have currently incurred and may incur in the future (or any indebtedness that is initially unsecured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As of December 31, 2020, we had $602.7 million of debt outstanding of which $117.8 million was unsecured debt of the Company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Notes and $484.9 million was secured indebtedness of our subsidiaries, and therefore effectively senior to the Notes.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Notes will be structurally subordinated to the indebtedness and other liabilities of our subsidiaries.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Notes are obligations exclusively of PennantPark Floating Rate Capital Ltd. and not of any of our subsidiaries. None of our subsidiaries is or acts as a guarantor of the Notes, and the Notes are not required to be guaranteed by any subsidiaries we may acquire or create in the future. Our secured indebtedness with respect to the Credit Facility is held through Funding I, and our secured indebtedness with respect to the 2031 Asset-Backed Debt is held through the Securitization Issuer. The assets of any such subsidiaries are not directly available to satisfy the claims of our creditors, including holders of the Notes.</w:t>
      </w:r>
    </w:p>
    <w:p>
      <w:pPr>
        <w:spacing w:after="0" w:line="18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Except to the extent we are a creditor with recognized claims against our subsidiaries, all claims of creditors (including holders of preferred stock, if any, of our subsidiaries) will have priority over our equity interests in such subsidiaries (and therefore the claims of our creditors, including holders of the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Notes will be structurally subordinated to all indebtedness and other liabilities (including trade payables) of our subsidiaries and any subsidiaries that we may in the future acquire or establish as financing vehicles or otherwise. As of December 31, 2020, our subsidiaries had total indebtedness outstanding of $484.9 million, all of which was secured indebtedness. All of such indebtedness would be structurally senior to the Notes. In addition, our subsidiaries may incur substantial additional indebtedness in the future, all of which would be structurally senior to the Notes.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indenture under which the Notes will be issued contains limited protection for holders of the Notes.</w:t>
      </w:r>
    </w:p>
    <w:p>
      <w:pPr>
        <w:spacing w:after="0" w:line="121"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w:t>
      </w:r>
    </w:p>
    <w:p>
      <w:pPr>
        <w:spacing w:after="0" w:line="92" w:lineRule="exact"/>
        <w:rPr>
          <w:sz w:val="20"/>
          <w:szCs w:val="20"/>
          <w:color w:val="auto"/>
        </w:rPr>
      </w:pPr>
    </w:p>
    <w:p>
      <w:pPr>
        <w:ind w:left="1080" w:hanging="424"/>
        <w:spacing w:after="0" w:line="284"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or other obligations of ours that are guaranteed by one or more of our subsidiaries and which therefore would rank structurally senior to the Notes and (4) securities, indebtedness or other obligations issued or incurred by our subsidiaries that would be senior in right of payment to our equity interests in our subsidiaries and therefore would rank structurally senior in right of payment to the Notes with respect to the assets of our subsidiaries, in each case other than an incurrence of indebtedness or other obligation that would cause a violation of Section 18(a)(1)</w:t>
      </w:r>
    </w:p>
    <w:p>
      <w:pPr>
        <w:spacing w:after="0" w:line="2" w:lineRule="exact"/>
        <w:rPr>
          <w:rFonts w:ascii="Arial" w:cs="Arial" w:eastAsia="Arial" w:hAnsi="Arial"/>
          <w:sz w:val="16"/>
          <w:szCs w:val="16"/>
          <w:color w:val="auto"/>
        </w:rPr>
      </w:pPr>
    </w:p>
    <w:p>
      <w:pPr>
        <w:ind w:left="1080" w:right="500"/>
        <w:spacing w:after="0" w:line="260" w:lineRule="auto"/>
        <w:rPr>
          <w:rFonts w:ascii="Arial" w:cs="Arial" w:eastAsia="Arial" w:hAnsi="Arial"/>
          <w:sz w:val="16"/>
          <w:szCs w:val="16"/>
          <w:color w:val="auto"/>
        </w:rPr>
      </w:pPr>
      <w:r>
        <w:rPr>
          <w:rFonts w:ascii="Arial" w:cs="Arial" w:eastAsia="Arial" w:hAnsi="Arial"/>
          <w:sz w:val="18"/>
          <w:szCs w:val="18"/>
          <w:color w:val="auto"/>
        </w:rPr>
        <w:t>(A) of the 1940 Act as modified by Section 61(a)(1) and (2) of the 1940 Act or any successor provisions, as such obligations may be amended or superseded, giving effect to any exemptive relief granted to us by the SEC;</w:t>
      </w:r>
    </w:p>
    <w:p>
      <w:pPr>
        <w:spacing w:after="0" w:line="90"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on, or purchase or redeem or make any payments in respect of, capital stock or other securities ranking junior in right of payment to the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liens (including liens on the shares of our subsidiaries) or enter into sale and leaseback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investments;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create restrictions on the payment of dividends or other amounts to us from our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the indenture will not require us to offer to purchase the Notes in connection with a change of control or any other event.</w:t>
      </w:r>
    </w:p>
    <w:p>
      <w:pPr>
        <w:spacing w:after="0" w:line="225"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Furthermore, the terms of the indenture and the Notes do not protect holders of the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except as required under the 1940 Act.</w:t>
      </w:r>
    </w:p>
    <w:p>
      <w:pPr>
        <w:spacing w:after="0" w:line="14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Our ability to recapitalize, incur additional debt and take a number of other actions that are not limited by the terms of the Notes may have important consequences for you as a holder of the Notes, including negatively affecting the trading value of the Notes or making it more difficult for us to satisfy our obligations with respect to the Notes.</w:t>
      </w:r>
    </w:p>
    <w:p>
      <w:pPr>
        <w:spacing w:after="0" w:line="18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Certain of our current debt instruments include more protections for their holders than the indenture and the Notes. See “</w:t>
      </w:r>
      <w:r>
        <w:rPr>
          <w:rFonts w:ascii="Arial" w:cs="Arial" w:eastAsia="Arial" w:hAnsi="Arial"/>
          <w:sz w:val="18"/>
          <w:szCs w:val="18"/>
          <w:i w:val="1"/>
          <w:iCs w:val="1"/>
          <w:color w:val="auto"/>
        </w:rPr>
        <w:t>Risk Factors—Risks Relating to</w:t>
      </w:r>
      <w:r>
        <w:rPr>
          <w:rFonts w:ascii="Arial" w:cs="Arial" w:eastAsia="Arial" w:hAnsi="Arial"/>
          <w:sz w:val="18"/>
          <w:szCs w:val="18"/>
          <w:color w:val="auto"/>
        </w:rPr>
        <w:t xml:space="preserve"> </w:t>
      </w:r>
      <w:r>
        <w:rPr>
          <w:rFonts w:ascii="Arial" w:cs="Arial" w:eastAsia="Arial" w:hAnsi="Arial"/>
          <w:sz w:val="18"/>
          <w:szCs w:val="18"/>
          <w:i w:val="1"/>
          <w:iCs w:val="1"/>
          <w:color w:val="auto"/>
        </w:rPr>
        <w:t>Our Business and Structure</w:t>
      </w:r>
      <w:r>
        <w:rPr>
          <w:rFonts w:ascii="Arial" w:cs="Arial" w:eastAsia="Arial" w:hAnsi="Arial"/>
          <w:sz w:val="18"/>
          <w:szCs w:val="18"/>
          <w:color w:val="auto"/>
        </w:rPr>
        <w:t>” including “</w:t>
      </w:r>
      <w:r>
        <w:rPr>
          <w:rFonts w:ascii="Arial" w:cs="Arial" w:eastAsia="Arial" w:hAnsi="Arial"/>
          <w:sz w:val="18"/>
          <w:szCs w:val="18"/>
          <w:i w:val="1"/>
          <w:iCs w:val="1"/>
          <w:color w:val="auto"/>
        </w:rPr>
        <w:t>Risk Factors—Risks Relating to Our Business and Structure—We are subject to various covenants under Funding I’s Credit Facility which, if not complied with, could result in reduced availability and/or mandatory prepayments under Funding I’s Credit Facility, our 2023 Notes, and our 2031 Asset-Backed Debt</w:t>
      </w:r>
      <w:r>
        <w:rPr>
          <w:rFonts w:ascii="Arial" w:cs="Arial" w:eastAsia="Arial" w:hAnsi="Arial"/>
          <w:sz w:val="18"/>
          <w:szCs w:val="18"/>
          <w:color w:val="auto"/>
        </w:rPr>
        <w:t>” in our most recent Annual Report on Form 10-K for more information. In addition,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debt we issue or incur in the future could contain more protections for its holders than the indenture and the Notes, including additional covenants and events of default.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issuance or incurrence of any such debt with incremental protections could affect the market for and trading levels and prices of the Notes.</w:t>
      </w:r>
    </w:p>
    <w:p>
      <w:pPr>
        <w:spacing w:after="0" w:line="341" w:lineRule="exact"/>
        <w:rPr>
          <w:sz w:val="20"/>
          <w:szCs w:val="20"/>
          <w:color w:val="auto"/>
        </w:rPr>
      </w:pPr>
    </w:p>
    <w:p>
      <w:pPr>
        <w:ind w:left="120" w:right="640"/>
        <w:spacing w:after="0" w:line="347" w:lineRule="auto"/>
        <w:rPr>
          <w:sz w:val="20"/>
          <w:szCs w:val="20"/>
          <w:color w:val="auto"/>
        </w:rPr>
      </w:pPr>
      <w:r>
        <w:rPr>
          <w:rFonts w:ascii="Arial" w:cs="Arial" w:eastAsia="Arial" w:hAnsi="Arial"/>
          <w:sz w:val="16"/>
          <w:szCs w:val="16"/>
          <w:b w:val="1"/>
          <w:bCs w:val="1"/>
          <w:color w:val="auto"/>
        </w:rPr>
        <w:t>Our amount of debt outstanding may increase as a result of this offering. Our current indebtedness could adversely affect our business, financial condition and results of operations and our ability to meet our payment obligations under the Notes and our other debt.</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use of debt could have significant consequences on our future operations, including:</w:t>
      </w:r>
    </w:p>
    <w:p>
      <w:pPr>
        <w:spacing w:after="0" w:line="131"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making it more difficult for us to meet our payment and other obligations under the Notes and our other outstanding debt;</w:t>
      </w:r>
    </w:p>
    <w:p>
      <w:pPr>
        <w:spacing w:after="0" w:line="130" w:lineRule="exact"/>
        <w:rPr>
          <w:rFonts w:ascii="Arial" w:cs="Arial" w:eastAsia="Arial" w:hAnsi="Arial"/>
          <w:sz w:val="18"/>
          <w:szCs w:val="18"/>
          <w:color w:val="auto"/>
        </w:rPr>
      </w:pPr>
    </w:p>
    <w:p>
      <w:pPr>
        <w:ind w:left="1080" w:right="880" w:hanging="424"/>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resulting in an event of default if we fail to comply with the financial and other restrictive covenants contained in our financing arrangements, which event of default could result in substantially all of our debt becoming immediately due and payable;</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reducing the availability of our cash flow to fund investments, acquisitions and other general corporate purposes, and limiting our ability to obtain additional financing for these purposes;</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subjecting us to the risk of increased sensitivity to interest rate increases on our indebtedness with variable interest rates, including borrowings under our financing arrangements;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and increasing our vulnerability to, changes in our business, the industry in which we operate and the general economy.</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Any of the above-listed factors could have an adverse effect on our business, financial condition and results of operations and our ability to meet our payment obligations under the Notes and our other debt.</w:t>
      </w:r>
    </w:p>
    <w:p>
      <w:pPr>
        <w:spacing w:after="0" w:line="170"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Our ability to meet our payment and other obligations under our financing arrangements depends on our ability to generate significant cash flow in the future. This, to some extent, is subject to general economic, financial, competitive, legislative and regulatory factors as well as other factors that are beyond our control. We cannot assure you that our business will generate cash flow from operations, or that future borrowings will be available to us under our financing arrangements or otherwise, in an amount sufficient to enable us to meet our payment obligations under the Notes and our other debt and to fund other liquidity needs. If we are not able to generate sufficient cash flow to service our debt obligations, we may need to refinance or restructure our debt, including the Notes, sell assets, reduce or delay capital investments, or seek to raise additional capital. If we are unable to implement one or more of these alternatives, we may not be able to meet our payment obligations under the Notes and our other debt, including the obligation to repurchase the Notes at maturity.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optional redemption provision may materially adversely affect your return on the Notes.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Notes will be redeemable in whole or in part upon certain conditions at any time, or from time to time, at our option, as described in “Description of the Notes—Optional Redemption”. We may choose to redeem the Notes at times when prevailing interest rates are lower than the interest rate paid on the Notes. In this circumstance, you may not be able to reinvest the redemption proceeds in a comparable security at an effective interest rate as high as the Notes being redeemed.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Company may not be able to repurchase the Notes upon a Change of Control Repurchase Event.</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Upon the occurrence of a Change of Control Repurchase Event, as defined in the indenture that governs the Notes, subject to certain conditions, the Company will be required to offer to repurchase all outstanding Notes at 100% of their principal amount, plus accrued and unpaid interest. The source of funds for that purchase of Notes will be the Company’s available cash or cash generated from the Company’s operations or other potential sources, including borrowings, investment repayments, sales of assets or sales of equity. The Company cannot assure you that sufficient funds from such sources will be available at the time of any Change of Control</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Repurchase Event to make required repurchases of Notes tendered. Before making any such repurchase of Notes, the Company may have to comply with certain requirements under the Company’s then existing financing arrangements, such as the Credit Facility and the 2023 Notes. The Company’s future debt instruments may also contain similar restrictions and provisions. If the holders of the Notes exercise their right to require the Company to repurchase the Notes upon a Change of Control Repurchase Event, the financial effect of this repurchase could cause a default under the Company’s existing or future debt instruments, even if the Change of Control Repurchase Event itself would not cause a default. It is possible that the Company will not have sufficient funds at the time of the Change of Control Repurchase Event to make the required repurchase of the Notes or the Company’s other debt. See “Description of the Notes—Offer to Repurchase Upon a Change of Control Repurchase Event”.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There is no active trading market for the Notes. If an active trading market does not develop for the Notes, you may not be able to sell them.</w:t>
      </w:r>
    </w:p>
    <w:p>
      <w:pPr>
        <w:spacing w:after="0" w:line="144"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Notes are a new issue of debt securities for which currently there is no trading market. We do not intend to list the Notes on any securities exchange or for quotation of the Notes on any automated dealer quotation system. If the Notes are traded after their initial issuance, they may trade at a discount from their initial offering price depending on prevailing interest rates, the market for similar securities, our credit ratings, general economic conditions, including the impact of COVID-19, our financial condition, performance and prospects and other factors. The underwriters have advised us that they intend to make a market in the Notes, but they are not obligated to do so. The underwriters may discontinue any market-making in the Notes at any time at their sole discretion. Accordingly, we cannot assure you that a liquid trading market will develop for the Notes, that you will be able to sell your Notes at a particular time or that the price you receive when you sell will be favorable. To the extent an active trading market does not develop, the liquidity and trading price for the Notes may be harmed. Accordingly, you may be required to bear the financial risk of an investment in the Notes for an indefinite period of time</w:t>
      </w:r>
      <w:r>
        <w:rPr>
          <w:rFonts w:ascii="Arial" w:cs="Arial" w:eastAsia="Arial" w:hAnsi="Arial"/>
          <w:sz w:val="17"/>
          <w:szCs w:val="17"/>
          <w:b w:val="1"/>
          <w:bCs w:val="1"/>
          <w:color w:val="auto"/>
        </w:rPr>
        <w: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we default on our obligations to pay our other indebtedness, we may not be able to make payments on the Notes.</w:t>
      </w:r>
    </w:p>
    <w:p>
      <w:pPr>
        <w:spacing w:after="0" w:line="121"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Any default under the agreements governing our indebtedness, including a default under our Credit Facility, the 2023 Notes, the 2031 Asset-Backed Debt or under other indebtedness to which we may be a party that is not waived by the required lenders or holders, and the remedies sought by the holders of such indebtedness could make us unable to pay principal, premium, if any, and interest on the Notes and substantially decrease the market value of the Notes.</w:t>
      </w:r>
    </w:p>
    <w:p>
      <w:pPr>
        <w:spacing w:after="0" w:line="18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or holders under our Credit Facility, the 2023 Notes, the 2031 Asset-Backed Debt or other debt we may incur in the future could elect to terminate their commitments, cease making further loans and institute foreclosure proceedings against our assets, and we could be forced into bankruptcy or liquidation.</w:t>
      </w:r>
    </w:p>
    <w:p>
      <w:pPr>
        <w:spacing w:after="0" w:line="17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If our operating performance declines, we may in the future need to seek to obtain waivers from the required lenders or holders under the agreements relating to our Credit Facility, the 2023 Notes, the 2031 Asset-Backed Debt or other debt that we may incur in the future to avoid being in default. If we breach our covenants under our Credit Facility, the 2023 Notes, the 2031 Asset-Backed Debt or other debt and seek a waiver, we may not be able to obtain a waiver from the required lenders or holders. If this occurs, we would be in default and our lenders or holders could exercise their rights as described above, and we could be forced into bankruptcy or liquidation. If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are unable to repay debt, lenders or holders having secured obligations, including the lenders or holders under our Credit Facility and the 2031 Asset-Backed Debt, could proceed against the collateral securing such debt. Because our Credit Facility, the 2023 Notes and the 2031 Asset-Backed Debt have, and any future debt will likely have, customary cross-default provisions, if the indebtedness thereunder or under any future credit facility is accelerated, we may be unable to repay or finance the amounts due.</w:t>
      </w:r>
    </w:p>
    <w:p>
      <w:pPr>
        <w:spacing w:after="0" w:line="291" w:lineRule="exact"/>
        <w:rPr>
          <w:sz w:val="20"/>
          <w:szCs w:val="20"/>
          <w:color w:val="auto"/>
        </w:rPr>
      </w:pPr>
    </w:p>
    <w:p>
      <w:pPr>
        <w:ind w:left="120" w:right="40"/>
        <w:spacing w:after="0" w:line="282" w:lineRule="auto"/>
        <w:rPr>
          <w:sz w:val="20"/>
          <w:szCs w:val="20"/>
          <w:color w:val="auto"/>
        </w:rPr>
      </w:pPr>
      <w:r>
        <w:rPr>
          <w:rFonts w:ascii="Arial" w:cs="Arial" w:eastAsia="Arial" w:hAnsi="Arial"/>
          <w:sz w:val="18"/>
          <w:szCs w:val="18"/>
          <w:b w:val="1"/>
          <w:bCs w:val="1"/>
          <w:color w:val="auto"/>
        </w:rPr>
        <w:t>A downgrade, suspension or withdrawal of a credit rating assigned by a rating agency to us or our unsecured debt, if any, or change in the debt markets could cause the liquidity or market value of the Notes to decline significantly.</w:t>
      </w:r>
    </w:p>
    <w:p>
      <w:pPr>
        <w:spacing w:after="0" w:line="5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Our credit ratings are an assessment by a rating agency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Neither we nor any underwriter undertakes any obligation to maintain our credit ratings or to advise holders of Notes of any changes in our credit ratings. There can be no assurance that our credit ratings will remain for any given period of time or that such credit ratings will not be lowered or withdrawn entirely by a rating agency if in its judgment future circumstances relating to the basis of the credit ratings, such as adverse changes in our company, so warrant. An increase in the competitive environment, inability to cover distributions, or increase in leverage could lead to a downgrade in our credit ratings and limit our access to the debt and equity markets capability impairing our ability to grow the business. The conditions of the financial markets and prevailing interest rates have fluctuated in the past and are likely to fluctuate in the future, which could have an adverse effect on the market prices of the Notes.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We estimate that the net proceeds we will receive from the sale of the $100.0 million aggregate principal amount of the Notes in this offering will be approximately $96.8 million, based on the public offering price of 99.441% of the aggregate principal amount, after deducting the underwriting discounts and commissions of $2.0 million payable by us and estimated offering expenses of $0.6 million payable by us.</w:t>
      </w:r>
    </w:p>
    <w:p>
      <w:pPr>
        <w:spacing w:after="0" w:line="165"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We expect to use the net proceeds from selling securities pursuant to this prospectus supplement to reduce outstanding obligations under our Credit Facility, to invest in new or existing portfolio companies or for other general corporate or strategic purposes. Affiliates of certain of the underwriters serve as lenders under our Credit Facility. Accordingly, affiliates of certain of the underwriters are expected to receive proceeds from this offering that are used to reduce our outstanding obligations under our Credit Facility.</w:t>
      </w:r>
    </w:p>
    <w:p>
      <w:pPr>
        <w:spacing w:after="0" w:line="187" w:lineRule="exact"/>
        <w:rPr>
          <w:sz w:val="20"/>
          <w:szCs w:val="20"/>
          <w:color w:val="auto"/>
        </w:rPr>
      </w:pPr>
    </w:p>
    <w:p>
      <w:pPr>
        <w:ind w:left="120" w:right="120"/>
        <w:spacing w:after="0" w:line="254" w:lineRule="auto"/>
        <w:rPr>
          <w:sz w:val="20"/>
          <w:szCs w:val="20"/>
          <w:color w:val="auto"/>
        </w:rPr>
      </w:pPr>
      <w:r>
        <w:rPr>
          <w:rFonts w:ascii="Arial" w:cs="Arial" w:eastAsia="Arial" w:hAnsi="Arial"/>
          <w:sz w:val="18"/>
          <w:szCs w:val="18"/>
          <w:color w:val="auto"/>
        </w:rPr>
        <w:t>As of December 31, 2020, Funding I had approximately $256.9 million in outstanding borrowings under the Credit Facility. Borrowings under the Credit Facility bear interest at an annual rate equal to LIBOR (or an alternative risk-free floating interest rate index) plus 200 basis points and, after the revolving period, the rate sets to LIBOR (or an alternative risk-free floating interest rate index) plus 425 basis points for the remaining two years, maturing in October 2023. At December 31, 2020, the weighted average interest rate of the Credit Facility was 2.2%, exclusive of the fee on undrawn commitments. The Credit Facility is secured by all of the assets of Funding I and we own 100% of the equity interest in Funding I and treat the indebtedness of Funding I as our leverage. Effective January 19, 2021, we reduced the size of the Credit Facility from $520 million to $400 million in order to reduce the cost of the unused facility fees.</w:t>
      </w:r>
    </w:p>
    <w:p>
      <w:pPr>
        <w:spacing w:after="0" w:line="19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our most recent Quarterly Report on Form 10-Q for more information.</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w:t>
      </w:r>
      <w:r>
        <w:rPr>
          <w:rFonts w:ascii="Arial" w:cs="Arial" w:eastAsia="Arial" w:hAnsi="Arial"/>
          <w:sz w:val="17"/>
          <w:szCs w:val="17"/>
          <w:i w:val="1"/>
          <w:iCs w:val="1"/>
          <w:color w:val="auto"/>
        </w:rPr>
        <w:t>Business—Regulation—Temporary</w:t>
      </w:r>
      <w:r>
        <w:rPr>
          <w:rFonts w:ascii="Arial" w:cs="Arial" w:eastAsia="Arial" w:hAnsi="Arial"/>
          <w:sz w:val="17"/>
          <w:szCs w:val="17"/>
          <w:color w:val="auto"/>
        </w:rPr>
        <w:t xml:space="preserve"> </w:t>
      </w:r>
      <w:r>
        <w:rPr>
          <w:rFonts w:ascii="Arial" w:cs="Arial" w:eastAsia="Arial" w:hAnsi="Arial"/>
          <w:sz w:val="17"/>
          <w:szCs w:val="17"/>
          <w:i w:val="1"/>
          <w:iCs w:val="1"/>
          <w:color w:val="auto"/>
        </w:rPr>
        <w:t>Investments</w:t>
      </w:r>
      <w:r>
        <w:rPr>
          <w:rFonts w:ascii="Arial" w:cs="Arial" w:eastAsia="Arial" w:hAnsi="Arial"/>
          <w:sz w:val="17"/>
          <w:szCs w:val="17"/>
          <w:color w:val="auto"/>
        </w:rPr>
        <w:t>” in in our most recently filed Annual Report on Form 10- K for more information.</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00"/>
          </w:cols>
          <w:pgMar w:left="32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following table sets forth our cash and capitalization on December 31, 2020 (1) on an actual basis and (2) on an as-adjusted basis to reflect the effects of the sale of $100.0 million aggregate principal amount of Notes in this offering based on the public offering price of 99.441% of the aggregate principal amount, after deducting the underwriting discounts and commissions of $2.0 million payable by us and estimated offering expenses of $0.6 million payable by us. The as-adjusted information is illustrative only; our capitalization following the completion of this offering is subject to further adjustments, such as the potential repayment of certain of the amounts borrowed under the Credit Facility. You should read this table together with “Use of Proceeds” set forth in this prospectus supplement and in the accompanying prospectus for more information. You should also read this table with our Consolidated Financial Statements and related notes thereto, in conjunction with “Management’s Discussion and Analysis of Financial Condition and Results of Operations” in our most recent Quarterly Report on Form 10-Q for more information.</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As of December 31, 2020</w:t>
            </w:r>
          </w:p>
        </w:tc>
      </w:tr>
      <w:tr>
        <w:trPr>
          <w:trHeight w:val="17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(unaudited)</w:t>
            </w:r>
          </w:p>
        </w:tc>
      </w:tr>
      <w:tr>
        <w:trPr>
          <w:trHeight w:val="142"/>
        </w:trPr>
        <w:tc>
          <w:tcPr>
            <w:tcW w:w="8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Actual</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w w:val="93"/>
              </w:rPr>
              <w:t>As adjusted</w:t>
            </w:r>
          </w:p>
        </w:tc>
        <w:tc>
          <w:tcPr>
            <w:tcW w:w="140" w:type="dxa"/>
            <w:vAlign w:val="bottom"/>
          </w:tcPr>
          <w:p>
            <w:pPr>
              <w:spacing w:after="0"/>
              <w:rPr>
                <w:sz w:val="12"/>
                <w:szCs w:val="12"/>
                <w:color w:val="auto"/>
              </w:rPr>
            </w:pPr>
          </w:p>
        </w:tc>
      </w:tr>
      <w:tr>
        <w:trPr>
          <w:trHeight w:val="210"/>
        </w:trPr>
        <w:tc>
          <w:tcPr>
            <w:tcW w:w="8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(cost—$28,487,798 and $125,328,798, respectively)</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28,488,111</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125,329,111</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at fair value (cost—$256,900,000)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253,303,400</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253,303,400</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2023 Notes payable, at fair value (par—$117,792,879)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106,567,218</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106,567,218</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2031 Asset-Backed Debt, net (par—$228,000,000)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225,024,045</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225,024,045</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Notes (par—$100,000,000)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96,841,000</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8120" w:type="dxa"/>
            <w:vAlign w:val="bottom"/>
          </w:tcPr>
          <w:p>
            <w:pPr>
              <w:spacing w:after="0" w:line="201" w:lineRule="exact"/>
              <w:rPr>
                <w:sz w:val="20"/>
                <w:szCs w:val="20"/>
                <w:color w:val="auto"/>
              </w:rPr>
            </w:pPr>
            <w:r>
              <w:rPr>
                <w:rFonts w:ascii="Arial" w:cs="Arial" w:eastAsia="Arial" w:hAnsi="Arial"/>
                <w:sz w:val="18"/>
                <w:szCs w:val="18"/>
                <w:color w:val="auto"/>
                <w:w w:val="90"/>
              </w:rPr>
              <w:t>Common stock, 38,772,074 shares issued and outstanding Par value $0.001 per share and 100,000,000 shares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authorized</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38,772</w:t>
            </w: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38,772</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 value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538,151,528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538,151,528</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Accumulated distributable net loss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(45,839,361)</w:t>
            </w: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(45,839,361)</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net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492,350,939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492,350,939</w:t>
            </w:r>
          </w:p>
        </w:tc>
      </w:tr>
      <w:tr>
        <w:trPr>
          <w:trHeight w:val="365"/>
        </w:trPr>
        <w:tc>
          <w:tcPr>
            <w:tcW w:w="8120" w:type="dxa"/>
            <w:vAlign w:val="bottom"/>
          </w:tcPr>
          <w:p>
            <w:pPr>
              <w:ind w:left="5340"/>
              <w:spacing w:after="0"/>
              <w:rPr>
                <w:sz w:val="20"/>
                <w:szCs w:val="20"/>
                <w:color w:val="auto"/>
              </w:rPr>
            </w:pPr>
            <w:r>
              <w:rPr>
                <w:rFonts w:ascii="Arial" w:cs="Arial" w:eastAsia="Arial" w:hAnsi="Arial"/>
                <w:sz w:val="18"/>
                <w:szCs w:val="18"/>
                <w:color w:val="auto"/>
              </w:rPr>
              <w:t>S-18</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THE NOTES</w:t>
      </w:r>
    </w:p>
    <w:p>
      <w:pPr>
        <w:spacing w:after="0" w:line="22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i w:val="1"/>
          <w:iCs w:val="1"/>
          <w:color w:val="auto"/>
        </w:rPr>
        <w:t>We will issue the Notes under that certain base indenture, or the base indenture, as supplemented by a supplemental indenture, or the supplemental indenture, each to be dated as of the settlement date for the offering of the Notes.</w:t>
      </w:r>
    </w:p>
    <w:p>
      <w:pPr>
        <w:spacing w:after="0" w:line="170"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i w:val="1"/>
          <w:iCs w:val="1"/>
          <w:color w:val="auto"/>
        </w:rPr>
        <w:t>As used in this section, all references to the indenture mean the base indenture as supplemented by the supplemental indenture. The terms of the Notes include those expressly set forth in the indenture and those made part of the indenture by reference to the Trust Indenture Act of 1939, as amended, or the TIA.</w:t>
      </w:r>
    </w:p>
    <w:p>
      <w:pPr>
        <w:spacing w:after="0" w:line="184"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i w:val="1"/>
          <w:iCs w:val="1"/>
          <w:color w:val="auto"/>
        </w:rPr>
        <w:t>The following description is a summary of the material provisions of the Notes and the indenture and does not purport to be complete. This summary is subject to and is qualified by reference to all the provisions of the Notes and the indenture, including the definitions of certain terms used in the indenture. We urge you to read these documents because they, and not this description, define your rights as a holder of the Notes.</w:t>
      </w:r>
    </w:p>
    <w:p>
      <w:pPr>
        <w:spacing w:after="0" w:line="165"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i w:val="1"/>
          <w:iCs w:val="1"/>
          <w:color w:val="auto"/>
        </w:rPr>
        <w:t>For purposes of this description, references to the “Company,” “we,” “our” or “us” refer only to PennantPark Floating Rate Capital Ltd., and not to any of its current or future subsidiaries and references to “subsidiaries” refer only to the Company’s consolidated subsidiaries and exclude any investments held by the Company in the ordinary course of business which are not, under GAAP, consolidated on the financial statements of the Company and its subsidiaries.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w:t>
      </w:r>
    </w:p>
    <w:p>
      <w:pPr>
        <w:spacing w:after="0" w:line="131"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the Company’s direct, general unsecured, senior obligations;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initially be issued in an aggregate principal amount of $100 million;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mature on April 1, 2026, unless earlier redeemed or repurchased, as discussed below;</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bear interest from March 23, 2021 at an annual rate of 4.25% payable semi-annually on April 1 and October 1 of each year, beginning on October 1, 2021;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subject to redemption at the Company’s option as described under “</w:t>
      </w:r>
      <w:r>
        <w:rPr>
          <w:rFonts w:ascii="Arial" w:cs="Arial" w:eastAsia="Arial" w:hAnsi="Arial"/>
          <w:sz w:val="18"/>
          <w:szCs w:val="18"/>
          <w:i w:val="1"/>
          <w:iCs w:val="1"/>
          <w:color w:val="auto"/>
        </w:rPr>
        <w:t>—</w:t>
      </w:r>
      <w:r>
        <w:rPr>
          <w:rFonts w:ascii="Arial" w:cs="Arial" w:eastAsia="Arial" w:hAnsi="Arial"/>
          <w:sz w:val="18"/>
          <w:szCs w:val="18"/>
          <w:color w:val="auto"/>
        </w:rPr>
        <w:t>Optional Redemption”;</w:t>
      </w:r>
    </w:p>
    <w:p>
      <w:pPr>
        <w:spacing w:after="0" w:line="130" w:lineRule="exact"/>
        <w:rPr>
          <w:rFonts w:ascii="Arial" w:cs="Arial" w:eastAsia="Arial" w:hAnsi="Arial"/>
          <w:sz w:val="18"/>
          <w:szCs w:val="18"/>
          <w:color w:val="auto"/>
        </w:rPr>
      </w:pPr>
    </w:p>
    <w:p>
      <w:pPr>
        <w:ind w:left="1080" w:right="160" w:hanging="424"/>
        <w:spacing w:after="0" w:line="286" w:lineRule="auto"/>
        <w:tabs>
          <w:tab w:leader="none" w:pos="10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will be subject to repurchase by the Company at the option of the holders following a Change of Control Repurchase Event (as defined below under “</w:t>
      </w:r>
      <w:r>
        <w:rPr>
          <w:rFonts w:ascii="Arial" w:cs="Arial" w:eastAsia="Arial" w:hAnsi="Arial"/>
          <w:sz w:val="17"/>
          <w:szCs w:val="17"/>
          <w:i w:val="1"/>
          <w:iCs w:val="1"/>
          <w:color w:val="auto"/>
        </w:rPr>
        <w:t>—</w:t>
      </w:r>
      <w:r>
        <w:rPr>
          <w:rFonts w:ascii="Arial" w:cs="Arial" w:eastAsia="Arial" w:hAnsi="Arial"/>
          <w:sz w:val="17"/>
          <w:szCs w:val="17"/>
          <w:color w:val="auto"/>
        </w:rPr>
        <w:t xml:space="preserve">Offer to Repurchase Upon a Change of Control Repurchase Event”), at a repurchase price equal to 100% of the principal amount of the Notes to be repurchased,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and unpaid interest to, but excluding, the date of repurchase;</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issued in denominations of $2,000 and integral multiples of $1,000 in excess thereof; and</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be represented by one or more registered Notes in global form, but in certain limited circumstances may be represented by Notes in definitive form. See “</w:t>
      </w:r>
      <w:r>
        <w:rPr>
          <w:rFonts w:ascii="Arial" w:cs="Arial" w:eastAsia="Arial" w:hAnsi="Arial"/>
          <w:sz w:val="18"/>
          <w:szCs w:val="18"/>
          <w:i w:val="1"/>
          <w:iCs w:val="1"/>
          <w:color w:val="auto"/>
        </w:rPr>
        <w:t>—</w:t>
      </w:r>
      <w:r>
        <w:rPr>
          <w:rFonts w:ascii="Arial" w:cs="Arial" w:eastAsia="Arial" w:hAnsi="Arial"/>
          <w:sz w:val="18"/>
          <w:szCs w:val="18"/>
          <w:color w:val="auto"/>
        </w:rPr>
        <w:t>Book-Entry, Settlement and Clearance”.</w:t>
      </w:r>
    </w:p>
    <w:p>
      <w:pPr>
        <w:spacing w:after="0" w:line="170"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indenture does not limit the amount of debt that may be issued by the Company or its subsidiaries under the indenture or otherwise. The indenture does not contain any financial covenants and does not restrict us from paying dividends or issuing or repurchasing its other securities. Other than restrictions described under “</w:t>
      </w:r>
      <w:r>
        <w:rPr>
          <w:rFonts w:ascii="Arial" w:cs="Arial" w:eastAsia="Arial" w:hAnsi="Arial"/>
          <w:sz w:val="16"/>
          <w:szCs w:val="16"/>
          <w:i w:val="1"/>
          <w:iCs w:val="1"/>
          <w:color w:val="auto"/>
        </w:rPr>
        <w:t>—</w:t>
      </w:r>
      <w:r>
        <w:rPr>
          <w:rFonts w:ascii="Arial" w:cs="Arial" w:eastAsia="Arial" w:hAnsi="Arial"/>
          <w:sz w:val="16"/>
          <w:szCs w:val="16"/>
          <w:color w:val="auto"/>
        </w:rPr>
        <w:t>Offer to Repurchase Upon a Change of Control Repurchase Event” and “</w:t>
      </w:r>
      <w:r>
        <w:rPr>
          <w:rFonts w:ascii="Arial" w:cs="Arial" w:eastAsia="Arial" w:hAnsi="Arial"/>
          <w:sz w:val="16"/>
          <w:szCs w:val="16"/>
          <w:i w:val="1"/>
          <w:iCs w:val="1"/>
          <w:color w:val="auto"/>
        </w:rPr>
        <w:t>—</w:t>
      </w:r>
      <w:r>
        <w:rPr>
          <w:rFonts w:ascii="Arial" w:cs="Arial" w:eastAsia="Arial" w:hAnsi="Arial"/>
          <w:sz w:val="16"/>
          <w:szCs w:val="16"/>
          <w:color w:val="auto"/>
        </w:rPr>
        <w:t xml:space="preserve">Merger, Consolidation or Sale of Assets” below, the indenture does not contain any covenants or other provisions designed to afford holders of the Notes protection in the event of a highly leveraged transaction involving the Company or in the event of a decline in our credit rating as the result of a takeover, recapitalization, highly leveraged transaction or similar restructuring involving the Company that could adversely affect such holders. We may, without the consent of the holders, issue additional Notes under the indenture with the same terms (except that the first payment date and the date from which interest may accrue may be different) in an unlimited aggregate principal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additional Notes must be part of the same issue as the Notes offered hereby for U.S. federal income tax purposes if represented by the same CUSIP number as the Notes offered hereby.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do not intend to list the Notes on any securities exchange or any automated dealer quotation system.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Payments on the Notes; Paying Agent and Registrar; Transfer and Exchange</w:t>
      </w:r>
    </w:p>
    <w:p>
      <w:pPr>
        <w:spacing w:after="0" w:line="121"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color w:val="auto"/>
        </w:rPr>
        <w:t>We will pay the principal of, and interest on, Notes in global form registered in the name of or held by The Depository Trust Company, or DTC, or its nominee in immediately available funds to DTC or its nominee, as the case may be, as the registered holder of such Global Note (as defined below).</w:t>
      </w:r>
    </w:p>
    <w:p>
      <w:pPr>
        <w:spacing w:after="0" w:line="12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Payment of principal of (and premium, if any) and any such interest on the Notes will be made at the corporate trust office of the paying agent, which initially shall be the trustee, in such coin or currency of the United States of America as at the time of payment is legal tender for payment of public and private debts; </w:t>
      </w:r>
      <w:r>
        <w:rPr>
          <w:rFonts w:ascii="Arial" w:cs="Arial" w:eastAsia="Arial" w:hAnsi="Arial"/>
          <w:sz w:val="18"/>
          <w:szCs w:val="18"/>
          <w:i w:val="1"/>
          <w:iCs w:val="1"/>
          <w:color w:val="auto"/>
        </w:rPr>
        <w:t>provided</w:t>
      </w:r>
      <w:r>
        <w:rPr>
          <w:rFonts w:ascii="Arial" w:cs="Arial" w:eastAsia="Arial" w:hAnsi="Arial"/>
          <w:sz w:val="18"/>
          <w:szCs w:val="18"/>
          <w:color w:val="auto"/>
        </w:rPr>
        <w:t>, however, that, in the case of notes that are not in global form, at our option, payment of interest may be made by check mailed to the address of the person entitled thereto as such address shall appear in the security register.</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 holder of Notes may transfer or exchange Notes at the office of the registrar in accordance with the indenture. A holder may be required, among other things, to furnish appropriate endorsements and transfer documents. No service charge will be imposed by us, the trustee or the registrar for any registration of transfer or exchange of Notes, but we may require a holder to pay a sum sufficient to cover any transfer tax or other similar governmental charge required by law or permitted by the indenture.</w:t>
      </w:r>
    </w:p>
    <w:p>
      <w:pPr>
        <w:spacing w:after="0" w:line="187" w:lineRule="exact"/>
        <w:rPr>
          <w:sz w:val="20"/>
          <w:szCs w:val="20"/>
          <w:color w:val="auto"/>
        </w:rPr>
      </w:pPr>
    </w:p>
    <w:p>
      <w:pPr>
        <w:jc w:val="both"/>
        <w:ind w:left="120" w:right="180"/>
        <w:spacing w:after="0" w:line="286" w:lineRule="auto"/>
        <w:rPr>
          <w:sz w:val="20"/>
          <w:szCs w:val="20"/>
          <w:color w:val="auto"/>
        </w:rPr>
      </w:pPr>
      <w:r>
        <w:rPr>
          <w:rFonts w:ascii="Arial" w:cs="Arial" w:eastAsia="Arial" w:hAnsi="Arial"/>
          <w:sz w:val="17"/>
          <w:szCs w:val="17"/>
          <w:color w:val="auto"/>
        </w:rPr>
        <w:t>The transferor shall provide to the trustee all information reasonably requested by the trustee that is necessary to allow the trustee to comply with any applicable tax reporting obligations, including without limitation any cost basis reporting obligations under Section 6045 of the Code. The trustee may rely on the information provided to it and shall have no responsibility to verify or ensure the accuracy of such information.</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registered holder of the Notes will be treated as its owner for all purposes.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Notes will bear cash interest at a rate of 4.25% per year until maturity. Interest on the Notes will accrue from March 23, 2021 or from the most recent date on which interest has been paid or duly provided for. Interest will be payable semiannually in arrears on April 1 and October 1 of each year, beginning on October 1, 2021.</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Interest will be paid to the person in whose name the Notes is registered at 5:00 p.m. New York City time (the “close of business”) on or (whether or not a business day), as the case may be, immediately preceding the relevant interest payment date. Interest on the Notes will be computed on the basis of a 360-day year composed of twelve 30-day months.</w:t>
      </w:r>
    </w:p>
    <w:p>
      <w:pPr>
        <w:spacing w:after="0" w:line="184"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If any interest payment date, redemption date, the maturity date or any earlier required repurchase date upon a Change of Control Repurchase Event (defined below) of the Notes falls on a day that is not a business day, the required payment will be made on the next succeeding business day and no interest on such payment will accrue in respect of the delay. The term “business day” means, with respect to any of the Notes, any day other than a Saturday, a Sunday or a day on which banking institutions in New York or the city in which the corporate trust office of the trustee is located are authorized or obligated by law or executive order to close.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Ranking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the Company’s direct, general unsecured obligations that will rank:</w:t>
      </w:r>
    </w:p>
    <w:p>
      <w:pPr>
        <w:spacing w:after="0" w:line="131" w:lineRule="exact"/>
        <w:rPr>
          <w:sz w:val="20"/>
          <w:szCs w:val="20"/>
          <w:color w:val="auto"/>
        </w:rPr>
      </w:pPr>
    </w:p>
    <w:p>
      <w:pPr>
        <w:ind w:left="1080" w:right="10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 right of payment with any existing and future unsecured unsubordinated indebtedness, including approximately</w:t>
      </w:r>
      <w:r>
        <w:rPr>
          <w:rFonts w:ascii="Arial" w:cs="Arial" w:eastAsia="Arial" w:hAnsi="Arial"/>
          <w:sz w:val="18"/>
          <w:szCs w:val="18"/>
          <w:i w:val="1"/>
          <w:iCs w:val="1"/>
          <w:color w:val="auto"/>
        </w:rPr>
        <w:t xml:space="preserve"> </w:t>
      </w:r>
      <w:r>
        <w:rPr>
          <w:rFonts w:ascii="Arial" w:cs="Arial" w:eastAsia="Arial" w:hAnsi="Arial"/>
          <w:sz w:val="18"/>
          <w:szCs w:val="18"/>
          <w:color w:val="auto"/>
        </w:rPr>
        <w:t>$117.8 million aggregate principal outstanding under our 2023 Notes, as of December 31, 2020;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senior to any of our future indebtedness that expressly states it is subordinated in right of payment to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senior to any series of preferred stock that we may issue in the future;</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effectively subordinated in right of payment to all of our existing and future secured indebtedness (including indebtedness that is initially unsecured, but to which we subsequently grant security), to the extent of the value of the assets securing such indebtedness; and</w:t>
      </w:r>
    </w:p>
    <w:p>
      <w:pPr>
        <w:spacing w:after="0" w:line="29" w:lineRule="exact"/>
        <w:rPr>
          <w:rFonts w:ascii="Arial" w:cs="Arial" w:eastAsia="Arial" w:hAnsi="Arial"/>
          <w:sz w:val="16"/>
          <w:szCs w:val="16"/>
          <w:color w:val="auto"/>
        </w:rPr>
      </w:pPr>
    </w:p>
    <w:p>
      <w:pPr>
        <w:ind w:left="1080" w:right="360" w:hanging="424"/>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structurally subordinated to all existing and future indebtedness and other obligations of any of our subsidiaries, financing vehicles or similar facilities, including without limitation, approximately (i) $256.9 million aggregate principal amount of borrowings outstanding under our Credit Facility, to the extent of the value of the assets securing our Credit Facility, as of December 31, 2020 and (ii) $228.0 million outstanding under our 2031 Asset-Backed Debt as of December 31, 2020.</w:t>
      </w:r>
    </w:p>
    <w:p>
      <w:pPr>
        <w:spacing w:after="0" w:line="187" w:lineRule="exact"/>
        <w:rPr>
          <w:sz w:val="20"/>
          <w:szCs w:val="20"/>
          <w:color w:val="auto"/>
        </w:rPr>
      </w:pPr>
    </w:p>
    <w:p>
      <w:pPr>
        <w:jc w:val="both"/>
        <w:ind w:left="120" w:right="300"/>
        <w:spacing w:after="0" w:line="311" w:lineRule="auto"/>
        <w:rPr>
          <w:sz w:val="20"/>
          <w:szCs w:val="20"/>
          <w:color w:val="auto"/>
        </w:rPr>
      </w:pPr>
      <w:r>
        <w:rPr>
          <w:rFonts w:ascii="Arial" w:cs="Arial" w:eastAsia="Arial" w:hAnsi="Arial"/>
          <w:sz w:val="16"/>
          <w:szCs w:val="16"/>
          <w:color w:val="auto"/>
        </w:rPr>
        <w:t>As of December 31, 2020, we had $602.7 million of debt outstanding, of which $117.8 million was unsecured and unsubordinated indebtedness and $484.9 million was secured indebtedness. After giving effect to the issuance of the Notes, assuming no repayment of amounts owed under the Credit Facility, our total indebtedness would have been approximately $702.7 million aggregate principal amount outstanding as of December 31, 2020.</w:t>
      </w:r>
    </w:p>
    <w:p>
      <w:pPr>
        <w:spacing w:after="0" w:line="14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the event of the Company’s bankruptcy, liquidation, reorganization or other winding up, its assets that secure secured debt will be available to pay obligations on the Notes only after all indebtedness under such secured debt has been repaid in full from such assets. We advise you that there may not be sufficient assets remaining to pay amounts due on any or all the Notes then outstanding.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left="120" w:right="400"/>
        <w:spacing w:after="0" w:line="308" w:lineRule="auto"/>
        <w:rPr>
          <w:sz w:val="20"/>
          <w:szCs w:val="20"/>
          <w:color w:val="auto"/>
        </w:rPr>
      </w:pPr>
      <w:r>
        <w:rPr>
          <w:rFonts w:ascii="Arial" w:cs="Arial" w:eastAsia="Arial" w:hAnsi="Arial"/>
          <w:sz w:val="17"/>
          <w:szCs w:val="17"/>
          <w:color w:val="auto"/>
        </w:rPr>
        <w:t>We may redeem some or all of the Notes at any time, or from time to time. If we choose to redeem any of the Notes prior to maturity, we will pay a redemption price equal to the greater of the following amounts, plus, in each case, accrued and unpaid interest to the redemption date:</w:t>
      </w:r>
    </w:p>
    <w:p>
      <w:pPr>
        <w:spacing w:after="0" w:line="52"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(exclusive of accrued and unpaid interest to the date of redemption) on the Notes to be redeemed, discounted to the redemption date on a semi-annual basis (assuming a 360-day year consisting of twelve 30-day months) using the applicable Treasury Rate plus 50 basis points;</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however, that if we redeem any of the Notes on or after January 1, 2026 (the date falling three months prior to the maturity date of the Notes),</w:t>
      </w:r>
      <w:r>
        <w:rPr>
          <w:rFonts w:ascii="Arial" w:cs="Arial" w:eastAsia="Arial" w:hAnsi="Arial"/>
          <w:sz w:val="18"/>
          <w:szCs w:val="18"/>
          <w:i w:val="1"/>
          <w:iCs w:val="1"/>
          <w:color w:val="auto"/>
        </w:rPr>
        <w:t xml:space="preserve"> </w:t>
      </w:r>
      <w:r>
        <w:rPr>
          <w:rFonts w:ascii="Arial" w:cs="Arial" w:eastAsia="Arial" w:hAnsi="Arial"/>
          <w:sz w:val="18"/>
          <w:szCs w:val="18"/>
          <w:color w:val="auto"/>
        </w:rPr>
        <w:t>the redemption price for the Notes will be equal to 100% of the principal amount of the Notes to be redeemed, plus accrued and unpaid interest, if any, to, but excluding, the date of redemption.</w:t>
      </w:r>
    </w:p>
    <w:p>
      <w:pPr>
        <w:spacing w:after="0" w:line="184"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 xml:space="preserve">If we choose to redeem any of the Notes, we will deliver a notice of redemption to holders of the Notes not less than 30 nor more than 60 days before the redemption date. Any exercise of our option to redeem the Notes will be done in compliance with the Investment Company Act. If we are redeeming less than all of the Notes, the particular Notes to be redeemed will be selected by the trustee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to the extent practicable, or, if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is not practicable for any reason, by lot or in such other manner as the Trustee shall deem fair and appropriate, and in any case in accordance with the applicable procedures of DTC and in accordance with the Investment Company Act as directed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no such partial redemption shall reduce the portion of the principal amount of the Notes not redeemed to less than $2,000. Unless we default in payment of the redemption price, on and after the redemption date, interest will cease to accrue on the Notes or portions of the Notes called for redemption.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77" w:lineRule="auto"/>
        <w:rPr>
          <w:sz w:val="20"/>
          <w:szCs w:val="20"/>
          <w:color w:val="auto"/>
        </w:rPr>
      </w:pPr>
      <w:r>
        <w:rPr>
          <w:rFonts w:ascii="Arial" w:cs="Arial" w:eastAsia="Arial" w:hAnsi="Arial"/>
          <w:sz w:val="18"/>
          <w:szCs w:val="18"/>
          <w:color w:val="auto"/>
        </w:rPr>
        <w:t>For purposes of calculating the redemption price in connection with the redemption of the Notes, on any redemption date, the following terms have the meanings set forth below:</w:t>
      </w:r>
    </w:p>
    <w:p>
      <w:pPr>
        <w:spacing w:after="0" w:line="170"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“Comparable Treasury Issue” means the United States Treasury security selected by the Reference Treasury Dealer as having a maturity comparable to the remaining term of the Notes to be redeemed that would be utilized, at the time of selection and in accordance with customary financing practice, in pricing new issues of corporate debt securities of comparable maturity to the remaining term of the Notes being redeemed.</w:t>
      </w:r>
    </w:p>
    <w:p>
      <w:pPr>
        <w:spacing w:after="0" w:line="16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“Quotation Agent” means a Reference Treasury Dealer selected by the Company.</w:t>
      </w:r>
    </w:p>
    <w:p>
      <w:pPr>
        <w:spacing w:after="0" w:line="225"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 xml:space="preserve">“Reference Treasury Dealer” means each of (1) Goldman Sachs &amp; Co. LLC or its affiliates which is a primary U.S. government securities dealer in the United States (a “Primary Treasury Dealer”) and its successors; </w:t>
      </w:r>
      <w:r>
        <w:rPr>
          <w:rFonts w:ascii="Arial" w:cs="Arial" w:eastAsia="Arial" w:hAnsi="Arial"/>
          <w:sz w:val="16"/>
          <w:szCs w:val="16"/>
          <w:i w:val="1"/>
          <w:iCs w:val="1"/>
          <w:color w:val="auto"/>
        </w:rPr>
        <w:t>provided</w:t>
      </w:r>
      <w:r>
        <w:rPr>
          <w:rFonts w:ascii="Arial" w:cs="Arial" w:eastAsia="Arial" w:hAnsi="Arial"/>
          <w:sz w:val="16"/>
          <w:szCs w:val="16"/>
          <w:color w:val="auto"/>
        </w:rPr>
        <w:t>, however, that if Goldman Sachs &amp; Co. LLC or its affiliates shall cease to be a Primary Treasury Dealer, we shall select another Primary Treasury Dealer, and (2) two other Primary Treasury Dealers selected by us.</w:t>
      </w:r>
    </w:p>
    <w:p>
      <w:pPr>
        <w:spacing w:after="0" w:line="14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time on the third business day preceding such redemption date.</w:t>
      </w:r>
    </w:p>
    <w:p>
      <w:pPr>
        <w:spacing w:after="0" w:line="187"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“Treasury Rate” means, with respect to any redemption date, the rate per annum equal to the semi-annual equivalent yield-to-maturity 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w:t>
      </w:r>
    </w:p>
    <w:p>
      <w:pPr>
        <w:spacing w:after="0" w:line="18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All determinations made by any Reference Treasury Dealer, including the Quotation Agent, with respect to determining the redemption price will be final and binding absent manifest error.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Offer to Repurchase Upon a Change of Control Repurchase Event</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If a Change of Control Repurchase Event occurs, unless we have exercised our right to redeem the Notes in full, we will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Repurchase Event. To the extent that the provisions of any securities laws or regulations conflict with the Change of Control Repurchase Event provisions of the Notes, we will comply with the applicable securities laws and regulations and will not be deemed to have breached its obligations under the Change of Control Repurchase Event provisions of the Notes by virtue of such conflict.</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On the Change of Control Repurchase Event payment date, subject to extension if necessary to comply with the provisions of the Investment Company Act, we will, to the extent lawful:</w:t>
      </w:r>
    </w:p>
    <w:p>
      <w:pPr>
        <w:spacing w:after="0" w:line="76"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our offer;</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deposit with the paying agent by 11:00 am New York City time, an amount equal to the aggregate purchase price in respect of all Notes or portions of Notes properly tendered; and</w:t>
      </w:r>
    </w:p>
    <w:p>
      <w:pPr>
        <w:spacing w:after="0" w:line="75"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being purchased by us.</w:t>
      </w:r>
    </w:p>
    <w:p>
      <w:pPr>
        <w:spacing w:after="0" w:line="170"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minimum principal amount of $2,000 or an integral multiple of $1,000 in excess thereof.</w:t>
      </w:r>
    </w:p>
    <w:p>
      <w:pPr>
        <w:spacing w:after="0" w:line="149"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the Company and such third party purchases all Notes properly tendered and not withdrawn under its offer.</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source of funds that will be required to repurchase Notes in the event of a Change of Control Repurchase Event will be our available cash or cash generated from its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See “—Ranking” above as well as the documents incorporated by reference herein for a general discussion of our indebtedness. Before making any such repurchase of Notes, we would also have to comply with certain requirements under its Revolving Credit Facility, to the extent such requirements remain in effect at such time, or otherwise obtain consent from the lenders under the Credit Facility. Our future debt instruments may contain similar restrictions and provisions. If the holders of the Notes exercise their right to require the Company to repurchase Notes upon a Change of Control Repurchase Event, the financial effect of this repurchase could cause a default under its existing or future debt instruments, even if the Change of Control Repurchase Event itself would not cause a default. It is possible that we will not have sufficient funds at the time of the Change of Control Repurchase Event to make the required repurchase of the Notes or its other debt. See “Risk Factors —Risks Relating to the Notes—The Company may not be able to repurchase the Notes upon a Change of Control Repurchase Event.”</w:t>
      </w:r>
    </w:p>
    <w:p>
      <w:pPr>
        <w:spacing w:after="0" w:line="172"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The definition of “Change of Control” includes a phrase relating to the direct or indirect sale, transfer, conveyance or other disposition of “all or substantially all” of our properties or assets and those of its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its assets and the assets of its subsidiaries taken as a whole to another person or group may be uncertain.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the Notes: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“Below Investment Grade Rating Event” means the Notes are downgraded below Investment Grade by the Rating Agency on any date from the date of the public notice of an arrangement that results in a Change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Control until the end of the 60-day period following public notice of the occurrence of a Change of Control (which period shall be extended so long as the rating of the Notes is under publicly announced consideration for possible downgrade by the Rating Agency);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Agency making the reduction in rating to which this definition would otherwise apply does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of Control” means the occurrence of any of the following:</w:t>
      </w:r>
    </w:p>
    <w:p>
      <w:pPr>
        <w:spacing w:after="0" w:line="131" w:lineRule="exact"/>
        <w:rPr>
          <w:sz w:val="20"/>
          <w:szCs w:val="20"/>
          <w:color w:val="auto"/>
        </w:rPr>
      </w:pPr>
    </w:p>
    <w:p>
      <w:pPr>
        <w:ind w:left="1080" w:right="40" w:hanging="532"/>
        <w:spacing w:after="0" w:line="275"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the avoidance of doubt, a pledge of assets pursuant to any secured debt instrument of the Company or its Controlled Subsidiaries shall not be deemed to be any such sale, lease, transfer, conveyance or disposition;</w:t>
      </w:r>
    </w:p>
    <w:p>
      <w:pPr>
        <w:spacing w:after="0" w:line="81" w:lineRule="exact"/>
        <w:rPr>
          <w:rFonts w:ascii="Arial" w:cs="Arial" w:eastAsia="Arial" w:hAnsi="Arial"/>
          <w:sz w:val="17"/>
          <w:szCs w:val="17"/>
          <w:color w:val="auto"/>
        </w:rPr>
      </w:pPr>
    </w:p>
    <w:p>
      <w:pPr>
        <w:jc w:val="both"/>
        <w:ind w:left="1080" w:right="120" w:hanging="532"/>
        <w:spacing w:after="0" w:line="279"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the Company, measured by voting power rather than number of shares; or</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approval by our stockholders of any plan or proposal relating to the liquidation or dissolution of the Company.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of Control Repurchase Event” means the occurrence of a Change of Control and a Below Investment Grade Rating Event.</w:t>
      </w:r>
    </w:p>
    <w:p>
      <w:pPr>
        <w:spacing w:after="0" w:line="225"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“Controlled Subsidiary”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“Egan-Jones” means Egan-Jones Ratings Company, Inc., also known as Egan-Jones, or any successor thereto.</w:t>
      </w:r>
    </w:p>
    <w:p>
      <w:pPr>
        <w:spacing w:after="0" w:line="225"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“Investment Grade” means a rating of BBB- or better by Egan-Jones (or its equivalent under any successor rating categories of Egan-Jones) (or, if such Rating Agency ceases to rate the Notes for reasons outside of our control, the equivalent investment grade credit ratings from any Rating Agency selected by us as a replacement Rating Agency).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“Permitted Holders” means (i) the Company and (ii) one or more of the Company’s Controlled Subsidiaries.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“Rating Agency” means:</w:t>
      </w:r>
    </w:p>
    <w:p>
      <w:pPr>
        <w:spacing w:after="0" w:line="131"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Egan-Jones; and</w:t>
      </w:r>
    </w:p>
    <w:p>
      <w:pPr>
        <w:spacing w:after="0" w:line="130"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Egan-Jones ceases to rate the Notes or fails to make a rating of the Notes publicly available for reasons outside of our control, a “nationally recognized statistical rating organization” as defined in Section 3(a)(62) of the Exchange Act selected by us as a replacement agency for Egan-Jones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“Voting Stock”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covenants shall apply to the Notes.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117"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The indenture will provide that we will not merge or consolidate with or into any other person (other than a merger of a wholly owned subsidiary into the Company), or sell, transfer, lease, convey or otherwise dispose of all or substantially all our property (provided that, for the avoidance of doubt, a pledge of assets pursuant to any secured debt instrument of the Company or its subsidiaries shall not be deemed to be any such sale, transfer, lease, conveyance or disposition; and provided further that this covenant shall not apply to any sale, transfer, lease, conveyance, or other disposition of all or substantially all of our property to a wholly owned subsidiary of the Company) in any one transaction or series of related transactions unless:</w:t>
      </w:r>
    </w:p>
    <w:p>
      <w:pPr>
        <w:spacing w:after="0" w:line="67" w:lineRule="exact"/>
        <w:rPr>
          <w:sz w:val="20"/>
          <w:szCs w:val="20"/>
          <w:color w:val="auto"/>
        </w:rPr>
      </w:pPr>
    </w:p>
    <w:p>
      <w:pPr>
        <w:ind w:left="1080" w:right="14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the surviving person (the “Surviving Person”) or the Surviving Person (if other than the Company) formed by such merger or consolidation or to which such sale, transfer, lease, conveyance or disposition is made shall be a corporation or limited liability company or trust organized and existing under the laws of the United States of America or any state or territory thereof or the District of Columbia;</w:t>
      </w:r>
    </w:p>
    <w:p>
      <w:pPr>
        <w:spacing w:after="0" w:line="92"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the Company;</w:t>
      </w:r>
    </w:p>
    <w:p>
      <w:pPr>
        <w:spacing w:after="0" w:line="9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 or series of related transactions, no default or event of default shall have occurred and be continuing; and</w:t>
      </w:r>
    </w:p>
    <w:p>
      <w:pPr>
        <w:spacing w:after="0" w:line="75" w:lineRule="exact"/>
        <w:rPr>
          <w:rFonts w:ascii="Arial" w:cs="Arial" w:eastAsia="Arial" w:hAnsi="Arial"/>
          <w:sz w:val="18"/>
          <w:szCs w:val="18"/>
          <w:color w:val="auto"/>
        </w:rPr>
      </w:pPr>
    </w:p>
    <w:p>
      <w:pPr>
        <w:jc w:val="both"/>
        <w:ind w:left="1080" w:right="40" w:hanging="424"/>
        <w:spacing w:after="0" w:line="263"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w:t>
      </w:r>
    </w:p>
    <w:p>
      <w:pPr>
        <w:spacing w:after="0" w:line="184"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For the purposes of this covenant, the sale, transfer, lease, conveyance or other disposition of all the property of one or more of our subsidiaries, which property, if held by the Company instead of such subsidiaries, would constitute all or substantially all of our property on a consolidated basis, shall be deemed to be the transfer of all or substantially all of our property.</w:t>
      </w:r>
    </w:p>
    <w:p>
      <w:pPr>
        <w:spacing w:after="0" w:line="184"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6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An assumption by any person of obligations under the Notes and the indenture might be deemed for U.S. federal income tax purposes to be an exchange of the Notes for new Notes by the beneficial owners thereof, potentially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resulting in recognition of gain or loss for such purposes and possibly other adverse tax consequences to the beneficial owners. Beneficial owners of the Notes should consult their own tax advisors regarding the tax consequences of such an assumption.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Covenants</w:t>
      </w:r>
    </w:p>
    <w:p>
      <w:pPr>
        <w:spacing w:after="0" w:line="131" w:lineRule="exact"/>
        <w:rPr>
          <w:sz w:val="20"/>
          <w:szCs w:val="20"/>
          <w:color w:val="auto"/>
        </w:rPr>
      </w:pPr>
    </w:p>
    <w:p>
      <w:pPr>
        <w:ind w:left="10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agree that for the period of time during which the Notes are outstanding, it will not violate, whether or not the Company is subject thereto, Section 18(a)(1)(A) as modified by Section 61(a) of the Investment Company Act or any successor provisions, but giving effect, in either case, to any exemptive relief granted to the Company by the SEC.</w:t>
      </w:r>
    </w:p>
    <w:p>
      <w:pPr>
        <w:spacing w:after="0" w:line="89" w:lineRule="exact"/>
        <w:rPr>
          <w:rFonts w:ascii="Arial" w:cs="Arial" w:eastAsia="Arial" w:hAnsi="Arial"/>
          <w:sz w:val="18"/>
          <w:szCs w:val="18"/>
          <w:color w:val="auto"/>
        </w:rPr>
      </w:pPr>
    </w:p>
    <w:p>
      <w:pPr>
        <w:ind w:left="1080" w:right="40" w:hanging="424"/>
        <w:spacing w:after="0" w:line="271"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If, at any time, the Company is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its fiscal year end, and unaudited interim consolidated financial statements, within 45 days of its fiscal quarter end (other than its fourth fiscal quarter). All such financial statements will be prepared, in all material respects, in accordance with GAAP, as applicable. Delivery of such financial statements to the trustee is for informational purposes only and the trustee’s receipt of such shall not constitute actual or constructive notice of any information contained therein or determinable from information contained therein, including our compliance with any of its covenants hereunder (as to which the trustee is entitled to rely exclusively on officers’ certificates).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three types of changes we can make to the indenture and the Notes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Your Approval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First, there are changes that we cannot make to your Notes without your specific approval. The following is a list of those types of changes:</w:t>
      </w:r>
    </w:p>
    <w:p>
      <w:pPr>
        <w:spacing w:after="0" w:line="142"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any amounts due on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the Notes following a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the place (except as otherwise described in the accompanying prospectus or this prospectus supplement) or currency of payment on the Notes;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modify the subordination provisions in the indenture in a manner that is adverse to outstanding holders of the Notes;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percentage of holders of the Notes whose consent is needed to modify or amend the indenture;</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percentage of holders of the Notes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modify certain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Not Requiring Approval</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Notes. This type is limited to clarifications, establishment of the form or terms of new securities of any series as permitted by the indenture, and certain other changes that would not adversely affect holders of the outstanding Notes in any material respect, including adding additional covenants or event of default. We also do not need any approval to make any change that affects only Notes to be issued under the indenture after the change takes effect.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Requiring Majority Approval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other change to the indenture and the Notes would require the following approval:</w:t>
      </w:r>
    </w:p>
    <w:p>
      <w:pPr>
        <w:spacing w:after="0" w:line="131"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the change affects only one series of the Notes, it must be approved by the holders of a majority in principal amount of the Notes.</w:t>
      </w:r>
    </w:p>
    <w:p>
      <w:pPr>
        <w:spacing w:after="0" w:line="142" w:lineRule="exact"/>
        <w:rPr>
          <w:rFonts w:ascii="Arial" w:cs="Arial" w:eastAsia="Arial" w:hAnsi="Arial"/>
          <w:sz w:val="17"/>
          <w:szCs w:val="17"/>
          <w:color w:val="auto"/>
        </w:rPr>
      </w:pPr>
    </w:p>
    <w:p>
      <w:pPr>
        <w:ind w:left="1080" w:right="20" w:hanging="424"/>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If the change affects more than one series of the Notes issued under the same indenture, it must be approved by the holders of a majority in aggregate principal amount of all of the Notes affected by the change, with all affected series voting together as one class for this purpose.</w:t>
      </w:r>
    </w:p>
    <w:p>
      <w:pPr>
        <w:spacing w:after="0" w:line="12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holders of a majority in principal amount of a series of debt securities issued under an indenture, or all series, voting together as one class for this purpose, may waive our compliance with some of its covenants in that indenture. However, we cannot obtain a waiver of a payment default or of any of the matters covered by the bullet points included above under “—Changes Requiring Your Approval”.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Further Details Concerning Voting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the Notes:</w:t>
      </w:r>
    </w:p>
    <w:p>
      <w:pPr>
        <w:spacing w:after="0" w:line="225" w:lineRule="exact"/>
        <w:rPr>
          <w:sz w:val="20"/>
          <w:szCs w:val="20"/>
          <w:color w:val="auto"/>
        </w:rPr>
      </w:pPr>
    </w:p>
    <w:p>
      <w:pPr>
        <w:jc w:val="both"/>
        <w:ind w:left="120" w:right="260"/>
        <w:spacing w:after="0" w:line="342" w:lineRule="auto"/>
        <w:rPr>
          <w:sz w:val="20"/>
          <w:szCs w:val="20"/>
          <w:color w:val="auto"/>
        </w:rPr>
      </w:pPr>
      <w:r>
        <w:rPr>
          <w:rFonts w:ascii="Arial" w:cs="Arial" w:eastAsia="Arial" w:hAnsi="Arial"/>
          <w:sz w:val="16"/>
          <w:szCs w:val="16"/>
          <w:color w:val="auto"/>
        </w:rPr>
        <w:t>The Notes will not be considered outstanding, and therefore not eligible to vote, if we have deposited or set aside in trust money for their payment or redemption. The Notes will also not be eligible to vote if they have been fully defeased as described later under “—Defeasance—Legal Defeasance”.</w:t>
      </w:r>
    </w:p>
    <w:p>
      <w:pPr>
        <w:spacing w:after="0" w:line="12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approval may be granted or denied if we seek to change the indenture or the Notes or request a waiver.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of the following is an event of default:</w:t>
      </w:r>
    </w:p>
    <w:p>
      <w:pPr>
        <w:spacing w:after="0" w:line="131"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default in the payment of any interest upon any Notes when due and payable and the default continues for a period of 30 days;</w:t>
      </w:r>
    </w:p>
    <w:p>
      <w:pPr>
        <w:spacing w:after="0" w:line="142" w:lineRule="exact"/>
        <w:rPr>
          <w:rFonts w:ascii="Arial" w:cs="Arial" w:eastAsia="Arial" w:hAnsi="Arial"/>
          <w:sz w:val="17"/>
          <w:szCs w:val="17"/>
          <w:color w:val="auto"/>
        </w:rPr>
      </w:pPr>
    </w:p>
    <w:p>
      <w:pPr>
        <w:ind w:left="1080" w:right="34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 when it becomes due and payable at its maturity, including upon any redemption date or required repurchase date;</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failure for 60 consecutive days after written notice from the trustee or the holders of at least 25% in principal amount of the Notes then outstanding to the Company and the trustee, as applicable, has been received to comply with any of our other agreements contained in the Notes or indenture;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532"/>
        <w:spacing w:after="0" w:line="25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default by the Company or any of its significant subsidiaries, as defined in Article 1, Rule 1-02 of Regulation S-X under the Exchange Act (as applicable to business development companies) (but excluding any subsidiary which is (a) a non-recourse or limited recourse subsidiary, (b) a bankruptcy remote special purpose vehicle or (c) is not consolidated with the Company for purposes of GAAP), with respect to any mortgage, agreement or other instrument under which there may be outstanding, or by which there may be secured or evidenced, any indebtedness for money borrowed in excess of $75 million in the aggregate of the Company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w:t>
      </w:r>
    </w:p>
    <w:p>
      <w:pPr>
        <w:spacing w:after="0" w:line="9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Section 18(a)(1)(C)(ii) and Section 61 of the Investment Company Act, or any successor provisions, on the last business day of each of 24 consecutive calendar months, any class of securities shall have an asset coverage (as such term is used in the Investment Company Act) of less than 100%, giving effect to any amendments to such provisions of the Investment Company Act or to any exemptive relief granted to us by the SEC; and</w:t>
      </w:r>
    </w:p>
    <w:p>
      <w:pPr>
        <w:spacing w:after="0" w:line="92"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events of bankruptcy, insolvency, or reorganization involving the Company occur and remain undischarged or unstayed for a period of 90 days.</w:t>
      </w:r>
    </w:p>
    <w:p>
      <w:pPr>
        <w:spacing w:after="0" w:line="170"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If an event of default occurs and is continuing,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6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At any time after a declaration of acceleration with respect to the Notes has been made and before a judgment or decree for payment of the money due has been obtained by the trustee, the holders of a majority in principal amount of the outstanding Notes, by written notice to the Company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8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76" w:lineRule="exact"/>
        <w:rPr>
          <w:sz w:val="20"/>
          <w:szCs w:val="20"/>
          <w:color w:val="auto"/>
        </w:rPr>
      </w:pPr>
    </w:p>
    <w:p>
      <w:pPr>
        <w:ind w:left="5460" w:right="1460" w:hanging="4912"/>
        <w:spacing w:after="0" w:line="449" w:lineRule="auto"/>
        <w:tabs>
          <w:tab w:leader="none" w:pos="10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holder has previously given written notice to the trustee of a continuing event of default with respect to the Notes; S-28</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Notes shall have made written request to the trustee to institute proceedings in respect of such event of default;</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security or indemnity satisfactory to the trustee against the costs, expenses and liabilities to be incurred in compliance with such request;</w:t>
      </w:r>
    </w:p>
    <w:p>
      <w:pPr>
        <w:spacing w:after="0" w:line="75" w:lineRule="exact"/>
        <w:rPr>
          <w:rFonts w:ascii="Arial" w:cs="Arial" w:eastAsia="Arial" w:hAnsi="Arial"/>
          <w:sz w:val="18"/>
          <w:szCs w:val="18"/>
          <w:color w:val="auto"/>
        </w:rPr>
      </w:pPr>
    </w:p>
    <w:p>
      <w:pPr>
        <w:ind w:left="1080" w:right="4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security or indemnity has failed to institute any such proceeding; and</w:t>
      </w:r>
    </w:p>
    <w:p>
      <w:pPr>
        <w:spacing w:after="0" w:line="75"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Notes.</w:t>
      </w:r>
    </w:p>
    <w:p>
      <w:pPr>
        <w:spacing w:after="0" w:line="170"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71"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direction shall not be in conflict with any rule of law or with this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of the Notes, or (ii) in respect of a covenant or provision of the indenture which cannot be modified or amended without the 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9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Arial" w:cs="Arial" w:eastAsia="Arial" w:hAnsi="Arial"/>
          <w:sz w:val="17"/>
          <w:szCs w:val="17"/>
          <w:i w:val="1"/>
          <w:iCs w:val="1"/>
          <w:color w:val="auto"/>
        </w:rPr>
        <w:t>provided</w:t>
      </w:r>
      <w:r>
        <w:rPr>
          <w:rFonts w:ascii="Arial" w:cs="Arial" w:eastAsia="Arial" w:hAnsi="Arial"/>
          <w:sz w:val="17"/>
          <w:szCs w:val="17"/>
          <w:color w:val="auto"/>
        </w:rPr>
        <w:t>, however, that, except in the case of a default in the payment of the principal of (or premium, if any, on) or interest, if any, on any of the Notes, the trustee shall be protected in withholding such notice if and so long as it in good faith determines that withholding of such notice is in the interest of the holders of the Notes.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and Discharge</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We may satisfy and discharge its obligations under the indenture by delivering to the securities registrar for cancellation all outstanding Notes or by depositing with the trustee, in trust, funds in U.S. dollars in an amount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sufficient to pay all of the outstanding Notes after the Notes have become due and payable or will become due and payable within one year (or scheduled for redemption within one year). Such discharge is subject to terms contained in the indenture.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Notes will be subject to covenant defeasance and legal defeasance.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 Defeasance</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certain conditions are satisfied,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we must do the following:</w:t>
      </w:r>
    </w:p>
    <w:p>
      <w:pPr>
        <w:spacing w:after="0" w:line="92" w:lineRule="exact"/>
        <w:rPr>
          <w:sz w:val="20"/>
          <w:szCs w:val="20"/>
          <w:color w:val="auto"/>
        </w:rPr>
      </w:pPr>
    </w:p>
    <w:p>
      <w:pPr>
        <w:ind w:left="1080" w:right="20" w:hanging="424"/>
        <w:spacing w:after="0" w:line="311"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deposit in trust for the benefit of all holders of the Notes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spacing w:after="0" w:line="54" w:lineRule="exact"/>
        <w:rPr>
          <w:rFonts w:ascii="Arial" w:cs="Arial" w:eastAsia="Arial" w:hAnsi="Arial"/>
          <w:sz w:val="16"/>
          <w:szCs w:val="16"/>
          <w:color w:val="auto"/>
        </w:rPr>
      </w:pPr>
    </w:p>
    <w:p>
      <w:pPr>
        <w:ind w:left="1080" w:right="20" w:hanging="424"/>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deliver to the trustee a legal opinion of our counsel confirming, subject to customary limitations and exclusions, that, under current U.S. federal income tax law, we may make the above deposit without causing you to recognize income, gain, or loss for U.S. federal income tax purposes as a result of such covenant defeasance or to be taxed on the Notes any differently than if we did not make the deposit and repaid the Notes at maturity.</w:t>
      </w:r>
    </w:p>
    <w:p>
      <w:pPr>
        <w:spacing w:after="0" w:line="92"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deliver to the trustee a legal opinion and officers’ certificate stating that all conditions precedent to covenant defeasance have been complied with.</w:t>
      </w:r>
    </w:p>
    <w:p>
      <w:pPr>
        <w:spacing w:after="0" w:line="170"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If we accomplished covenant defeasance, you can still look to us for repayment of the Notes if there were a shortfall in the trust deposit or the trustee is prevented from making payment. For example, if one of the remaining Events of Default occurred (such as our bankruptcy) and the Notes became immediately due and payable, there might be a shortfall. Depending on the event causing the default, you may not be able to obtain payment of the shortfall.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Defeasance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If there is a change in U.S. federal tax law, as described below, the Company can legally release itself from all payment and other obligations on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Notes (called “defeasance” or “legal defeasance”) if we put in place the following other arrangements for you to be repaid:</w:t>
      </w:r>
    </w:p>
    <w:p>
      <w:pPr>
        <w:spacing w:after="0" w:line="116" w:lineRule="exact"/>
        <w:rPr>
          <w:sz w:val="20"/>
          <w:szCs w:val="20"/>
          <w:color w:val="auto"/>
        </w:rPr>
      </w:pPr>
    </w:p>
    <w:p>
      <w:pPr>
        <w:ind w:left="1080" w:right="20" w:hanging="424"/>
        <w:spacing w:after="0" w:line="311"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must deposit in trust for the benefit of all holders of the Notes a combination of money and United States government or United States government agency notes or bonds that will generate enough cash, in the opinion of a nationally recognized investment bank, appraisal firm or firm of independent public accountants, to make interest, principal and any other payments on the Notes on their various due dates.</w:t>
      </w:r>
    </w:p>
    <w:p>
      <w:pPr>
        <w:spacing w:after="0" w:line="54" w:lineRule="exact"/>
        <w:rPr>
          <w:rFonts w:ascii="Arial" w:cs="Arial" w:eastAsia="Arial" w:hAnsi="Arial"/>
          <w:sz w:val="16"/>
          <w:szCs w:val="16"/>
          <w:color w:val="auto"/>
        </w:rPr>
      </w:pPr>
    </w:p>
    <w:p>
      <w:pPr>
        <w:ind w:left="1080" w:right="40" w:hanging="424"/>
        <w:spacing w:after="0" w:line="293"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must deliver to the trustee a legal opinion confirming, subject to customary limitations and exclusions, that there has been a change in current U.S. federal tax law or an IRS ruling that allows it to make the above deposit without causing you to recognize income, gain, or loss for U.S. federal income tax purposes as a result of such defeasance or to be taxed on the Notes any differently than if we did not make the deposit and repaid the Notes at maturity. Under current U.S. federal tax law, the deposit and our legal release from the Notes would be treated as though we paid you your share of the cash and notes or bonds at the time the cash and notes or bonds were deposited in trust in exchange for your Notes and you would recognize gain or loss on the Notes at the time of the deposit.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must deliver to the trustee a legal opinion and officers’ certificate stating that all conditions precedent to defeasance have been complied with.</w:t>
      </w:r>
    </w:p>
    <w:p>
      <w:pPr>
        <w:spacing w:after="0" w:line="17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If we ever accomplished legal defeasance, as described above, you would have to rely solely on the trust deposit for repayment of the Notes. You could not look to us for repayment in the unlikely event of any shortfall. Conversely, the trust deposit would most likely be protected from claims of our lenders and other creditors if we ever became bankrupt or insolvent.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Trustee</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American Stock Transfer &amp; Trust Company, LLC is the trustee, security registrar and paying agent. American Stock Transfer &amp; Trust Company, LLC, in each of its capacities, including without limitation as trustee, security registrar and paying agent, assumes no responsibility for the accuracy or completeness of the information concerning the Company or its affiliates or any other party contained in this prospectus supplement or the related documents or for any failure by the Company or any other party to disclose events that may have occurred and may affect the significance or accuracy of such information, or for any information provided to it by the Company, including but not limited to settlement amounts and any other information.</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maintain banking relationships in the ordinary course of business with the trustee and its affiliates.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Trustee may resign or be removed with respect to the Notes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No past, present or future director, officer, employee, incorporator or stockholder of the Company, as such, will have any liability for any obligations of the Company’s under the indenture or the Notes or for any claim based on, in respect of, or by reason of, such obligations or their creation. By accepting any Note, each holder of the Notes will be deemed to waive and release all such liability, and such waiver and release are part of the consideration for the issuance of the Notes.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Book-Entry, Settlement and Clearance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Global Notes</w:t>
      </w:r>
    </w:p>
    <w:p>
      <w:pPr>
        <w:spacing w:after="0" w:line="11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The Notes will be initially issued in the form of one or more registered Notes in global form, without interest coupons, or the Global Notes. Upon issuance, each of the Global Notes will be deposited with the trustee as custodian for DTC and registered in the name of Cede &amp; Co., as nominee of DTC. Ownership of beneficial interests in a Global Note will be limited to persons who have accounts with DTC, or DTC participants, or persons who hold interests through DTC participants. We expect expects that under procedures established by DTC:</w:t>
      </w:r>
    </w:p>
    <w:p>
      <w:pPr>
        <w:spacing w:after="0" w:line="77" w:lineRule="exact"/>
        <w:rPr>
          <w:sz w:val="20"/>
          <w:szCs w:val="20"/>
          <w:color w:val="auto"/>
        </w:rPr>
      </w:pPr>
    </w:p>
    <w:p>
      <w:pPr>
        <w:ind w:left="1080" w:right="1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deposit of a Global Note with DTC’s custodian, DTC will credit portions of the principal amount of the Global Note to the accounts of the DTC participants designated by the underwriters;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424"/>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ownership of beneficial interests in a Global Note will be shown on, and transfer of ownership of those interests will be effected only through, records maintained by DTC (with respect to interests of DTC participants) and the records of DTC participants (with respect to other owners of beneficial interests in the Global Note).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Beneficial interests in Global Notes may not be exchanged for Notes in physical, certificated form except in the limited circumstances described below.</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Book-Entry Procedures for Global Notes</w:t>
      </w:r>
    </w:p>
    <w:p>
      <w:pPr>
        <w:spacing w:after="0" w:line="11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the Company, the trustee nor the underwriters are responsible for those operations or procedures.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DTC has advised the Company that it is:</w:t>
      </w:r>
    </w:p>
    <w:p>
      <w:pPr>
        <w:spacing w:after="0" w:line="131"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State Banking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“clearing corporation” within the meaning of the Uniform Commercial Code;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22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underwriters;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92"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So long as DTC’s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52"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be entitled to have Notes represented by the Global Note registered in their names;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Notes; and</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Notes under the indenture for any purpose, including with respect to receiving notices or the giving of any direction, instruction or approval to the trustee under the indenture.</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As a result, each investor who owns a beneficial interest in a Global Note must rely on the procedures of DTC to exercise any rights of a holder of Notes under the indenture (and, if the investor is not a participant or an indirect participant in DTC, on the procedures of the DTC participant through which the investor owns its interest). Payments of principal and interest with respect to the Notes represented by a Global Note will be made by the trustee to DTC’s nominee as the registered holder of the Global Note. Neither the Company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20"/>
        <w:spacing w:after="0" w:line="342" w:lineRule="auto"/>
        <w:rPr>
          <w:sz w:val="20"/>
          <w:szCs w:val="20"/>
          <w:color w:val="auto"/>
        </w:rPr>
      </w:pPr>
      <w:r>
        <w:rPr>
          <w:rFonts w:ascii="Arial" w:cs="Arial" w:eastAsia="Arial" w:hAnsi="Arial"/>
          <w:sz w:val="16"/>
          <w:szCs w:val="16"/>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24"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9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the Company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Transfers between participants in DTC will be effected under DTC’s procedures and will be settled in same-day funds.</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connection with any proposed transfer outside the book entry only system, there shall be provided to the trustee all information reasonably requested by the trustee that is necessary to allow the trustee to comply with any applicable tax reporting obligations, including without limitation any cost basis reporting obligations under Section 6045 of the Code. The trustee may rely on the information provided to it and shall have no responsibility to verify or ensure the accuracy of such information.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Notes in physical, certificated form will be issued and delivered to each person that DTC identifies as a beneficial owner of the related Notes only if:</w:t>
      </w:r>
    </w:p>
    <w:p>
      <w:pPr>
        <w:spacing w:after="0" w:line="154" w:lineRule="exact"/>
        <w:rPr>
          <w:sz w:val="20"/>
          <w:szCs w:val="20"/>
          <w:color w:val="auto"/>
        </w:rPr>
      </w:pPr>
    </w:p>
    <w:p>
      <w:pPr>
        <w:ind w:left="1080" w:right="1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 or</w:t>
      </w:r>
    </w:p>
    <w:p>
      <w:pPr>
        <w:spacing w:after="0" w:line="153"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event of default with respect to the Notes has occurred and is continuing and such beneficial owner requests that its Notes be issued in physical, certificated form.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U.S. FEDERAL INCOME TAX CONSIDERATIONS</w:t>
      </w:r>
    </w:p>
    <w:p>
      <w:pPr>
        <w:spacing w:after="0" w:line="22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following discussion is a general summary of certain United States, or U.S., federal income tax considerations (and, in the case of a non-U.S. holder (as defined below), certain United States federal estate tax consequences) applicable to the ownership and disposition of the Notes. This summary does not purport to be a complete description of the income or estate tax considerations applicable to an investment in the Notes. The discussion is based upon the Code, Treasury Regulations, and administrative and judicial interpretations, each as of the date of this prospectus supplement and all of which are subject to change, potentially with retroactive effect or differing interpretations by the Internal Revenue Service, or IRS, so as to result in U.S. federal income tax consequences different from those discussed below. We have not sought and will not seek any ruling from the IRS in respect of the Notes. You should consult your own tax advisor with respect to tax considerations that pertain to your ownership and disposition of our Notes.</w:t>
      </w:r>
    </w:p>
    <w:p>
      <w:pPr>
        <w:spacing w:after="0" w:line="16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This discussion deals only with Notes held as capital assets within the meaning of Section 1221 of the Code and does not purport to deal with persons in special tax situations or subject to special rules, such as financial institutions, insurance companies, controlled foreign corporations, passive foreign investment companies and regulated investment companies (and shareholders of such corporations), dealers in securities or currencies, traders in securities, former citizens of the United States, persons holding the Notes as a hedge against currency risks or as a position in a “straddle,” “hedge,” “constructive sale transaction” or “conversion transaction” for tax purposes, entities that are tax-exempt for United States federal income tax purposes, retirement plans, individual retirement accounts, tax-deferred accounts, persons subject to the alternative minimum tax, persons subject to special rules for the taxable year of inclusion under Section 451(b) of the Code, pass-through entities (including partnerships and entities and arrangements classified as partnerships for United States federal income tax purposes) and beneficial owners of pass-through entities, or U.S. holders (as defined below) whose functional currency is not the U.S. dollar. It also does not deal with beneficial owners of the Notes other than those beneficial owners who acquire the Notes in this offering for a price equal to their original issue price (i.e., the first price at which a substantial amount of the notes is sold other than to bond houses, brokers, or similar persons or organizations acting in the capacity of underwriters, placement agents or wholesalers). If you are considering purchasing the Notes, you should consult your own tax advisor concerning the application of the United States federal tax laws to you in light of your particular situation, as well as any consequences to you of purchasing, owning and disposing of the Notes under the laws of any other taxing jurisdiction.</w:t>
      </w:r>
    </w:p>
    <w:p>
      <w:pPr>
        <w:spacing w:after="0" w:line="18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For purposes of this discussion, the term “U.S. holder” means a beneficial owner of a Note that is, for United States federal income tax purposes, (i) an individual who is a citizen or resident of the United States, (ii) a corporation or other entity treated as a corporation for United States federal income tax purposes, created or organized in or under the laws of the United States or of any political subdivision thereof, (iii) a trust (a) subject to the control of one or more United States persons and the primary supervision of a court in the United States, or (b) that has a valid election (under applicable Treasury Regulations) to be treated as a United States person for U.S. federal income tax purposes, or (iv) an estate the income of which is subject to United States federal income taxation regardless of its source. The term “non-U.S. holder” means a beneficial owner of a Note that is neither a U.S. holder nor a partnership (including an entity or arrangement treated as a partnership for U.S. federal income tax purposes). An individual may, subject to exceptions, be deemed to be a resident of the United States for U.S. federal income tax purposes, as opposed to a non-resident alien, by, among other ways, being present in the United States (i) on at least 31 days in the calendar year, and (ii) for an aggregate of at least 183 days during a three-year period ending in the current calendar year, counting for such purposes all of the days present in the current year, one-third of the days present in the immediately preceding year, and one-sixth of the days present in the second preceding year. Individuals who are residents for such purposes are subject to United States federal income tax as if they were United States citizens.</w:t>
      </w:r>
    </w:p>
    <w:p>
      <w:pPr>
        <w:spacing w:after="0" w:line="179" w:lineRule="exact"/>
        <w:rPr>
          <w:sz w:val="20"/>
          <w:szCs w:val="20"/>
          <w:color w:val="auto"/>
        </w:rPr>
      </w:pPr>
    </w:p>
    <w:p>
      <w:pPr>
        <w:jc w:val="both"/>
        <w:ind w:left="120" w:right="340"/>
        <w:spacing w:after="0" w:line="311" w:lineRule="auto"/>
        <w:rPr>
          <w:sz w:val="20"/>
          <w:szCs w:val="20"/>
          <w:color w:val="auto"/>
        </w:rPr>
      </w:pPr>
      <w:r>
        <w:rPr>
          <w:rFonts w:ascii="Arial" w:cs="Arial" w:eastAsia="Arial" w:hAnsi="Arial"/>
          <w:sz w:val="16"/>
          <w:szCs w:val="16"/>
          <w:color w:val="auto"/>
        </w:rPr>
        <w:t>If a partnership (including an entity or arrangement treated as a partnership for U.S. federal income tax purposes) holds any Notes, the United States federal income tax treatment of a partner of the partnership generally will depend upon the status of the partner, the activities of the partnership and certain determinations made at the partner level. Partners of partnerships holding Notes should consult their own tax advisors.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Note Holders</w:t>
      </w:r>
    </w:p>
    <w:p>
      <w:pPr>
        <w:spacing w:after="0" w:line="12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i w:val="1"/>
          <w:iCs w:val="1"/>
          <w:u w:val="single" w:color="auto"/>
          <w:color w:val="auto"/>
        </w:rPr>
        <w:t>Taxation of U.S. Holders</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or accruals of interest on a Note generally will be taxable to a U.S. holder as ordinary interest income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they are received (actually or constructively) or accrued, in accordance with the U.S. holder’s regular method of tax accounting. In general, if the terms of a debt instrument entitle a holder to receive payments (other than fixed periodic interest) that exceed the issue price of the instrument by not less than a statutory de minimis amount, the holder will be required to recognize additional interest as “original issue discount” over the term of the instrument, irrespective of the holder’s regular method of tax accounting. We expect that the Notes will not be treated as issued with original issue discount for U.S. federal income tax purposes.</w:t>
      </w:r>
    </w:p>
    <w:p>
      <w:pPr>
        <w:spacing w:after="0" w:line="19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Upon the sale, exchange, redemption or retirement of a Note, a U.S. holder generally will recognize capital gain or loss equal to the difference between the amount realized on the sale, exchange, redemption or retirement (excluding any amounts representing accrued and unpaid interest, which are treated as ordinary income) and the U.S. holder’s tax basis in the Note. A U.S. holder’s tax basis in a Note generally will equal the amount of the U.S. holder’s initial investment in the Note. Capital gain or loss generally will be long-term capital gain or loss if the Note was held for more than one year. Long-term capital gains recognized by individuals and certain other non-corporate U.S. holders generally are eligible for reduced rates of taxation. Currently, a rate of either 15% or 20%, depending on whether the U.S. holder’s income exceeds certain threshold amounts. The distinction between capital gain or loss and ordinary income or loss is also important in other contexts, such as, for example, for purposes of the limitations on a U.S. holder’s ability to offset capital losses against ordinary income.</w:t>
      </w:r>
    </w:p>
    <w:p>
      <w:pPr>
        <w:spacing w:after="0" w:line="178"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Under applicable U.S. Treasury regulations, if a shareholder recognizes a loss with respect to the Notes in excess of certain prescribed thresholds (generally, $2 million or more for a non-corporate U.S. holder or $10 million or more for a corporate U.S. holder), the U.S. holder may be required to file a disclosure statement on IRS Form 8886. Direct U.S. holders of portfolio securities are in many cases excepted from this reporting requirement, but, under current guidance, U.S. holders of securities issued by a RIC are not exempt from this reporting requirement. The fact that a loss is reportable by a taxpayer as just described does not affect the legal determination of whether the taxpayer’s treatment of the loss is proper. Significant monetary penalties apply to a failure to comply with this reporting requirement. States may also have a similar reporting requirement. U.S. holders of the Notes should consult their own tax advisors to determine the applicability of this reporting requirement in light of their particular circumstances.</w:t>
      </w:r>
    </w:p>
    <w:p>
      <w:pPr>
        <w:spacing w:after="0" w:line="166"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A tax of 3.8% is imposed on certain “net investment income” (or “undistributed net investment income”, in the case of estates and trusts) received by certain taxpayers with modified adjusted gross incomes above certain threshold amounts. “Net investment income” as defined for United States federal Medicare contribution purposes generally includes interest payments and gain recognized from the sale, exchange, redemption or other taxable disposition of the Notes. Tax-exempt trusts, which are not subject to income taxes generally, and foreign individuals will not be subject to this tax. U.S. holders should consult their own tax advisors regarding the effect, if any, of this tax on their ownership and disposition of the Notes.</w:t>
      </w:r>
    </w:p>
    <w:p>
      <w:pPr>
        <w:spacing w:after="0" w:line="16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i w:val="1"/>
          <w:iCs w:val="1"/>
          <w:u w:val="single" w:color="auto"/>
          <w:color w:val="auto"/>
        </w:rPr>
        <w:t>Taxation of Non-U.S. Holders</w:t>
      </w:r>
      <w:r>
        <w:rPr>
          <w:rFonts w:ascii="Arial" w:cs="Arial" w:eastAsia="Arial" w:hAnsi="Arial"/>
          <w:sz w:val="16"/>
          <w:szCs w:val="16"/>
          <w:color w:val="auto"/>
        </w:rPr>
        <w:t>. A non-U.S. holder generally will not be subject to United States federal income or withholding taxes on payments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or interest on a Note provided that in the case of interest on a Note (i) the interest is not effectively connected with the conduct by the non-U.S. holder of a trade or business within the United States, (ii) the non-U.S. holder is not a controlled foreign corporation related to the Company through sufficient stock ownership, (iii) the recipient is not a bank receiving interest described in Section 881(c)(3)(A) of the Code, (iv) the non-U.S. holder does not own (actually or constructively) 10% or more of the total combined voting power of all classes of stock of the Company, and (v) the non-U.S. holder provides to the applicable withholding agent a statement on an IRS Form W-8BEN or W-8BEN-E (or other applicable form) signed under penalties of perjury that includes its name and address and certifies that it is not a United States person in compliance with applicable requirements, or satisfies documentary evidence requirements for establishing that it is a non-U.S. holder. A non-U.S. holder that is not exempt from tax under these rules generally will be subject to withholding of United States federal income tax on payments of interest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on the Notes at a rate of 30% unless (i) the interest is effectively connected with the conduct of a United States trade or business, in which case the interest will be subject to United States federal income tax on a net income basis as applicable to U.S. holders generally (unless an applicable income tax treaty provides otherwise) and such non-U.S. holder would be required to provide a properly executed IRS Form W-8ECI in lieu of the certificates described above, or (ii) an applicable income tax treaty provides for a lower rate of, or exemption from, this withholding. In the case of a non-U.S. holder that is a corporation for U.S. federal income tax purposes and that receives income that is effectively connected with the conduct of a United States trade or business, such income may also be subject to a branch profits tax (which is generally imposed on a non-U.S. corporation on the actual or deemed repatriation from the United States of earnings and profits attributable to a United States trade or business) at a 30% rate. The branch profits tax may not apply (or may apply at a reduced rate) if the non-U.S. holder is a qualified resident of a country with which the United States has an income tax treaty.</w:t>
      </w:r>
    </w:p>
    <w:p>
      <w:pPr>
        <w:spacing w:after="0" w:line="19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To claim the benefit of an income tax treaty or to claim exemption from withholding because interest is effectively connected with a United States trade or business, the non-U.S. holder must timely provide the appropriate, properly executed IRS forms to the applicable withholding agent. These forms may be required to be periodically updated.</w:t>
      </w:r>
    </w:p>
    <w:p>
      <w:pPr>
        <w:spacing w:after="0" w:line="184"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Generally, a non-U.S. holder will not be subject to United States federal income or withholding taxes on any amount that constitutes capital gain upon the sale, exchange, redemption or retirement of a Note, provided the gain is not effectively connected with the conduct of a trade or business in the United States by the non-U.S. holder (and, if required by an applicable income tax treaty, is not attributable to a United States “permanent establishment” maintained by the non-U.S. holder). Certain other exceptions may be applicable, and a non-U.S. holder should consult its tax advisor in this regard.</w:t>
      </w:r>
    </w:p>
    <w:p>
      <w:pPr>
        <w:spacing w:after="0" w:line="18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 Note that is held by an individual who, at the time of death, is not a citizen or resident of the United States (as specially defined for United States federal estate tax purposes) generally will not be subject to the United States federal estate tax, unless, at the time of death, (i) such individual directly or indirectly, actually or constructively, owns ten percent or more of the total combined voting power of all classes of our stock entitled to vote within the meaning of Section 871(h)(3) of the Code and the Treasury Regulations thereunder or (ii) such individual’s interest in the Notes is effectively connected with the individual’s conduct of a United States trade or business.</w:t>
      </w:r>
    </w:p>
    <w:p>
      <w:pPr>
        <w:spacing w:after="0" w:line="18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i w:val="1"/>
          <w:iCs w:val="1"/>
          <w:u w:val="single" w:color="auto"/>
          <w:color w:val="auto"/>
        </w:rPr>
        <w:t>Information Reporting and Backup Withholding</w:t>
      </w:r>
      <w:r>
        <w:rPr>
          <w:rFonts w:ascii="Arial" w:cs="Arial" w:eastAsia="Arial" w:hAnsi="Arial"/>
          <w:sz w:val="16"/>
          <w:szCs w:val="16"/>
          <w:color w:val="auto"/>
        </w:rPr>
        <w:t>. A U.S. holder (other than an “exempt recipient,” including a corporation and certain other persons who,</w:t>
      </w:r>
      <w:r>
        <w:rPr>
          <w:rFonts w:ascii="Arial" w:cs="Arial" w:eastAsia="Arial" w:hAnsi="Arial"/>
          <w:sz w:val="16"/>
          <w:szCs w:val="16"/>
          <w:i w:val="1"/>
          <w:iCs w:val="1"/>
          <w:color w:val="auto"/>
        </w:rPr>
        <w:t xml:space="preserve"> </w:t>
      </w:r>
      <w:r>
        <w:rPr>
          <w:rFonts w:ascii="Arial" w:cs="Arial" w:eastAsia="Arial" w:hAnsi="Arial"/>
          <w:sz w:val="16"/>
          <w:szCs w:val="16"/>
          <w:color w:val="auto"/>
        </w:rPr>
        <w:t>when required, demonstrate their exempt status) may be subject to backup withholding at the applicable rate (currently 24%) on, and will be subject to information reporting requirements with respect to, payments of principal or interest on, and proceeds from the sale, exchange, redemption or retirement of, the Notes. In general, if a non-corporate U.S. holder subject to information reporting fails to furnish a correct taxpayer identification number or otherwise fails to comply with applicable backup withholding requirements, backup withholding at the applicable rate may apply.</w:t>
      </w:r>
    </w:p>
    <w:p>
      <w:pPr>
        <w:spacing w:after="0" w:line="161"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If you are a non-U.S. holder, generally, the applicable withholding agent must report to the IRS and to you payments of interest on the Notes and the amount of tax, if any, withheld with respect to those payments. Copies of the information returns reporting such interest payments and any withholding may also be made available to the tax authorities in the country in which you reside under the provisions of a treaty or agreement. In general, backup withholding will not apply to payments of interest on your Notes if you have provided to the applicable withholding agent the required certification that you are not a U.S. person and the applicable withholding agent does not have actual knowledge or reason to know that you are a U.S. person. Information reporting and, depending on the circumstances, backup withholding will apply to payment to you of the proceeds of a sale or other disposition (including a retirement or redemption) of your Notes within the United States or conducted through certain U.S.-related financial intermediaries, unless you certify under penalties of perjury that you are not a U.S. person or you otherwise establish an exemption, and the applicable withholding agent does not have actual knowledge or reason to know that you are a U.S. person.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You should consult your own tax advisor regarding the application of information reporting and backup withholding in your particular circumstance and the availability of and procedure for obtaining an exemption from backup withholding. Backup withholding is not an additional tax, and any amounts withheld under the backup withholding rules may be allowed as a refund or a credit against your U.S. federal income tax liability, provided the required information is timely furnished to the IRS.</w:t>
      </w:r>
    </w:p>
    <w:p>
      <w:pPr>
        <w:spacing w:after="0" w:line="18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i w:val="1"/>
          <w:iCs w:val="1"/>
          <w:u w:val="single" w:color="auto"/>
          <w:color w:val="auto"/>
        </w:rPr>
        <w:t>FATCA Withholding on Payments to Certain Foreign Entities</w:t>
      </w:r>
      <w:r>
        <w:rPr>
          <w:rFonts w:ascii="Arial" w:cs="Arial" w:eastAsia="Arial" w:hAnsi="Arial"/>
          <w:sz w:val="18"/>
          <w:szCs w:val="18"/>
          <w:color w:val="auto"/>
        </w:rPr>
        <w:t>. Sections 1471 through 1474 of the Code (provisions commonly referred to as “FATCA”)</w:t>
      </w:r>
      <w:r>
        <w:rPr>
          <w:rFonts w:ascii="Arial" w:cs="Arial" w:eastAsia="Arial" w:hAnsi="Arial"/>
          <w:sz w:val="18"/>
          <w:szCs w:val="18"/>
          <w:i w:val="1"/>
          <w:iCs w:val="1"/>
          <w:color w:val="auto"/>
        </w:rPr>
        <w:t xml:space="preserve"> </w:t>
      </w:r>
      <w:r>
        <w:rPr>
          <w:rFonts w:ascii="Arial" w:cs="Arial" w:eastAsia="Arial" w:hAnsi="Arial"/>
          <w:sz w:val="18"/>
          <w:szCs w:val="18"/>
          <w:color w:val="auto"/>
        </w:rPr>
        <w:t>impose a 30% withholding tax on payments of U.S. source interest, and gross proceeds from the sale, redemption, retirement or other disposition of obligations that give rise to U.S. source interest payments, in each case to certain non-U.S. entities, including certain foreign financial institutions and investment funds, unless such non-U.S. entity complies with certain reporting requirements regarding its U.S. account holders and its U.S. owners. An intergovernmental agreement between the United States and an applicable foreign country, or future U.S. Treasury regulations or other guidance, may modify these requirements. Accordingly, the entity through which the Notes are held may affect the determination of whether such withholding is required.</w:t>
      </w:r>
    </w:p>
    <w:p>
      <w:pPr>
        <w:spacing w:after="0" w:line="19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While existing U.S. Treasury regulations would require FATCA withholding on payments of the gross proceeds from the sale of any property that could produce U.S. source interest or dividends, in 2018 the U.S. Treasury Department released proposed regulations that eliminated this requirement. Pursuant to these proposed regulations, a taxpayer may (but is not required to) rely on this proposed change to FATCA withholding until final regulations are issued or until such proposed regulations are rescinded.</w:t>
      </w:r>
    </w:p>
    <w:p>
      <w:pPr>
        <w:spacing w:after="0" w:line="187" w:lineRule="exact"/>
        <w:rPr>
          <w:sz w:val="20"/>
          <w:szCs w:val="20"/>
          <w:color w:val="auto"/>
        </w:rPr>
      </w:pPr>
    </w:p>
    <w:p>
      <w:pPr>
        <w:jc w:val="both"/>
        <w:ind w:left="120"/>
        <w:spacing w:after="0" w:line="275" w:lineRule="auto"/>
        <w:rPr>
          <w:sz w:val="20"/>
          <w:szCs w:val="20"/>
          <w:color w:val="auto"/>
        </w:rPr>
      </w:pPr>
      <w:r>
        <w:rPr>
          <w:rFonts w:ascii="Arial" w:cs="Arial" w:eastAsia="Arial" w:hAnsi="Arial"/>
          <w:sz w:val="17"/>
          <w:szCs w:val="17"/>
          <w:color w:val="auto"/>
        </w:rPr>
        <w:t>The FATCA withholding tax will apply to all withholdable payments without regard to whether the beneficial owner of the payment would otherwise be entitled to an exemption from imposition of withholding tax pursuant to an applicable tax treaty with the United States or U.S. domestic law. If payment of this withholding tax is made, holders that are otherwise eligible for an exemption from, or reduction of, U.S. federal withholding taxes with respect to such interest or proceeds will be required to seek a credit or refund from the IRS to obtain the benefit of such exemption or reduction, if any. We will not pay additional amounts to holders of the Notes in respect of any amounts withheld.</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Each prospective purchaser should consult its own tax advisor regarding FATCA and how it may affect such investor in its particular circumstances.</w:t>
      </w:r>
    </w:p>
    <w:p>
      <w:pPr>
        <w:spacing w:after="0" w:line="35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You should consult your own tax advisor with respect to the particular tax consequences to you of an investment in the Notes, including the possible effect of any pending legislation or proposed regulations.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are offering the Notes described in this prospectus supplement through a number of underwriters. Each of Goldman Sachs &amp; Co. LLC, Keefe, Bruyette &amp; Woods, Inc. and Truist Securities, Inc. is acting as a representative of the underwriters. We have entered into an underwriting agreement with the underwriters. Subject to the terms and conditions of the underwriting agreement, we have agreed to sell to the underwriters, and each underwriter has severally agreed to purchase, the aggregate principal amount of notes listed next to its name in the following table:</w:t>
      </w:r>
    </w:p>
    <w:p>
      <w:pPr>
        <w:spacing w:after="0" w:line="17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Principal</w:t>
            </w:r>
          </w:p>
        </w:tc>
        <w:tc>
          <w:tcPr>
            <w:tcW w:w="0" w:type="dxa"/>
            <w:vAlign w:val="bottom"/>
          </w:tcPr>
          <w:p>
            <w:pPr>
              <w:spacing w:after="0"/>
              <w:rPr>
                <w:sz w:val="1"/>
                <w:szCs w:val="1"/>
                <w:color w:val="auto"/>
              </w:rPr>
            </w:pPr>
          </w:p>
        </w:tc>
      </w:tr>
      <w:tr>
        <w:trPr>
          <w:trHeight w:val="148"/>
        </w:trPr>
        <w:tc>
          <w:tcPr>
            <w:tcW w:w="62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71"/>
        </w:trPr>
        <w:tc>
          <w:tcPr>
            <w:tcW w:w="62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of Notes</w:t>
            </w:r>
          </w:p>
        </w:tc>
        <w:tc>
          <w:tcPr>
            <w:tcW w:w="0" w:type="dxa"/>
            <w:vAlign w:val="bottom"/>
          </w:tcPr>
          <w:p>
            <w:pPr>
              <w:spacing w:after="0"/>
              <w:rPr>
                <w:sz w:val="1"/>
                <w:szCs w:val="1"/>
                <w:color w:val="auto"/>
              </w:rPr>
            </w:pPr>
          </w:p>
        </w:tc>
      </w:tr>
      <w:tr>
        <w:trPr>
          <w:trHeight w:val="209"/>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60,000,000</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Keefe, Bruyette &amp; Woods, Inc.</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Truist Securities, Inc.</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JMP Securities LLC</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Ladenburg Thalmann &amp; Co. Inc.</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Notes sold under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6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following table shows the per Note and total underwriting discounts and commissions that the Company is to pay to the underwriters in connection with this offering.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Per Note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
        </w:trPr>
        <w:tc>
          <w:tcPr>
            <w:tcW w:w="6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40" w:type="dxa"/>
            <w:vAlign w:val="bottom"/>
            <w:vMerge w:val="continue"/>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99.441%</w:t>
            </w:r>
          </w:p>
        </w:tc>
        <w:tc>
          <w:tcPr>
            <w:tcW w:w="2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99,441,000</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Underwriting discount (sales load)</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2,000,000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Proceeds to the Company, before expenses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97.441%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97,441,000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The underwriters propose to offer some of the Notes to the public at the public offering price set forth on the cover page of this prospectus supplement and some of the Notes to certain other dealers at the public offering price less a concession not in excess of 1.20% of the aggregate principal amount of the Notes. The underwriters may allow, and the dealers may reallow, a discount not in excess of 0.25% of the aggregate principal amount of the Notes. After the initial offering of the Notes to the public, the public offering price and other selling terms may be changed. No such change shall change the amount of proceeds to be received by us as set forth on the cover page of this prospectus supplement.</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expenses of the offering, not including the underwriting discount, are estimated at $0.6 million and are payable by us.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Subject to certain exceptions, we have agreed not to directly or indirectly, offer, pledge, sell, contract to sell, grant any option for the sale of or otherwise transfer or dispose of any debt securities issued or guaranteed by the Company or any securities convertible into or exercisable or exchangeable for debt securities issued or guaranteed by the Company or file any registration statement under the Securities Act with respect to any of the foregoing through the closing date without first obtaining the written consent of the representative. This consent may be given at any time without public notice.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The Notes will not be listed on any securities exchange or quoted on any automated dealer quotation system.</w:t>
      </w:r>
    </w:p>
    <w:p>
      <w:pPr>
        <w:spacing w:after="0" w:line="17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have been advised by certain of the underwriters that they currently intend to make a market in the Notes after completion of the offering as permitted by applicable laws and regulations. The underwriters are not obligated, however, to make a market in the Notes and any such market-making may be discontinued at any time in the sole discretion of the underwriters without any notice. Accordingly, no assurance can be given as to the liquidity of, or development of a public trading market for, the Notes. If an active public trading market for the Notes does not develop, the market price and liquidity of the Notes may be adversely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connection with the offering, the underwriters may purchase and sell Notes in the open market. These transactions may include over-allotment, covering transactions and stabilizing transactions. Over-allotment involves sales of Notes in excess of the aggregate principal amount of Notes to be purchased by the underwriters in the offering, which creates a short position for the underwriters. Covering transactions involve purchases of the Notes in the open market after the distribution has been completed in order to cover short positions. Stabilizing transactions consist of certain bids or purchases of Notes made for the purpose of preventing or retarding a decline in the market price of the Notes while the offering is in progress.</w:t>
      </w:r>
    </w:p>
    <w:p>
      <w:pPr>
        <w:spacing w:after="0" w:line="16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underwriters also may impose a penalty bid. This occurs when a particular underwriter repays to the underwriters a portion of the underwriting discount received by it because the representative has repurchased Notes sold by or for the account of such underwriter in stabilizing or short covering transactions.</w:t>
      </w:r>
    </w:p>
    <w:p>
      <w:pPr>
        <w:spacing w:after="0" w:line="18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Any of these activities may cause the price of the Notes to be higher than the price that otherwise would exist in the open market in the absence of such transactions. These transactions may be effected in the over-the-counter market or otherwise and, if commenced, may be discontinued at any time without any notice relating thereto.</w:t>
      </w:r>
    </w:p>
    <w:p>
      <w:pPr>
        <w:spacing w:after="0" w:line="184"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Neither the Company nor any of the underwriters make any representation or prediction as to the direction or magnitude of any effect that the transactions described above may have on the price of the Notes. In addition, neither the Company nor any of the underwriters make any representation that the representative will engage in these transactions or that these transactions, once commenced, will not be discontinued without notice.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the Company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Any such credit default swaps or short positions could adversely affect future trading prices of the Notes.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w:t>
      </w:r>
    </w:p>
    <w:p>
      <w:pPr>
        <w:spacing w:after="0" w:line="182"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Affiliates of certain of the underwriters serve as lenders under our Credit Facility and may serve as lenders under any future credit facilities. Some of the underwriters and/or their affiliates were underwriters in connection with our initial public offerings and follow-on public offerings for which they received customary fees. Affiliates of the underwriters are expected to receive part of the proceeds of the offering by reason of the repayment of certain amounts outstanding under our Credit Facility.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Settlement</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expect that delivery of the Notes will be made to investors on or about March 23, 2021, which will be the third business day following the date of pricing of the notes (such settlement cycle being herein referred to as “T+3”). Under Rule 15c6-1 under the Exchange Act, trades in the secondary market generally are required to settle in two business days, unless the parties to any such trade expressly agree otherwise. Accordingly, purchasers who wish to trade notes on the date of pricing will be required, by virtue of the fact that the notes initially will settle T+3, to specify an alternate settlement cycle at the time of any such trade to prevent a failed settlement. Purchasers of notes who wish to trade notes on the date of pricing should consult their own advisor.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Business Addresses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principal business address of Goldman Sachs &amp; Co. LLC is 200 West Street, New York, New York 10282.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Jurisdictions</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Notes offered by this prospectus supplement in any jurisdiction where action for that purpose is required. The Notes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Notes offered by this prospectus supplement in any jurisdiction in which such an offer or a solicitation is unlawful.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This prospectus constitutes an “exempt offering document” as defined in and for the purposes of applicable Canadian securities laws. No prospectus has been filed with any securities commission or similar regulatory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authority in Canada in connection with the offer and sale of the Notes. No securities commission or similar regulatory authority in Canada has reviewed or in any way passed upon this prospectus or on the merits of the Notes and any representation to the contrary is an offence.</w:t>
      </w:r>
    </w:p>
    <w:p>
      <w:pPr>
        <w:spacing w:after="0" w:line="14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Canadian investors are advised that this prospectus has been prepared in reliance on section 3A.3 of National Instrument 33-105 Underwriting Conflicts (“NI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Resale Restrictions</w:t>
      </w:r>
    </w:p>
    <w:p>
      <w:pPr>
        <w:spacing w:after="0" w:line="117"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offer and sale of the Notes in Canada is being made on a private placement basis only and is exempt from the requirement that the Company prepares and files a prospectus under applicable Canadian securities laws. Any resale of Notes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Notes outside of Canada.</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Representations of Purchasers</w:t>
      </w:r>
    </w:p>
    <w:p>
      <w:pPr>
        <w:spacing w:after="0" w:line="11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Each Canadian investor who purchases the Notes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Prospectus Exemptions or, in Ontario, as such term is defined in section 73.3(1) of the Securities Act (Ontario); and (iii) a “permitted client” as such term is defined in section 1.1 of National Instrument 31-103 Registration Requirements, Exemptions and Ongoing Registrant Obligations.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and Eligibility for Investment</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Any discussion of taxation and related matters contained in this prospectus does not purport to be a comprehensive description of all of the tax considerations that may be relevant to a Canadian investor when deciding to purchase the Notes and, in particular, does not address any Canadian tax considerations. No representation or warranty is hereby made as to the tax consequences to a resident, or deemed resident, of Canada of an investment in the Notes or with respect to the eligibility of the Notes for investment by such investor under relevant Canadian federal and provincial legislation and regulations.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Rights of Action for Damages or Rescission</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Securities legislation in certain of the Canadian jurisdictions provides certain purchasers of securities pursuant to an offering memorandum (such as this prospectus), including where the distribution involves an “eligible foreign security” as such term is defined in Ontario Securities Commission Rule</w:t>
      </w:r>
    </w:p>
    <w:p>
      <w:pPr>
        <w:ind w:left="120"/>
        <w:spacing w:after="0" w:line="252" w:lineRule="auto"/>
        <w:rPr>
          <w:sz w:val="20"/>
          <w:szCs w:val="20"/>
          <w:color w:val="auto"/>
        </w:rPr>
      </w:pPr>
      <w:r>
        <w:rPr>
          <w:rFonts w:ascii="Arial" w:cs="Arial" w:eastAsia="Arial" w:hAnsi="Arial"/>
          <w:sz w:val="18"/>
          <w:szCs w:val="18"/>
          <w:color w:val="auto"/>
        </w:rPr>
        <w:t>45-501 Ontario Prospectus and Registration Exemptions and in Multilateral Instrument 45-107 Listing Representation and Statutory Rights of Action Disclosure Exemptions,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European Economic Area and the United Kingdom</w:t>
      </w:r>
    </w:p>
    <w:p>
      <w:pPr>
        <w:spacing w:after="0" w:line="121"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The Notes are not intended to be offered, sold or otherwise made available to and should not be offered, sold or otherwise made available to any retail investor in the European Economic Area, or EEA, or in the United Kingdom, or the UK. For these purposes, a retail investor means a person who is one (or more) of: (i) a retail client as defined in point (11) of Article 4(1) of Directive 2014/65/EU, as amended, or the MiFID II; or (ii) a customer within the meaning of Directive (EU) 2016/97, as amended, or the Insurance Distribution Directive, where that customer would not qualify as a professional client as defined in point (10) of Article 4(1) of MiFID II; or (iii) not a qualified investor as defined in Regulation (EU) 2017/1129, as amended, or the Prospectus Regulation. Consequently no key information document required by Regulation (EU) No 1286/2014, as amended, or the PRIIPs Regulation for offering or selling the Notes or otherwise making them available to retail investors in the EEA or in the UK has been prepared and therefore offering or selling the Notes or otherwise making them available to any retail investor in the EEA or in the UK may be unlawful under the PRIIPs Regulation. This prospectus supplement has been prepared on the basis that any offer of Notes in any Member State of the EEA or in the UK will be made pursuant to an exemption under the Prospectus Regulation from the requirement to publish a prospectus for offers of the Notes. This prospectus supplement and the accompanying prospectus is not a prospectus for the purposes of the Prospectus Regulation.</w:t>
      </w:r>
    </w:p>
    <w:p>
      <w:pPr>
        <w:spacing w:after="0" w:line="17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References to Regulations or Directives include, in relation to the UK, those Regulations or Directives as they form part of UK domestic law by virtue of the European Union (Withdrawal) Act 2018 or have been implemented in UK domestic law, as appropriate.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or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No action has been, or will be, taken in Israel that would permit an offering of the Notes or a distribution of this prospectus supplement and the accompanying prospectus to the public in Israel. In particular, neither the prospectus supplement nor the accompanying prospectus has been reviewed or approved by the Israel Securities Authority. The Notes are being offered to a limited number of qualified investors listed on the first addendum of</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S-42</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color w:val="auto"/>
        </w:rPr>
        <w:t>the Securities Law (a “Qualified Investor”), in all cases under the circumstances that will fall within the private placement exemption of the Israeli Securities Law of 1968, or Securities Law. This prospectus supplement and the accompanying prospectus may not be reproduced or used for any other purpose, nor be furnished to any other person other than those to whom copies have been sent. Any investor in the Notes shall be required to declare in writing prior to such purchase that it qualifies as a Qualified Investor, agrees to be deemed a Qualified Investor, and is aware of the consequences of being classified as a Qualified Investor, that it will comply with the guidelines of the Israel Securities Authority with respect to the sale or offer of securities to Qualified Investors (including those published on September 21, 2014), and that it is purchasing the Notes for its own benefit and on its own account and not with the aim or intention of distributing or offering the Notes to other parties. Nothing in this prospectus supplement or the accompanying prospectus should be considered ‘investment advice’, or ‘investment marketing’ as defined in the Regulation of Investment Advice, Investment Marketing and Portfolio Management Law of 1995. Any investor who purchases the Notes shall be required to declare in writing that it has the knowledge, expertise and experience in financial and business matters so as to be capable of evaluating the risks and merits of an investment in the Notes, without relying on any of the materials provided.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Saudi Arabia</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This prospectus supplement may not be distributed in the Kingdom of Saudi Arabia except to such persons as are permitted under the Rules on the Offer of Securities and Continuing Obligations as issued by the board of the Saudi Arabian Capital Market Authority, or CMA, pursuant to resolution number 3-123-2017 dated 9/4/1439H (corresponding to 27/12/2017G) as amended by resolution number 1-104-2019 dated 01/02/1441H (corresponding to 30/09/2019G), as amended. The CMA does not make any representation as to the accuracy or completeness of this prospectus supplement and expressly disclaims any liability whatsoever for any loss arising from, or incurred in reliance upon, any part of this prospectus supplement. Prospective purchasers of the Notes offered hereby should conduct their own due diligence on the accuracy of the information relating to the Notes. If you do not understand the contents of this prospectus supplement, you should consult an authorized financial advisor.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S-43</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Certain legal matters regarding the securities offered by this prospectus supplement will be passed upon for PennantPark Floating Rate Capital Ltd. by Dechert LLP and Venable LLP. Certain legal matters in connection with the offering will be passed upon for the underwriters by Ropes &amp; Gray LLP.</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consolidated financial statements and the related consolidated senior securities table of PennantPark Floating Rate Capital Ltd. as of September 30, 2020 and 2019 and for each of the years in the three-year period ended September 30, 2020 and the effectiveness of internal control over financial reporting as of September 30, 2020 incorporated in this prospectus supplement by reference from the PennantPark Floating Rate Capital Ltd. Annual Report on Form 10-K for the year ended September 30, 2020 have been audited by RSM US LLP, an independent registered public accounting firm, as stated in their reports thereon, incorporated herein by reference, and have been incorporated in this prospectus supplement in reliance upon such reports.</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INDEPENDENT AUDITOR</w:t>
      </w:r>
    </w:p>
    <w:p>
      <w:pPr>
        <w:spacing w:after="0" w:line="22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The consolidated financial statements of PSSL as of and for the fiscal years ended September 30, 2020 and September 30, 2019 included as Exhibits 99.3 and 99.4, respectively, in our Annual Report on Form 10-K for the fiscal year ended September 30, 2020 have been so included in reliance on the report of RSM US LLP.</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This prospectus supplement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and later information that we file with the SEC will automatically update and, where applicable, supersede this information.</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incorporate by reference into this prospectus supplement additional documents that we may file with the SEC under Section 13(a), 13(c), 14 or 15(d) of the Exchange Act until all of the securities offered by this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supplement.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incorporates by reference the documents set forth below that have previously been filed with the SEC:</w:t>
      </w:r>
    </w:p>
    <w:p>
      <w:pPr>
        <w:spacing w:after="0" w:line="131"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Annual Report on Form 10-K for the fiscal year ended September 30, 2020, filed with the SEC on </w:t>
      </w:r>
      <w:hyperlink r:id="rId66">
        <w:r>
          <w:rPr>
            <w:rFonts w:ascii="Arial" w:cs="Arial" w:eastAsia="Arial" w:hAnsi="Arial"/>
            <w:sz w:val="18"/>
            <w:szCs w:val="18"/>
            <w:u w:val="single" w:color="auto"/>
            <w:color w:val="0000EE"/>
          </w:rPr>
          <w:t>November 18, 2020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fiscal quarter ended December 31, 2020, filed with the SEC on </w:t>
      </w:r>
      <w:hyperlink r:id="rId67">
        <w:r>
          <w:rPr>
            <w:rFonts w:ascii="Arial" w:cs="Arial" w:eastAsia="Arial" w:hAnsi="Arial"/>
            <w:sz w:val="18"/>
            <w:szCs w:val="18"/>
            <w:u w:val="single" w:color="auto"/>
            <w:color w:val="0000EE"/>
          </w:rPr>
          <w:t>February 9, 2021</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Current Report on Form 8-K, filed with the SEC on </w:t>
      </w:r>
      <w:hyperlink r:id="rId68">
        <w:r>
          <w:rPr>
            <w:rFonts w:ascii="Arial" w:cs="Arial" w:eastAsia="Arial" w:hAnsi="Arial"/>
            <w:sz w:val="18"/>
            <w:szCs w:val="18"/>
            <w:u w:val="single" w:color="auto"/>
            <w:color w:val="0000EE"/>
          </w:rPr>
          <w:t>February 12, 2021</w:t>
        </w:r>
      </w:hyperlink>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our Definitive Proxy Statement on </w:t>
      </w:r>
      <w:hyperlink r:id="rId69">
        <w:r>
          <w:rPr>
            <w:rFonts w:ascii="Arial" w:cs="Arial" w:eastAsia="Arial" w:hAnsi="Arial"/>
            <w:sz w:val="18"/>
            <w:szCs w:val="18"/>
            <w:u w:val="single" w:color="auto"/>
            <w:color w:val="0000EE"/>
          </w:rPr>
          <w:t>Schedule 14A</w:t>
        </w:r>
      </w:hyperlink>
      <w:r>
        <w:rPr>
          <w:rFonts w:ascii="Arial" w:cs="Arial" w:eastAsia="Arial" w:hAnsi="Arial"/>
          <w:sz w:val="18"/>
          <w:szCs w:val="18"/>
          <w:color w:val="auto"/>
        </w:rPr>
        <w:t>, filed with the SEC on December 8, 2020 (to the extent incorporated by reference into Part III of our Annual Report on Form 10-K for the fiscal year ended September 30, 2020).</w:t>
      </w:r>
    </w:p>
    <w:p>
      <w:pPr>
        <w:spacing w:after="0" w:line="170" w:lineRule="exact"/>
        <w:rPr>
          <w:rFonts w:ascii="Arial" w:cs="Arial" w:eastAsia="Arial" w:hAnsi="Arial"/>
          <w:sz w:val="18"/>
          <w:szCs w:val="18"/>
          <w:color w:val="auto"/>
        </w:rPr>
      </w:pPr>
    </w:p>
    <w:p>
      <w:pPr>
        <w:ind w:left="12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158"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S-44</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Except for the documents incorporated by reference into this prospectus supplement and the accompanying prospectus,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information on our website is not part of this prospectus supplement or the accompanying prospectus.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S-45</w:t>
      </w:r>
    </w:p>
    <w:p>
      <w:pPr>
        <w:sectPr>
          <w:pgSz w:w="11900" w:h="16838" w:orient="portrait"/>
          <w:cols w:equalWidth="0" w:num="1">
            <w:col w:w="10940"/>
          </w:cols>
          <w:pgMar w:left="320" w:top="459" w:right="6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75565</wp:posOffset>
            </wp:positionV>
            <wp:extent cx="2219960" cy="514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Common Stock</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Preferred Stock</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Warrants</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Subscription Rights</w:t>
      </w:r>
    </w:p>
    <w:p>
      <w:pPr>
        <w:spacing w:after="0" w:line="89" w:lineRule="exact"/>
        <w:rPr>
          <w:sz w:val="20"/>
          <w:szCs w:val="20"/>
          <w:color w:val="auto"/>
        </w:rPr>
      </w:pPr>
    </w:p>
    <w:p>
      <w:pPr>
        <w:jc w:val="center"/>
        <w:ind w:right="-119"/>
        <w:spacing w:after="0"/>
        <w:rPr>
          <w:sz w:val="20"/>
          <w:szCs w:val="20"/>
          <w:color w:val="auto"/>
        </w:rPr>
      </w:pPr>
      <w:r>
        <w:rPr>
          <w:rFonts w:ascii="Arial" w:cs="Arial" w:eastAsia="Arial" w:hAnsi="Arial"/>
          <w:sz w:val="24"/>
          <w:szCs w:val="24"/>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8" w:lineRule="exact"/>
        <w:rPr>
          <w:sz w:val="20"/>
          <w:szCs w:val="20"/>
          <w:color w:val="auto"/>
        </w:rPr>
      </w:pPr>
    </w:p>
    <w:p>
      <w:pPr>
        <w:ind w:left="120" w:right="120" w:firstLine="551"/>
        <w:spacing w:after="0" w:line="268" w:lineRule="auto"/>
        <w:rPr>
          <w:sz w:val="20"/>
          <w:szCs w:val="20"/>
          <w:color w:val="auto"/>
        </w:rPr>
      </w:pPr>
      <w:r>
        <w:rPr>
          <w:rFonts w:ascii="Arial" w:cs="Arial" w:eastAsia="Arial" w:hAnsi="Arial"/>
          <w:sz w:val="18"/>
          <w:szCs w:val="18"/>
          <w:color w:val="auto"/>
        </w:rPr>
        <w:t>PennantPark Floating Rate Capital Ltd. is a closed-end, externally managed, non-diversified investment company that has elected to be treated as a business development company under the Investment Company Act of 1940, as amended.</w:t>
      </w:r>
    </w:p>
    <w:p>
      <w:pPr>
        <w:spacing w:after="0" w:line="51" w:lineRule="exact"/>
        <w:rPr>
          <w:sz w:val="20"/>
          <w:szCs w:val="20"/>
          <w:color w:val="auto"/>
        </w:rPr>
      </w:pPr>
    </w:p>
    <w:p>
      <w:pPr>
        <w:ind w:left="120" w:right="160" w:firstLine="551"/>
        <w:spacing w:after="0" w:line="323" w:lineRule="auto"/>
        <w:rPr>
          <w:sz w:val="20"/>
          <w:szCs w:val="20"/>
          <w:color w:val="auto"/>
        </w:rPr>
      </w:pPr>
      <w:r>
        <w:rPr>
          <w:rFonts w:ascii="Arial" w:cs="Arial" w:eastAsia="Arial" w:hAnsi="Arial"/>
          <w:sz w:val="15"/>
          <w:szCs w:val="15"/>
          <w:color w:val="auto"/>
        </w:rPr>
        <w:t>Our investment objectives are to generate both current income and capital appreciation while seeking to preserve capital by investing primarily in loans bearing a variable-rate of interest, or Floating Rate Loans, and other investments made to U.S. middle-market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16" w:lineRule="exact"/>
        <w:rPr>
          <w:sz w:val="20"/>
          <w:szCs w:val="20"/>
          <w:color w:val="auto"/>
        </w:rPr>
      </w:pPr>
    </w:p>
    <w:p>
      <w:pPr>
        <w:ind w:left="120" w:right="340" w:firstLine="551"/>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left="120" w:firstLine="551"/>
        <w:spacing w:after="0" w:line="286" w:lineRule="auto"/>
        <w:rPr>
          <w:sz w:val="20"/>
          <w:szCs w:val="20"/>
          <w:color w:val="auto"/>
        </w:rPr>
      </w:pPr>
      <w:r>
        <w:rPr>
          <w:rFonts w:ascii="Arial" w:cs="Arial" w:eastAsia="Arial" w:hAnsi="Arial"/>
          <w:sz w:val="16"/>
          <w:szCs w:val="16"/>
          <w:color w:val="auto"/>
        </w:rPr>
        <w:t>We may offer, from time to time, in one or more offerings or series, together or separately, up to $500,000,000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or NAV,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7 and “Sales of Common Stock Below Net Asset Value” on page 13 of this prospectus for more information.</w:t>
      </w:r>
    </w:p>
    <w:p>
      <w:pPr>
        <w:spacing w:after="0" w:line="45" w:lineRule="exact"/>
        <w:rPr>
          <w:sz w:val="20"/>
          <w:szCs w:val="20"/>
          <w:color w:val="auto"/>
        </w:rPr>
      </w:pPr>
    </w:p>
    <w:p>
      <w:pPr>
        <w:ind w:left="120" w:right="200" w:firstLine="551"/>
        <w:spacing w:after="0" w:line="259" w:lineRule="auto"/>
        <w:rPr>
          <w:sz w:val="20"/>
          <w:szCs w:val="20"/>
          <w:color w:val="auto"/>
        </w:rPr>
      </w:pPr>
      <w:r>
        <w:rPr>
          <w:rFonts w:ascii="Arial" w:cs="Arial" w:eastAsia="Arial" w:hAnsi="Arial"/>
          <w:sz w:val="18"/>
          <w:szCs w:val="18"/>
          <w:color w:val="auto"/>
        </w:rPr>
        <w:t>Our common stock is traded on The Nasdaq Global Select Market and the Tel Aviv Stock Exchange, or TASE, under the symbol “PFLT.” The last reported closing price for our common stock on The Nasdaq Global Select Market on January 27, 2020 was $12.01 per share, and our NAV on September 30, 2019 was $12.97 per share.</w:t>
      </w:r>
    </w:p>
    <w:p>
      <w:pPr>
        <w:spacing w:after="0" w:line="59" w:lineRule="exact"/>
        <w:rPr>
          <w:sz w:val="20"/>
          <w:szCs w:val="20"/>
          <w:color w:val="auto"/>
        </w:rPr>
      </w:pPr>
    </w:p>
    <w:p>
      <w:pPr>
        <w:ind w:left="120" w:right="60" w:firstLine="551"/>
        <w:spacing w:after="0" w:line="288"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We may also authorize one or more free writing prospectuses to be provided to you in connection with offerings. The prospectus supplement and any free writing prospectus may also add, update, or change information contained in this prospectus. Please read this prospectus, the applicable prospectus supplement, and any free writing prospectus, and the documents incorporated by reference,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83820</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2" w:lineRule="exact"/>
        <w:rPr>
          <w:sz w:val="20"/>
          <w:szCs w:val="20"/>
          <w:color w:val="auto"/>
        </w:rPr>
      </w:pPr>
    </w:p>
    <w:p>
      <w:pPr>
        <w:ind w:left="120" w:right="340" w:firstLine="440"/>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57">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7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56515</wp:posOffset>
            </wp:positionV>
            <wp:extent cx="1474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9" w:lineRule="exact"/>
        <w:rPr>
          <w:sz w:val="20"/>
          <w:szCs w:val="20"/>
          <w:color w:val="auto"/>
        </w:rPr>
      </w:pPr>
    </w:p>
    <w:p>
      <w:pPr>
        <w:ind w:left="120" w:right="480" w:firstLine="440"/>
        <w:spacing w:after="0" w:line="275"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93980</wp:posOffset>
            </wp:positionV>
            <wp:extent cx="1474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Prospectus dated January 29, 2020</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p>
      <w:pPr>
        <w:ind w:left="120" w:firstLine="551"/>
        <w:spacing w:after="0" w:line="288" w:lineRule="auto"/>
        <w:rPr>
          <w:sz w:val="20"/>
          <w:szCs w:val="20"/>
          <w:color w:val="auto"/>
        </w:rPr>
      </w:pPr>
      <w:r>
        <w:rPr>
          <w:rFonts w:ascii="Arial" w:cs="Arial" w:eastAsia="Arial" w:hAnsi="Arial"/>
          <w:sz w:val="16"/>
          <w:szCs w:val="16"/>
          <w:color w:val="auto"/>
        </w:rPr>
        <w:t>You should rely only on the information contained in this prospectus, any accompanying prospectus supplement, any free writing prospectus and the documents incorporated by reference in this prospectus and any applicable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or free writing prospectuses.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or free writing prospectus is accurate only as of the date of this prospectus or such prospectus supplement or free writing prospectus. We will update these documents to reflect material changes only as required by law. Our business, financial condition, results of operations and prospects may have changed since then.</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10680" w:type="dxa"/>
            <w:vAlign w:val="bottom"/>
          </w:tcPr>
          <w:p>
            <w:pPr>
              <w:ind w:left="45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0680" w:type="dxa"/>
            <w:vAlign w:val="bottom"/>
            <w:vMerge w:val="restart"/>
          </w:tcPr>
          <w:p>
            <w:pPr>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PROSPECTUS SUMMARY</w:t>
              </w:r>
            </w:hyperlink>
          </w:p>
        </w:tc>
        <w:tc>
          <w:tcPr>
            <w:tcW w:w="300" w:type="dxa"/>
            <w:vAlign w:val="bottom"/>
            <w:gridSpan w:val="2"/>
          </w:tcPr>
          <w:p>
            <w:pPr>
              <w:spacing w:after="0"/>
              <w:rPr>
                <w:sz w:val="20"/>
                <w:szCs w:val="20"/>
                <w:color w:val="auto"/>
              </w:rPr>
            </w:pPr>
            <w:r>
              <w:rPr>
                <w:rFonts w:ascii="Arial" w:cs="Arial" w:eastAsia="Arial" w:hAnsi="Arial"/>
                <w:sz w:val="13"/>
                <w:szCs w:val="13"/>
                <w:b w:val="1"/>
                <w:bCs w:val="1"/>
                <w:color w:val="auto"/>
                <w:w w:val="89"/>
              </w:rPr>
              <w:t>Page</w:t>
            </w:r>
          </w:p>
        </w:tc>
        <w:tc>
          <w:tcPr>
            <w:tcW w:w="0" w:type="dxa"/>
            <w:vAlign w:val="bottom"/>
          </w:tcPr>
          <w:p>
            <w:pPr>
              <w:spacing w:after="0"/>
              <w:rPr>
                <w:sz w:val="1"/>
                <w:szCs w:val="1"/>
                <w:color w:val="auto"/>
              </w:rPr>
            </w:pPr>
          </w:p>
        </w:tc>
      </w:tr>
      <w:tr>
        <w:trPr>
          <w:trHeight w:val="201"/>
        </w:trPr>
        <w:tc>
          <w:tcPr>
            <w:tcW w:w="10680" w:type="dxa"/>
            <w:vAlign w:val="bottom"/>
            <w:vMerge w:val="continue"/>
          </w:tcPr>
          <w:p>
            <w:pPr>
              <w:spacing w:after="0"/>
              <w:rPr>
                <w:sz w:val="17"/>
                <w:szCs w:val="17"/>
                <w:color w:val="auto"/>
              </w:rPr>
            </w:pPr>
          </w:p>
        </w:tc>
        <w:tc>
          <w:tcPr>
            <w:tcW w:w="2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FEES AND EXPENSES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RISK FACTORS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FORWARD-LOOKING STATEMENTS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USE OF PROCEEDS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SENIOR SECURITIES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PRICE RANGE OF COMMON STOCK</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SALES OF COMMON STOCK BELOW NET ASSET VALUE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DISTRIBUTIONS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PORTFOLIO COMPANIES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PORTFOLIO MANAGEMENT</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DETERMINATION OF NET ASSET VALUE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DESCRIPTION OF OUR CAPITAL STOCK</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DESCRIPTION OF OUR PREFERRED STOCK</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DESCRIPTION OF OUR WARRANTS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DESCRIPTION OF OUR SUBSCRIPTION RIGHTS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93">
              <w:r>
                <w:rPr>
                  <w:rFonts w:ascii="Arial" w:cs="Arial" w:eastAsia="Arial" w:hAnsi="Arial"/>
                  <w:sz w:val="18"/>
                  <w:szCs w:val="18"/>
                  <w:u w:val="single" w:color="auto"/>
                  <w:color w:val="0000EE"/>
                </w:rPr>
                <w:t>DESCRIPTION OF OUR DEBT SECURITIES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BROKERAGE ALLOCATIONS AND OTHER PRACTICES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MATERIAL U.S. FEDERAL INCOME TAX CONSIDERATIONS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PLAN OF DISTRIBUTION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SUB-ADMINISTRATOR, CUSTODIAN, TRANSFER AGENT AND TRUSTEE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LEGAL MATTERS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INDEPENDENT REGISTERED PUBLIC ACCOUNTING FIRM</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10680" w:type="dxa"/>
            <w:vAlign w:val="bottom"/>
          </w:tcPr>
          <w:p>
            <w:pPr>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INCORPORATION BY REFERENCE</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2"/>
        </w:trPr>
        <w:tc>
          <w:tcPr>
            <w:tcW w:w="10680" w:type="dxa"/>
            <w:vAlign w:val="bottom"/>
          </w:tcPr>
          <w:p>
            <w:pPr>
              <w:spacing w:after="0"/>
              <w:rPr>
                <w:rFonts w:ascii="Arial" w:cs="Arial" w:eastAsia="Arial" w:hAnsi="Arial"/>
                <w:sz w:val="18"/>
                <w:szCs w:val="18"/>
                <w:u w:val="single" w:color="auto"/>
                <w:color w:val="0000EE"/>
              </w:rPr>
            </w:pPr>
            <w:hyperlink w:anchor="page118">
              <w:r>
                <w:rPr>
                  <w:rFonts w:ascii="Arial" w:cs="Arial" w:eastAsia="Arial" w:hAnsi="Arial"/>
                  <w:sz w:val="18"/>
                  <w:szCs w:val="18"/>
                  <w:u w:val="single" w:color="auto"/>
                  <w:color w:val="0000EE"/>
                </w:rPr>
                <w:t>AVAILABLE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562"/>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$500,000,000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and any free writing prospectus, together with any exhibits and the additional information described in the section titled “Available Information,” before you make an investment decision.</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80"/>
          </w:cols>
          <w:pgMar w:left="320" w:top="459" w:right="3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426"/>
        <w:spacing w:after="0" w:line="282"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in making an investment decision, References to our portfolio, our investments and our business include investments we make through our consolidated subsidiaries. Some of the statements in this prospectus constitute forward-looking statements, which apply to both us and our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or free writing prospectus, except where the context suggests otherwise: the terms “we,” “us,” “our” and “Company”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“2023 Notes” refers to our 3.83% Series A notes due 2023; “Code” refers to the Internal Revenue Code of 1986, as amended; “RIC” refers to a regulated investment company under the Code; “1940 Act” refers to the Investment Company Act of 1940, as amended; “BDC” refers to a business development company under the 1940 Act; “Credit Facility” refers to our multi-currency senior secured revolving credit facility, as amended and restated with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w:t>
      </w:r>
    </w:p>
    <w:p>
      <w:pPr>
        <w:spacing w:after="0" w:line="10" w:lineRule="exact"/>
        <w:rPr>
          <w:sz w:val="20"/>
          <w:szCs w:val="20"/>
          <w:color w:val="auto"/>
        </w:rPr>
      </w:pPr>
    </w:p>
    <w:p>
      <w:pPr>
        <w:ind w:left="300" w:right="720" w:hanging="2"/>
        <w:spacing w:after="0" w:line="260" w:lineRule="auto"/>
        <w:tabs>
          <w:tab w:leader="none" w:pos="565"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the borrowing of the Class A-1 Senior Secured Floating Rate Notes due 2031 by the Securitization Issuers in connection with the Debt Securitization.</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121" w:lineRule="exact"/>
        <w:rPr>
          <w:sz w:val="20"/>
          <w:szCs w:val="20"/>
          <w:color w:val="auto"/>
        </w:rPr>
      </w:pPr>
    </w:p>
    <w:p>
      <w:pPr>
        <w:ind w:left="300" w:firstLine="426"/>
        <w:spacing w:after="0" w:line="308" w:lineRule="auto"/>
        <w:rPr>
          <w:sz w:val="20"/>
          <w:szCs w:val="20"/>
          <w:color w:val="auto"/>
        </w:rPr>
      </w:pPr>
      <w:r>
        <w:rPr>
          <w:rFonts w:ascii="Arial" w:cs="Arial" w:eastAsia="Arial" w:hAnsi="Arial"/>
          <w:sz w:val="17"/>
          <w:szCs w:val="17"/>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46" w:lineRule="exact"/>
        <w:rPr>
          <w:sz w:val="20"/>
          <w:szCs w:val="20"/>
          <w:color w:val="auto"/>
        </w:rPr>
      </w:pPr>
    </w:p>
    <w:p>
      <w:pPr>
        <w:ind w:left="300" w:right="320" w:firstLine="426"/>
        <w:spacing w:after="0" w:line="291" w:lineRule="auto"/>
        <w:rPr>
          <w:sz w:val="20"/>
          <w:szCs w:val="20"/>
          <w:color w:val="auto"/>
        </w:rPr>
      </w:pPr>
      <w:r>
        <w:rPr>
          <w:rFonts w:ascii="Arial" w:cs="Arial" w:eastAsia="Arial" w:hAnsi="Arial"/>
          <w:sz w:val="16"/>
          <w:szCs w:val="16"/>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w:t>
      </w:r>
    </w:p>
    <w:p>
      <w:pPr>
        <w:ind w:left="300" w:right="60"/>
        <w:spacing w:after="0" w:line="269" w:lineRule="auto"/>
        <w:rPr>
          <w:sz w:val="20"/>
          <w:szCs w:val="20"/>
          <w:color w:val="auto"/>
        </w:rPr>
      </w:pPr>
      <w:r>
        <w:rPr>
          <w:rFonts w:ascii="Arial" w:cs="Arial" w:eastAsia="Arial" w:hAnsi="Arial"/>
          <w:sz w:val="17"/>
          <w:szCs w:val="17"/>
          <w:color w:val="auto"/>
        </w:rPr>
        <w:t>$1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firstLine="426"/>
        <w:spacing w:after="0" w:line="293"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 purposes,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64"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 For a description of our debt capital, see “Management’s Discussion and Analysis of Financial Condition and Results of Operations—Liquidity and Capital Resources” in our most recent Annual Report on Form 10-K or Quarterly Report on Form 10-Q.</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121" w:lineRule="exact"/>
        <w:rPr>
          <w:sz w:val="20"/>
          <w:szCs w:val="20"/>
          <w:color w:val="auto"/>
        </w:rPr>
      </w:pPr>
    </w:p>
    <w:p>
      <w:pPr>
        <w:ind w:left="300" w:right="260" w:firstLine="426"/>
        <w:spacing w:after="0" w:line="263"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formed Funding I in order to establish our Credit Facility.</w:t>
      </w:r>
    </w:p>
    <w:p>
      <w:pPr>
        <w:spacing w:after="0" w:line="211" w:lineRule="exact"/>
        <w:rPr>
          <w:sz w:val="20"/>
          <w:szCs w:val="20"/>
          <w:color w:val="auto"/>
        </w:rPr>
      </w:pPr>
    </w:p>
    <w:p>
      <w:pPr>
        <w:ind w:left="300" w:right="20" w:firstLine="426"/>
        <w:spacing w:after="0" w:line="263" w:lineRule="auto"/>
        <w:rPr>
          <w:sz w:val="20"/>
          <w:szCs w:val="20"/>
          <w:color w:val="auto"/>
        </w:rPr>
      </w:pPr>
      <w:r>
        <w:rPr>
          <w:rFonts w:ascii="Arial" w:cs="Arial" w:eastAsia="Arial" w:hAnsi="Arial"/>
          <w:sz w:val="18"/>
          <w:szCs w:val="18"/>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w:t>
      </w:r>
    </w:p>
    <w:p>
      <w:pPr>
        <w:spacing w:after="0" w:line="184"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In April 2019, our wholly owned subsidiary, the Securitization Issuer, was incorporated in the Cayman Islands as an exempted company with limited liability. We formed the Securitization Issuer in order to complete the Debt Securitization.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invested $10 billion in 526 companies with approximately 185 different financial sponsors through its managed funds.</w:t>
      </w: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NAV, oversees the preparation and filing of our tax returns, and monitors the payment of our expenses as well as the performance of administrative and professional services rendered to us by others. Furthermore, our Administrator offers, on our behalf, significant managerial assistance to those portfolio companies to which we are required to offer such assistance. See “Risk Factors—Risks Relating to our Business and Structure—There are significant potential conflicts of interest which could impact our investment returns” in our most recent Annual Report on Form 10-K for more information.</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 From our perspective, middle market companies have faced difficulty in raising debt through the private and public capital markets. We believe that, as a result of the difficulties in the credit markets and fewer sources of capital for middle-market companies, we see opportunities for improved risk-reward on our investments. Furthermore, we believe that with a large pool of uninvested private equity capital seeking debt capital to complete private investments and a substantial supply of refinancing opportunities, there is an opportunity to attain attractive risk-reward with debt investments. See “Business” in our most recent Annual Report on Form 10-K for more information.</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300" w:right="180" w:firstLine="42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debt obligations, to invest in new or existing portfolio companies, to capitalize a subsidiary or for other general corporate or strategic purposes. Any supplements to this prospectus or free writing prospectus relating to an offering will more fully identify the use of the proceeds from such offering. See “Use of Proceeds” for more information.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Distributions on Common Stock</w:t>
      </w:r>
    </w:p>
    <w:p>
      <w:pPr>
        <w:spacing w:after="0" w:line="121" w:lineRule="exact"/>
        <w:rPr>
          <w:sz w:val="20"/>
          <w:szCs w:val="20"/>
          <w:color w:val="auto"/>
        </w:rPr>
      </w:pPr>
    </w:p>
    <w:p>
      <w:pPr>
        <w:ind w:left="300" w:right="560" w:firstLine="426"/>
        <w:spacing w:after="0" w:line="277" w:lineRule="auto"/>
        <w:rPr>
          <w:sz w:val="20"/>
          <w:szCs w:val="20"/>
          <w:color w:val="auto"/>
        </w:rPr>
      </w:pPr>
      <w:r>
        <w:rPr>
          <w:rFonts w:ascii="Arial" w:cs="Arial" w:eastAsia="Arial" w:hAnsi="Arial"/>
          <w:sz w:val="18"/>
          <w:szCs w:val="18"/>
          <w:color w:val="auto"/>
        </w:rPr>
        <w:t>We intend to continue our monthly distributions to our stockholders. Our monthly distributions, if any, are determined by our board of directors. Distributions may include a return of capital. See “Distributions” for more information.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 on Preferred Stock</w:t>
      </w:r>
    </w:p>
    <w:p>
      <w:pPr>
        <w:spacing w:after="0" w:line="121" w:lineRule="exact"/>
        <w:rPr>
          <w:sz w:val="20"/>
          <w:szCs w:val="20"/>
          <w:color w:val="auto"/>
        </w:rPr>
      </w:pPr>
    </w:p>
    <w:p>
      <w:pPr>
        <w:ind w:left="300" w:firstLine="426"/>
        <w:spacing w:after="0" w:line="296"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the 1940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“Description of our Preferred Stock” for more information.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We may offer, from time to time, up to $500 million of our securities, on terms to be determined at the time of each such offering and set forth in a supplement to this prospectus.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716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6998970" cy="37160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 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any accompanying supplements to this prospectus may not exceed 10% of the aggregate offering price of the securities as set forth on the cover page of such supplement to this prospectus.</w:t>
      </w:r>
    </w:p>
    <w:p>
      <w:pPr>
        <w:spacing w:after="0" w:line="192" w:lineRule="exact"/>
        <w:rPr>
          <w:sz w:val="20"/>
          <w:szCs w:val="20"/>
          <w:color w:val="auto"/>
        </w:rPr>
      </w:pPr>
    </w:p>
    <w:p>
      <w:pPr>
        <w:ind w:left="300" w:right="480" w:firstLine="426"/>
        <w:spacing w:after="0" w:line="308" w:lineRule="auto"/>
        <w:rPr>
          <w:sz w:val="20"/>
          <w:szCs w:val="20"/>
          <w:color w:val="auto"/>
        </w:rPr>
      </w:pPr>
      <w:r>
        <w:rPr>
          <w:rFonts w:ascii="Arial" w:cs="Arial" w:eastAsia="Arial" w:hAnsi="Arial"/>
          <w:sz w:val="17"/>
          <w:szCs w:val="17"/>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Our business is subject to numerous risks, as described in the section titled “Risk Factors” in this prospectus, the applicable prospectus supplement and related free writing prospectuses we may authorize for use in connection with a specific offering, if any, and under similar headings in the documents that are incorporated by reference into this prospectus, including the section titled “Risk Factors” included in our most recent Annual Report on Form 10-K and Quarterly Reports on Form 10-Q, as well as any amendments reflected in subsequent filings with the SEC.</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 xml:space="preserve">Our administrative and principal executive offices are located at 590 Madison Avenue, 15th Floor, New York, NY 10022. Our phone number is (212) 905-1000, and our Internet website address is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 Information contained on our website is not incorporated by reference into this prospectus or any supplements to this prospectus, and you should not consider information contained on our website to be part of this prospectus or any supplements to this prospectus.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FEES AND EXPENSES</w:t>
      </w:r>
    </w:p>
    <w:p>
      <w:pPr>
        <w:spacing w:after="0" w:line="22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from actual results. The following table should not be considered a representation of our future expenses. Actual expenses may be greater or less than shown. Except where the context suggests otherwise, whenever this prospectus or any prospectus supplements, if any, contains a reference to fees or expenses paid by “you” or “us” or that “we” will pay, stockholders will indirectly bear such fees or expenses as investors in us.</w:t>
      </w:r>
    </w:p>
    <w:p>
      <w:pPr>
        <w:spacing w:after="0" w:line="217"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Sales load</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Estimated annual expenses (as a percentage of average net assets attributable</w:t>
            </w:r>
          </w:p>
        </w:tc>
        <w:tc>
          <w:tcPr>
            <w:tcW w:w="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to common shares)</w:t>
            </w:r>
            <w:r>
              <w:rPr>
                <w:rFonts w:ascii="Arial" w:cs="Arial" w:eastAsia="Arial" w:hAnsi="Arial"/>
                <w:sz w:val="15"/>
                <w:szCs w:val="15"/>
                <w:b w:val="1"/>
                <w:bCs w:val="1"/>
                <w:color w:val="auto"/>
              </w:rPr>
              <w:t>(3)</w:t>
            </w:r>
          </w:p>
        </w:tc>
        <w:tc>
          <w:tcPr>
            <w:tcW w:w="4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Management fees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5.23%</w:t>
            </w: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Acquired fund fees and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expenses</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0.78%</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14.81%</w:t>
            </w:r>
            <w:r>
              <w:rPr>
                <w:rFonts w:ascii="Arial" w:cs="Arial" w:eastAsia="Arial" w:hAnsi="Arial"/>
                <w:sz w:val="15"/>
                <w:szCs w:val="15"/>
                <w:color w:val="auto"/>
                <w:w w:val="98"/>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760" w:hanging="424"/>
        <w:spacing w:after="0" w:line="258"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spacing w:after="0" w:line="1"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540" w:hanging="424"/>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for the fiscal year ended September 30, 2019.</w:t>
      </w:r>
    </w:p>
    <w:p>
      <w:pPr>
        <w:spacing w:after="0" w:line="9"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September 30, 2019. See “Business—Investment Management Agreement” and “Business—Investment Advisory Fees” in our most recent Annual Report on Form 10-K for more information.</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portion of incentive fees paid with respect to net investment income and capital gains, if any, is based on actual amounts incurred during the fiscal year ended September 30, 2019. Such incentive fees are based on performance, vary from period to period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purposes of this chart and our Consolidated Financial Statements, our incentive fees on capital gains are calculated in accordance with U.S. generally accepted accounting principles, or GAAP. As we cannot predict our future net investment income or capital gains, the incentive fee paid in future periods, if any, may be substantially different than the fee earned during the fiscal year ended September 30, 2019. For more detailed information about the incentive fee, please see “Business—Investment Management Agreement” and “Business—Investment Advisory Fees” in our most recent Annual Report on Form 10-K for more information.</w:t>
      </w:r>
    </w:p>
    <w:p>
      <w:pPr>
        <w:spacing w:after="0" w:line="1" w:lineRule="exact"/>
        <w:rPr>
          <w:rFonts w:ascii="Arial" w:cs="Arial" w:eastAsia="Arial" w:hAnsi="Arial"/>
          <w:sz w:val="17"/>
          <w:szCs w:val="17"/>
          <w:color w:val="auto"/>
        </w:rPr>
      </w:pPr>
    </w:p>
    <w:p>
      <w:pPr>
        <w:jc w:val="both"/>
        <w:ind w:left="540" w:hanging="424"/>
        <w:spacing w:after="0" w:line="255"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September 30, 2019, we had $265.3 million in borrowings outstanding under our Credit Facility, $138.6 million outstanding under our 2023 Notes and $228.0 million outstanding under the 2031 Asset-Backed Debt. We may use proceeds of an offering of securities under this registration statement to repay</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outstanding obligations under our Credit Facility. After completing any such offering, we may continue to borrow under our Credit Facility to finance our investment objectives. Annual interest expense on borrowed funds represents actual interest expense, amendment costs incurred on our Credit Facility, and debt issuance costs, if any, for the fiscal year ended September 30, 2019 and we caution you that our actual interest expense in the future will depend on prevailing interest rates and our rate of borrowing, which may be substantially higher than the amount provided in this table.</w:t>
      </w:r>
    </w:p>
    <w:p>
      <w:pPr>
        <w:spacing w:after="0" w:line="3" w:lineRule="exact"/>
        <w:rPr>
          <w:sz w:val="20"/>
          <w:szCs w:val="20"/>
          <w:color w:val="auto"/>
        </w:rPr>
      </w:pPr>
    </w:p>
    <w:p>
      <w:pPr>
        <w:ind w:left="540" w:hanging="424"/>
        <w:spacing w:after="0" w:line="281"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stockholders indirectly bear 87.5% of the expenses of our investment in PSSL. No management fee is charged by PennantPark Investment Advisers in connection with PSSL. PSSL pays the Administrator an annual fee of 0.25% of average gross assets under management. For this chart, PSSL fees and operating expenses are based on our share of the actual fees and operating expenses of PSSL for the fiscal year ended September 30, 2019. Expenses for PSSL may fluctuate over time and may be substantially higher or lower in the future.</w:t>
      </w:r>
    </w:p>
    <w:p>
      <w:pPr>
        <w:spacing w:after="0" w:line="2" w:lineRule="exact"/>
        <w:rPr>
          <w:rFonts w:ascii="Arial" w:cs="Arial" w:eastAsia="Arial" w:hAnsi="Arial"/>
          <w:sz w:val="16"/>
          <w:szCs w:val="16"/>
          <w:color w:val="auto"/>
        </w:rPr>
      </w:pPr>
    </w:p>
    <w:p>
      <w:pPr>
        <w:ind w:left="540" w:right="100" w:hanging="424"/>
        <w:spacing w:after="0" w:line="25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and the expenses of the Investment Adviser reimbursable under our Investment Management Agreement and of the Administrator reimbursable under our Administration Agreement. Such expenses are based on estimated amounts for the current fiscal year.</w:t>
      </w:r>
    </w:p>
    <w:p>
      <w:pPr>
        <w:spacing w:after="0" w:line="1" w:lineRule="exact"/>
        <w:rPr>
          <w:rFonts w:ascii="Arial" w:cs="Arial" w:eastAsia="Arial" w:hAnsi="Arial"/>
          <w:sz w:val="18"/>
          <w:szCs w:val="18"/>
          <w:color w:val="auto"/>
        </w:rPr>
      </w:pPr>
    </w:p>
    <w:p>
      <w:pPr>
        <w:ind w:left="540" w:right="60" w:hanging="424"/>
        <w:spacing w:after="0" w:line="270"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If the “Total estimated annual expenses” percentage were calculated instead as a percentage of total assets, our “Total estimated annual expenses” would be 7.23% of average total assets.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Example</w:t>
      </w:r>
    </w:p>
    <w:p>
      <w:pPr>
        <w:spacing w:after="0" w:line="121" w:lineRule="exact"/>
        <w:rPr>
          <w:sz w:val="20"/>
          <w:szCs w:val="20"/>
          <w:color w:val="auto"/>
        </w:rPr>
      </w:pPr>
    </w:p>
    <w:p>
      <w:pPr>
        <w:ind w:left="120" w:right="600" w:firstLine="440"/>
        <w:spacing w:after="0" w:line="291" w:lineRule="auto"/>
        <w:rPr>
          <w:sz w:val="20"/>
          <w:szCs w:val="20"/>
          <w:color w:val="auto"/>
        </w:rPr>
      </w:pPr>
      <w:r>
        <w:rPr>
          <w:rFonts w:ascii="Arial" w:cs="Arial" w:eastAsia="Arial" w:hAnsi="Arial"/>
          <w:sz w:val="16"/>
          <w:szCs w:val="16"/>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0.50%,</w:t>
      </w:r>
    </w:p>
    <w:p>
      <w:pPr>
        <w:ind w:left="120" w:right="700" w:hanging="4"/>
        <w:spacing w:after="0" w:line="260" w:lineRule="auto"/>
        <w:tabs>
          <w:tab w:leader="none" w:pos="3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total net estimated annual expenses of 13.61% of average net assets attributable to common shares as set forth in the table above (other than performance-based incentive fees) and (3) a 5% annual return.</w:t>
      </w:r>
    </w:p>
    <w:p>
      <w:pPr>
        <w:spacing w:after="0" w:line="19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You would pay the following expenses on a $1,000 common</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1"/>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 investment:</w:t>
            </w:r>
          </w:p>
        </w:tc>
        <w:tc>
          <w:tcPr>
            <w:tcW w:w="2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6"/>
                <w:szCs w:val="16"/>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3 years</w:t>
            </w:r>
          </w:p>
        </w:tc>
        <w:tc>
          <w:tcPr>
            <w:tcW w:w="260" w:type="dxa"/>
            <w:vAlign w:val="bottom"/>
          </w:tcPr>
          <w:p>
            <w:pPr>
              <w:spacing w:after="0"/>
              <w:rPr>
                <w:sz w:val="16"/>
                <w:szCs w:val="16"/>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5 years</w:t>
            </w:r>
          </w:p>
        </w:tc>
        <w:tc>
          <w:tcPr>
            <w:tcW w:w="26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6"/>
              </w:rPr>
              <w:t>10 years</w:t>
            </w:r>
          </w:p>
        </w:tc>
      </w:tr>
      <w:tr>
        <w:trPr>
          <w:trHeight w:val="175"/>
        </w:trPr>
        <w:tc>
          <w:tcPr>
            <w:tcW w:w="65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Assuming a 5% annual return (assumes no return from net realized capital gains or net</w:t>
            </w:r>
          </w:p>
        </w:tc>
        <w:tc>
          <w:tcPr>
            <w:tcW w:w="2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6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capital appreciation)</w:t>
            </w:r>
          </w:p>
        </w:tc>
        <w:tc>
          <w:tcPr>
            <w:tcW w:w="8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$ 161</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381</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564</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w:t>
            </w:r>
          </w:p>
        </w:tc>
      </w:tr>
      <w:tr>
        <w:trPr>
          <w:trHeight w:val="202"/>
        </w:trPr>
        <w:tc>
          <w:tcPr>
            <w:tcW w:w="6540" w:type="dxa"/>
            <w:vAlign w:val="bottom"/>
            <w:gridSpan w:val="2"/>
          </w:tcPr>
          <w:p>
            <w:pPr>
              <w:spacing w:after="0" w:line="201" w:lineRule="exact"/>
              <w:rPr>
                <w:sz w:val="20"/>
                <w:szCs w:val="20"/>
                <w:color w:val="auto"/>
              </w:rPr>
            </w:pPr>
            <w:r>
              <w:rPr>
                <w:rFonts w:ascii="Arial" w:cs="Arial" w:eastAsia="Arial" w:hAnsi="Arial"/>
                <w:sz w:val="18"/>
                <w:szCs w:val="18"/>
                <w:color w:val="auto"/>
                <w:w w:val="93"/>
              </w:rPr>
              <w:t>Assuming a 5% annual return (assumes return from only realized capital gains and thus</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subject to the capital gains incentive fee)</w:t>
            </w:r>
          </w:p>
        </w:tc>
        <w:tc>
          <w:tcPr>
            <w:tcW w:w="880" w:type="dxa"/>
            <w:vAlign w:val="bottom"/>
            <w:gridSpan w:val="3"/>
          </w:tcPr>
          <w:p>
            <w:pPr>
              <w:ind w:left="240"/>
              <w:spacing w:after="0"/>
              <w:rPr>
                <w:sz w:val="20"/>
                <w:szCs w:val="20"/>
                <w:color w:val="auto"/>
              </w:rPr>
            </w:pPr>
            <w:r>
              <w:rPr>
                <w:rFonts w:ascii="Arial" w:cs="Arial" w:eastAsia="Arial" w:hAnsi="Arial"/>
                <w:sz w:val="18"/>
                <w:szCs w:val="18"/>
                <w:color w:val="auto"/>
              </w:rPr>
              <w:t>$ 169</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400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589</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923</w:t>
            </w:r>
          </w:p>
        </w:tc>
      </w:tr>
    </w:tbl>
    <w:p>
      <w:pPr>
        <w:spacing w:after="0" w:line="202"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equal to or less than 5% from net investment income, the incentive fee under our Investment Management Agreement would not be earned or payable. If our returns on our investments, including the realized capital gains, result in an incentive fee, then our expenses would be higher. The example assumes that all distributions are reinvested at NAV. See “Distributions” for more information.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Investing in our securities involves a number of significant risks. In addition to the other information contained in this prospectus and the applicable prospectus supplement and any free writing prospectus, you should consider carefully the following information and the risk factors incorporated by reference in our recent Annual Report on Form 10-K filed on November 20, 2019 or our then most recent Annual Report on Form 10-K and any subsequent Quarterly Reports on Form 10-Q or Current Reports on Form 8-K we file after the date of this prospectus, and all other information contained or incorporated by reference into this prospectus, as updated by our subsequent filings under the Securities Exchange Act of 1934, as amended, or the Exchange Act, and the risk factors and other information contained in any prospectus supplement and any free writing prospectus before acquiring any of such securities and before making an investment in our securities. Additional risks and uncertainties not presently known to us or not presently deemed material by us may also impair our operations and performance. Each of the risk factors could materially adversely affect our business, financial condition and results of operations. In such case, the NAV and market price of our common stock could decline or the value of our preferred stock, warrants, subscription rights or debt securities may decline, and investors may lose all or part of their investment. Please also read carefully the section titled “Forward-Looking Statements.”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This prospectus, including the documents we incorporate by reference herein, contains, and any applicable prospectus supplement or free writing prospectus, including the documents we incorporate by reference therein, contain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or incorporated by reference in this prospectus and any applicable prospectus supplement or free writing prospectus involve risks and uncertainties, including statements as to:</w:t>
      </w:r>
    </w:p>
    <w:p>
      <w:pPr>
        <w:spacing w:after="0" w:line="83"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fluctuations in interest rates and foreign exchange rates on our business and our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expected financings and investments and ability to fund capital commitments to PSSL;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price and volume fluctuations in the stock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Brexit and other world economic and political issues.</w:t>
      </w:r>
    </w:p>
    <w:p>
      <w:pPr>
        <w:spacing w:after="0" w:line="225"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4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contained or incorporated by reference in this prospectus and any applicable prospectus supplement or free writing prospectus should not be regarded as a representation by us that our plans and objectives will be achieved.</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59"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We base the forward-looking statements included in this prospectus, any prospectus supplement, free writing prospectus and documents incorporated by reference on information available to us on the date of the relevant document, and we assume no obligation to update any such forward-looking statements. Although we undertake no obligation to revise or update any forward-looking statements in such documents, whether as a result of new information, future events or otherwise, you are advised to consult any additional disclosures that we may make directly to you or through reports that we have filed or in the future may file with the SEC, including reports on Form 10-K/Q and current reports on Form 8-K.</w:t>
      </w:r>
    </w:p>
    <w:p>
      <w:pPr>
        <w:spacing w:after="0" w:line="17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You should understand that under Section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Unless otherwise specified in a prospectus supplement or a free writing prospectus we have authorized for use in connection with a specific offering, we may use the net proceeds from selling securities pursuant to this prospectus for general corporate or strategic purposes, including making investments in portfolio companies or repaying outstanding indebtedness.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indebtedness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See “Business—Regulation—Temporary Investments” in our most recently filed Annual Report on Form 10-K for more information.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SENIOR SECURITIES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Information about our senior securities shown in the following table as of September 30, 2019, 2018, 2017, 2016, 2015, 2014, 2013, 2012 and 2011 is from our Consolidated Financial Statements which have been audited by an independent registered public accounting firm for those periods. This information about our senior securities should be read in conjunction with our Consolidated Financial Statements and related notes thereto and “Management’s Discussion and Analysis of Financial Condition and Results of Operations” included in our most recent Annual Report on Form 10-K for more information.</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Total Amount</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ind w:right="91"/>
              <w:spacing w:after="0"/>
              <w:rPr>
                <w:sz w:val="20"/>
                <w:szCs w:val="20"/>
                <w:color w:val="auto"/>
              </w:rPr>
            </w:pPr>
            <w:r>
              <w:rPr>
                <w:rFonts w:ascii="Arial" w:cs="Arial" w:eastAsia="Arial" w:hAnsi="Arial"/>
                <w:sz w:val="14"/>
                <w:szCs w:val="14"/>
                <w:b w:val="1"/>
                <w:bCs w:val="1"/>
                <w:color w:val="auto"/>
                <w:w w:val="89"/>
              </w:rPr>
              <w:t>Asset</w:t>
            </w:r>
          </w:p>
        </w:tc>
        <w:tc>
          <w:tcPr>
            <w:tcW w:w="7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266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Coverage</w:t>
            </w:r>
          </w:p>
        </w:tc>
        <w:tc>
          <w:tcPr>
            <w:tcW w:w="162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78"/>
        </w:trPr>
        <w:tc>
          <w:tcPr>
            <w:tcW w:w="940" w:type="dxa"/>
            <w:vAlign w:val="bottom"/>
            <w:tcBorders>
              <w:bottom w:val="single" w:sz="8" w:color="auto"/>
            </w:tcBorders>
            <w:vMerge w:val="continue"/>
          </w:tcPr>
          <w:p>
            <w:pPr>
              <w:spacing w:after="0"/>
              <w:rPr>
                <w:sz w:val="15"/>
                <w:szCs w:val="15"/>
                <w:color w:val="auto"/>
              </w:rPr>
            </w:pPr>
          </w:p>
        </w:tc>
        <w:tc>
          <w:tcPr>
            <w:tcW w:w="2660" w:type="dxa"/>
            <w:vAlign w:val="bottom"/>
            <w:vMerge w:val="continue"/>
          </w:tcPr>
          <w:p>
            <w:pPr>
              <w:spacing w:after="0"/>
              <w:rPr>
                <w:sz w:val="15"/>
                <w:szCs w:val="15"/>
                <w:color w:val="auto"/>
              </w:rPr>
            </w:pPr>
          </w:p>
        </w:tc>
        <w:tc>
          <w:tcPr>
            <w:tcW w:w="2660" w:type="dxa"/>
            <w:vAlign w:val="bottom"/>
            <w:gridSpan w:val="3"/>
          </w:tcPr>
          <w:p>
            <w:pPr>
              <w:ind w:left="1740"/>
              <w:spacing w:after="0" w:line="158" w:lineRule="exact"/>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(1)</w:t>
            </w:r>
          </w:p>
        </w:tc>
        <w:tc>
          <w:tcPr>
            <w:tcW w:w="1380" w:type="dxa"/>
            <w:vAlign w:val="bottom"/>
            <w:gridSpan w:val="3"/>
          </w:tcPr>
          <w:p>
            <w:pPr>
              <w:ind w:left="700"/>
              <w:spacing w:after="0" w:line="158" w:lineRule="exact"/>
              <w:rPr>
                <w:sz w:val="20"/>
                <w:szCs w:val="20"/>
                <w:color w:val="auto"/>
              </w:rPr>
            </w:pPr>
            <w:r>
              <w:rPr>
                <w:rFonts w:ascii="Arial" w:cs="Arial" w:eastAsia="Arial" w:hAnsi="Arial"/>
                <w:sz w:val="14"/>
                <w:szCs w:val="14"/>
                <w:b w:val="1"/>
                <w:bCs w:val="1"/>
                <w:color w:val="auto"/>
                <w:w w:val="97"/>
              </w:rPr>
              <w:t>per Unit</w:t>
            </w:r>
            <w:r>
              <w:rPr>
                <w:rFonts w:ascii="Arial" w:cs="Arial" w:eastAsia="Arial" w:hAnsi="Arial"/>
                <w:sz w:val="12"/>
                <w:szCs w:val="12"/>
                <w:b w:val="1"/>
                <w:bCs w:val="1"/>
                <w:color w:val="auto"/>
                <w:w w:val="97"/>
              </w:rPr>
              <w:t>(2)</w:t>
            </w:r>
          </w:p>
        </w:tc>
        <w:tc>
          <w:tcPr>
            <w:tcW w:w="70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Per Unit</w:t>
            </w:r>
            <w:r>
              <w:rPr>
                <w:rFonts w:ascii="Arial" w:cs="Arial" w:eastAsia="Arial" w:hAnsi="Arial"/>
                <w:sz w:val="12"/>
                <w:szCs w:val="12"/>
                <w:b w:val="1"/>
                <w:bCs w:val="1"/>
                <w:color w:val="auto"/>
                <w:w w:val="96"/>
              </w:rPr>
              <w:t>(3)</w:t>
            </w:r>
          </w:p>
        </w:tc>
        <w:tc>
          <w:tcPr>
            <w:tcW w:w="0" w:type="dxa"/>
            <w:vAlign w:val="bottom"/>
          </w:tcPr>
          <w:p>
            <w:pPr>
              <w:spacing w:after="0"/>
              <w:rPr>
                <w:sz w:val="1"/>
                <w:szCs w:val="1"/>
                <w:color w:val="auto"/>
              </w:rPr>
            </w:pPr>
          </w:p>
        </w:tc>
      </w:tr>
      <w:tr>
        <w:trPr>
          <w:trHeight w:val="189"/>
        </w:trPr>
        <w:tc>
          <w:tcPr>
            <w:tcW w:w="36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w:t>
            </w:r>
          </w:p>
        </w:tc>
        <w:tc>
          <w:tcPr>
            <w:tcW w:w="17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265,308</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1,786</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333,728</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2017</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253,783</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2,780</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2016</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232,908</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2015</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29,600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13,598</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2014</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146,400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2013</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99,600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3,109</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24,650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4,735</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2023 Notes</w:t>
            </w:r>
          </w:p>
        </w:tc>
        <w:tc>
          <w:tcPr>
            <w:tcW w:w="1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color w:val="auto"/>
              </w:rPr>
              <w:t>Fiscal 2019</w:t>
            </w:r>
          </w:p>
        </w:tc>
        <w:tc>
          <w:tcPr>
            <w:tcW w:w="194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138,580</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1,786</w:t>
            </w:r>
          </w:p>
        </w:tc>
        <w:tc>
          <w:tcPr>
            <w:tcW w:w="7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2018</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138,580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2031 Asset-Backed Debt</w:t>
            </w: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2019</w:t>
            </w:r>
          </w:p>
        </w:tc>
        <w:tc>
          <w:tcPr>
            <w:tcW w:w="194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228,000</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7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23"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senior securities representing indebtedness at par. This asset coverage ratio is multiplied by $1,000 to determine the Asset Coverage Per Unit.</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 in the United States of America.</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PRICE RANGE OF COMMON STOCK</w:t>
      </w:r>
    </w:p>
    <w:p>
      <w:pPr>
        <w:spacing w:after="0" w:line="22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common stock is traded on The Nasdaq Global Select Market and the TASE under the symbol “PFLT.” The following table lists the high and low closing sale prices for our common stock, the closing sale prices as a premium or (discount) to our NAV per share and distributions per share on The Nasdaq Global Select Market since October 1, 2017. On January 27, 2020, the last reported closing price of our common stock on The Nasdaq Global Select Market was $12.01 per share.</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Closing Sales Price</w:t>
            </w:r>
          </w:p>
        </w:tc>
        <w:tc>
          <w:tcPr>
            <w:tcW w:w="19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Premium / (Discount)</w:t>
            </w:r>
          </w:p>
        </w:tc>
        <w:tc>
          <w:tcPr>
            <w:tcW w:w="1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Premium / (Discount)</w:t>
            </w:r>
          </w:p>
        </w:tc>
        <w:tc>
          <w:tcPr>
            <w:tcW w:w="240" w:type="dxa"/>
            <w:vAlign w:val="bottom"/>
          </w:tcPr>
          <w:p>
            <w:pPr>
              <w:spacing w:after="0"/>
              <w:rPr>
                <w:sz w:val="14"/>
                <w:szCs w:val="14"/>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2700" w:type="dxa"/>
            <w:vAlign w:val="bottom"/>
            <w:vMerge w:val="restart"/>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on NASDAQ</w:t>
            </w:r>
          </w:p>
        </w:tc>
        <w:tc>
          <w:tcPr>
            <w:tcW w:w="19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of High Sales</w:t>
            </w: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of Low Sales</w:t>
            </w:r>
          </w:p>
        </w:tc>
        <w:tc>
          <w:tcPr>
            <w:tcW w:w="2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 w:type="dxa"/>
            <w:vAlign w:val="bottom"/>
            <w:tcBorders>
              <w:bottom w:val="single" w:sz="8" w:color="auto"/>
            </w:tcBorders>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98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NAV</w:t>
            </w:r>
            <w:r>
              <w:rPr>
                <w:rFonts w:ascii="Arial" w:cs="Arial" w:eastAsia="Arial" w:hAnsi="Arial"/>
                <w:sz w:val="12"/>
                <w:szCs w:val="12"/>
                <w:b w:val="1"/>
                <w:bCs w:val="1"/>
                <w:color w:val="auto"/>
              </w:rPr>
              <w:t>(1)</w:t>
            </w:r>
          </w:p>
        </w:tc>
        <w:tc>
          <w:tcPr>
            <w:tcW w:w="74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4"/>
                <w:szCs w:val="14"/>
                <w:b w:val="1"/>
                <w:bCs w:val="1"/>
                <w:color w:val="auto"/>
              </w:rPr>
              <w:t>High</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28"/>
              <w:spacing w:after="0" w:line="129" w:lineRule="exact"/>
              <w:rPr>
                <w:sz w:val="20"/>
                <w:szCs w:val="20"/>
                <w:color w:val="auto"/>
              </w:rPr>
            </w:pPr>
            <w:r>
              <w:rPr>
                <w:rFonts w:ascii="Arial" w:cs="Arial" w:eastAsia="Arial" w:hAnsi="Arial"/>
                <w:sz w:val="14"/>
                <w:szCs w:val="14"/>
                <w:b w:val="1"/>
                <w:bCs w:val="1"/>
                <w:color w:val="auto"/>
              </w:rPr>
              <w:t>Low</w:t>
            </w:r>
          </w:p>
        </w:tc>
        <w:tc>
          <w:tcPr>
            <w:tcW w:w="500" w:type="dxa"/>
            <w:vAlign w:val="bottom"/>
          </w:tcPr>
          <w:p>
            <w:pPr>
              <w:spacing w:after="0"/>
              <w:rPr>
                <w:sz w:val="12"/>
                <w:szCs w:val="12"/>
                <w:color w:val="auto"/>
              </w:rPr>
            </w:pPr>
          </w:p>
        </w:tc>
        <w:tc>
          <w:tcPr>
            <w:tcW w:w="1940" w:type="dxa"/>
            <w:vAlign w:val="bottom"/>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96"/>
              </w:rPr>
              <w:t>Price to NAV</w:t>
            </w:r>
            <w:r>
              <w:rPr>
                <w:rFonts w:ascii="Arial" w:cs="Arial" w:eastAsia="Arial" w:hAnsi="Arial"/>
                <w:sz w:val="12"/>
                <w:szCs w:val="12"/>
                <w:b w:val="1"/>
                <w:bCs w:val="1"/>
                <w:color w:val="auto"/>
                <w:w w:val="96"/>
              </w:rPr>
              <w:t>(2)</w:t>
            </w:r>
          </w:p>
        </w:tc>
        <w:tc>
          <w:tcPr>
            <w:tcW w:w="172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4"/>
              </w:rPr>
              <w:t>Price to NAV</w:t>
            </w:r>
            <w:r>
              <w:rPr>
                <w:rFonts w:ascii="Arial" w:cs="Arial" w:eastAsia="Arial" w:hAnsi="Arial"/>
                <w:sz w:val="12"/>
                <w:szCs w:val="12"/>
                <w:b w:val="1"/>
                <w:bCs w:val="1"/>
                <w:color w:val="auto"/>
                <w:w w:val="94"/>
              </w:rPr>
              <w:t>(2)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71"/>
        </w:trPr>
        <w:tc>
          <w:tcPr>
            <w:tcW w:w="3120" w:type="dxa"/>
            <w:vAlign w:val="bottom"/>
            <w:tcBorders>
              <w:top w:val="single" w:sz="8" w:color="CCEEFF"/>
            </w:tcBorders>
            <w:gridSpan w:val="2"/>
            <w:shd w:val="clear" w:color="auto" w:fill="CCEEFF"/>
          </w:tcPr>
          <w:p>
            <w:pPr>
              <w:spacing w:after="0" w:line="171" w:lineRule="exact"/>
              <w:rPr>
                <w:sz w:val="20"/>
                <w:szCs w:val="20"/>
                <w:color w:val="auto"/>
              </w:rPr>
            </w:pPr>
            <w:r>
              <w:rPr>
                <w:rFonts w:ascii="Arial" w:cs="Arial" w:eastAsia="Arial" w:hAnsi="Arial"/>
                <w:sz w:val="18"/>
                <w:szCs w:val="18"/>
                <w:b w:val="1"/>
                <w:bCs w:val="1"/>
                <w:color w:val="auto"/>
              </w:rPr>
              <w:t>Fiscal Year Ending September 30,</w:t>
            </w:r>
          </w:p>
        </w:tc>
        <w:tc>
          <w:tcPr>
            <w:tcW w:w="5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120" w:type="dxa"/>
            <w:vAlign w:val="bottom"/>
            <w:gridSpan w:val="2"/>
          </w:tcPr>
          <w:p>
            <w:pPr>
              <w:spacing w:after="0" w:line="201" w:lineRule="exact"/>
              <w:rPr>
                <w:sz w:val="20"/>
                <w:szCs w:val="20"/>
                <w:color w:val="auto"/>
              </w:rPr>
            </w:pPr>
            <w:r>
              <w:rPr>
                <w:rFonts w:ascii="Arial" w:cs="Arial" w:eastAsia="Arial" w:hAnsi="Arial"/>
                <w:sz w:val="18"/>
                <w:szCs w:val="18"/>
                <w:color w:val="auto"/>
              </w:rPr>
              <w:t>Second quarter (through</w:t>
            </w: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gridSpan w:val="2"/>
          </w:tcPr>
          <w:p>
            <w:pPr>
              <w:ind w:left="180"/>
              <w:spacing w:after="0"/>
              <w:rPr>
                <w:sz w:val="20"/>
                <w:szCs w:val="20"/>
                <w:color w:val="auto"/>
              </w:rPr>
            </w:pPr>
            <w:r>
              <w:rPr>
                <w:rFonts w:ascii="Arial" w:cs="Arial" w:eastAsia="Arial" w:hAnsi="Arial"/>
                <w:sz w:val="18"/>
                <w:szCs w:val="18"/>
                <w:color w:val="auto"/>
              </w:rPr>
              <w:t>January 27, 2020)</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 N/A</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$12.40</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$12.01</w:t>
            </w:r>
          </w:p>
        </w:tc>
        <w:tc>
          <w:tcPr>
            <w:tcW w:w="194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1720" w:type="dxa"/>
            <w:vAlign w:val="bottom"/>
            <w:gridSpan w:val="2"/>
          </w:tcPr>
          <w:p>
            <w:pPr>
              <w:ind w:left="1020"/>
              <w:spacing w:after="0"/>
              <w:rPr>
                <w:sz w:val="20"/>
                <w:szCs w:val="20"/>
                <w:color w:val="auto"/>
              </w:rPr>
            </w:pPr>
            <w:r>
              <w:rPr>
                <w:rFonts w:ascii="Arial" w:cs="Arial" w:eastAsia="Arial" w:hAnsi="Arial"/>
                <w:sz w:val="18"/>
                <w:szCs w:val="18"/>
                <w:color w:val="auto"/>
              </w:rPr>
              <w:t>N/A%</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300"/>
              <w:spacing w:after="0"/>
              <w:rPr>
                <w:sz w:val="20"/>
                <w:szCs w:val="20"/>
                <w:color w:val="auto"/>
              </w:rPr>
            </w:pPr>
            <w:r>
              <w:rPr>
                <w:rFonts w:ascii="Arial" w:cs="Arial" w:eastAsia="Arial" w:hAnsi="Arial"/>
                <w:sz w:val="18"/>
                <w:szCs w:val="18"/>
                <w:color w:val="auto"/>
                <w:w w:val="97"/>
              </w:rPr>
              <w:t>0.095</w:t>
            </w:r>
            <w:r>
              <w:rPr>
                <w:rFonts w:ascii="Arial" w:cs="Arial" w:eastAsia="Arial" w:hAnsi="Arial"/>
                <w:sz w:val="15"/>
                <w:szCs w:val="15"/>
                <w:color w:val="auto"/>
                <w:w w:val="97"/>
              </w:rPr>
              <w:t>(3)</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12.56</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11.33</w:t>
            </w:r>
          </w:p>
        </w:tc>
        <w:tc>
          <w:tcPr>
            <w:tcW w:w="19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N/A</w:t>
            </w:r>
          </w:p>
        </w:tc>
        <w:tc>
          <w:tcPr>
            <w:tcW w:w="17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198"/>
        </w:trPr>
        <w:tc>
          <w:tcPr>
            <w:tcW w:w="31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2"/>
          </w:tcPr>
          <w:p>
            <w:pPr>
              <w:ind w:left="180"/>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12.97</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11.79</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11.22</w:t>
            </w:r>
          </w:p>
        </w:tc>
        <w:tc>
          <w:tcPr>
            <w:tcW w:w="1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13.07</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13.35</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11.44</w:t>
            </w:r>
          </w:p>
        </w:tc>
        <w:tc>
          <w:tcPr>
            <w:tcW w:w="194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13.24</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13.38</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11.80</w:t>
            </w: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13.66</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13.34</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11.20</w:t>
            </w:r>
          </w:p>
        </w:tc>
        <w:tc>
          <w:tcPr>
            <w:tcW w:w="1940" w:type="dxa"/>
            <w:vAlign w:val="bottom"/>
            <w:gridSpan w:val="2"/>
          </w:tcPr>
          <w:p>
            <w:pPr>
              <w:jc w:val="right"/>
              <w:ind w:right="560"/>
              <w:spacing w:after="0"/>
              <w:rPr>
                <w:sz w:val="20"/>
                <w:szCs w:val="20"/>
                <w:color w:val="auto"/>
              </w:rPr>
            </w:pPr>
            <w:r>
              <w:rPr>
                <w:rFonts w:ascii="Arial" w:cs="Arial" w:eastAsia="Arial" w:hAnsi="Arial"/>
                <w:sz w:val="18"/>
                <w:szCs w:val="18"/>
                <w:color w:val="auto"/>
              </w:rPr>
              <w:t>(2)</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198"/>
        </w:trPr>
        <w:tc>
          <w:tcPr>
            <w:tcW w:w="31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Fiscal Year Ended September 30,</w:t>
            </w:r>
          </w:p>
        </w:tc>
        <w:tc>
          <w:tcPr>
            <w:tcW w:w="5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2018</w:t>
            </w:r>
          </w:p>
        </w:tc>
        <w:tc>
          <w:tcPr>
            <w:tcW w:w="5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13.82</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13.83</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13.15</w:t>
            </w:r>
          </w:p>
        </w:tc>
        <w:tc>
          <w:tcPr>
            <w:tcW w:w="1940" w:type="dxa"/>
            <w:vAlign w:val="bottom"/>
            <w:gridSpan w:val="2"/>
          </w:tcPr>
          <w:p>
            <w:pPr>
              <w:jc w:val="right"/>
              <w:ind w:right="620"/>
              <w:spacing w:after="0"/>
              <w:rPr>
                <w:sz w:val="20"/>
                <w:szCs w:val="20"/>
                <w:color w:val="auto"/>
              </w:rPr>
            </w:pPr>
            <w:r>
              <w:rPr>
                <w:rFonts w:ascii="Arial" w:cs="Arial" w:eastAsia="Arial" w:hAnsi="Arial"/>
                <w:sz w:val="18"/>
                <w:szCs w:val="18"/>
                <w:color w:val="auto"/>
              </w:rPr>
              <w:t>0</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13.82</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14.10</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13.08</w:t>
            </w: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13.98</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13.85</w:t>
            </w: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12.19</w:t>
            </w:r>
          </w:p>
        </w:tc>
        <w:tc>
          <w:tcPr>
            <w:tcW w:w="194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13.86</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14.61</w:t>
            </w: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13.72</w:t>
            </w:r>
          </w:p>
        </w:tc>
        <w:tc>
          <w:tcPr>
            <w:tcW w:w="19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w:t>
            </w:r>
          </w:p>
        </w:tc>
        <w:tc>
          <w:tcPr>
            <w:tcW w:w="1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0.285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60" w:hanging="424"/>
        <w:spacing w:after="0" w:line="258"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Calculated as the respective high or low closing sales price less NAV per share, divided by the quarter-end NAV per share.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a dividend of $0.095 per share payable on February 3, 2020 to stockholders of record as of January 16, 2020.</w:t>
      </w:r>
    </w:p>
    <w:p>
      <w:pPr>
        <w:spacing w:after="0" w:line="21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Shares of BDCs may trade at a market price both above and below the NAV that is attributable to those shares. Our shares have traded above and below our NAV. Our shares closed on The Nasdaq Global Select Market at $11.60 and $13.15 on September 30, 2019 and 2018, respectively. Our NAV per share was $12.97 and $13.82 for the same periods.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our NAV in the future. As of December 31, 2019 we had 43 stockholders of record.</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22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92" w:lineRule="exact"/>
        <w:rPr>
          <w:sz w:val="20"/>
          <w:szCs w:val="20"/>
          <w:color w:val="auto"/>
        </w:rPr>
      </w:pPr>
    </w:p>
    <w:p>
      <w:pPr>
        <w:ind w:left="1080" w:right="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 per share by which the offering price per share and the net proceeds per share are less than the most recently determined NAV per share;</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potential investment opportunities available relative to the potential dilutive effect of additional capital at the time of the offering.</w:t>
      </w:r>
    </w:p>
    <w:p>
      <w:pPr>
        <w:spacing w:after="0" w:line="23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PennantPark Floating Rate Capital Ltd. or from the offering of common stock at a premium to NAV per share.</w:t>
      </w:r>
    </w:p>
    <w:p>
      <w:pPr>
        <w:spacing w:after="0" w:line="16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70" w:lineRule="exact"/>
        <w:rPr>
          <w:sz w:val="20"/>
          <w:szCs w:val="20"/>
          <w:color w:val="auto"/>
        </w:rPr>
      </w:pPr>
    </w:p>
    <w:p>
      <w:pPr>
        <w:ind w:left="120" w:right="160" w:firstLine="440"/>
        <w:spacing w:after="0" w:line="269" w:lineRule="auto"/>
        <w:rPr>
          <w:sz w:val="20"/>
          <w:szCs w:val="20"/>
          <w:color w:val="auto"/>
        </w:rPr>
      </w:pPr>
      <w:r>
        <w:rPr>
          <w:rFonts w:ascii="Arial" w:cs="Arial" w:eastAsia="Arial" w:hAnsi="Arial"/>
          <w:sz w:val="17"/>
          <w:szCs w:val="17"/>
          <w:color w:val="auto"/>
        </w:rPr>
        <w:t>We will not seek to sell shares under a prospectus supplement to the registration statement, or a post-effective amendment to the registration statement, of which this prospectus forms a part (the “current registration statement”) if the cumulative dilution to our NAV per share arising from offerings from the effective date of the current registration statement through and including any follow-on offering would exceed 15% based on the anticipated pricing of such follow-on offering. This limit would be measured separately for each offering pursuant to the current registration statement by calculating the percentage dilution or accretion to aggregate NAV from that offering and then summing the anticipated percentage dilution from each subsequent offering. For example, if our most recently determined NAV per share at the time of the first offering is $10.00, and we have 100 million shares outstanding, the sale of an additional 25 million shares at net proceeds to us of $5.00 per share (a 50% discount) would produce dilution of 10.0%. If we subsequently determined that our NAV per share increased to $11.00 on the then outstanding 125 million shares and contemplated an additional offering, we could, for example, propose to sell approximately 31.25 million additional shares at a price that would be expected to yield net proceeds to us of $8.25 per share, resulting in incremental dilution of 5.0%, before we would reach the aggregate 15% limit. If we file a new post-effective amendment, the threshold would reset.</w:t>
      </w:r>
    </w:p>
    <w:p>
      <w:pPr>
        <w:spacing w:after="0" w:line="182"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2" w:lineRule="exact"/>
        <w:rPr>
          <w:sz w:val="20"/>
          <w:szCs w:val="20"/>
          <w:color w:val="auto"/>
        </w:rPr>
      </w:pPr>
    </w:p>
    <w:p>
      <w:pPr>
        <w:ind w:left="5540" w:right="5040" w:hanging="4884"/>
        <w:spacing w:after="0" w:line="535" w:lineRule="auto"/>
        <w:tabs>
          <w:tab w:leader="none" w:pos="1094"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existing stockholders who do not purchase any shares in the offering; 13</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existing stockholders who purchase a relatively small amount of shares in the offering or a relatively large amount of shares in the offering;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existing stockholders who do not participate, or who are not given the opportunity to participate, in an offering below NAV per share or who do not buy additional shares in the secondary market at the same or lower price we obtain in the offering (after any underwriting discounts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7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effect on nonparticipating stockholder A of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left="301"/>
              <w:spacing w:after="0"/>
              <w:rPr>
                <w:sz w:val="20"/>
                <w:szCs w:val="20"/>
                <w:color w:val="auto"/>
              </w:rPr>
            </w:pPr>
            <w:r>
              <w:rPr>
                <w:rFonts w:ascii="Arial" w:cs="Arial" w:eastAsia="Arial" w:hAnsi="Arial"/>
                <w:sz w:val="14"/>
                <w:szCs w:val="14"/>
                <w:b w:val="1"/>
                <w:bCs w:val="1"/>
                <w:color w:val="auto"/>
                <w:w w:val="95"/>
              </w:rPr>
              <w:t>Example 1</w:t>
            </w: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left="302"/>
              <w:spacing w:after="0"/>
              <w:rPr>
                <w:sz w:val="20"/>
                <w:szCs w:val="20"/>
                <w:color w:val="auto"/>
              </w:rPr>
            </w:pPr>
            <w:r>
              <w:rPr>
                <w:rFonts w:ascii="Arial" w:cs="Arial" w:eastAsia="Arial" w:hAnsi="Arial"/>
                <w:sz w:val="14"/>
                <w:szCs w:val="14"/>
                <w:b w:val="1"/>
                <w:bCs w:val="1"/>
                <w:color w:val="auto"/>
                <w:w w:val="95"/>
              </w:rPr>
              <w:t>Example 2</w:t>
            </w: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left="322"/>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9"/>
              </w:rPr>
              <w:t>10% Offering</w:t>
            </w:r>
          </w:p>
        </w:tc>
        <w:tc>
          <w:tcPr>
            <w:tcW w:w="100" w:type="dxa"/>
            <w:vAlign w:val="bottom"/>
          </w:tcPr>
          <w:p>
            <w:pPr>
              <w:spacing w:after="0"/>
              <w:rPr>
                <w:sz w:val="12"/>
                <w:szCs w:val="12"/>
                <w:color w:val="auto"/>
              </w:rPr>
            </w:pPr>
          </w:p>
        </w:tc>
        <w:tc>
          <w:tcPr>
            <w:tcW w:w="17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8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at 5% Discount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w w:val="94"/>
              </w:rPr>
              <w:t>at 10% Discount</w:t>
            </w:r>
          </w:p>
        </w:tc>
        <w:tc>
          <w:tcPr>
            <w:tcW w:w="100" w:type="dxa"/>
            <w:vAlign w:val="bottom"/>
          </w:tcPr>
          <w:p>
            <w:pPr>
              <w:spacing w:after="0"/>
              <w:rPr>
                <w:sz w:val="14"/>
                <w:szCs w:val="14"/>
                <w:color w:val="auto"/>
              </w:rPr>
            </w:pPr>
          </w:p>
        </w:tc>
        <w:tc>
          <w:tcPr>
            <w:tcW w:w="17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7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7"/>
              <w:spacing w:after="0" w:line="119" w:lineRule="exact"/>
              <w:rPr>
                <w:sz w:val="20"/>
                <w:szCs w:val="20"/>
                <w:color w:val="auto"/>
              </w:rPr>
            </w:pPr>
            <w:r>
              <w:rPr>
                <w:rFonts w:ascii="Arial" w:cs="Arial" w:eastAsia="Arial" w:hAnsi="Arial"/>
                <w:sz w:val="13"/>
                <w:szCs w:val="13"/>
                <w:b w:val="1"/>
                <w:bCs w:val="1"/>
                <w:color w:val="auto"/>
              </w:rPr>
              <w:t>%</w:t>
            </w:r>
          </w:p>
        </w:tc>
        <w:tc>
          <w:tcPr>
            <w:tcW w:w="48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4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Change</w:t>
            </w:r>
          </w:p>
        </w:tc>
        <w:tc>
          <w:tcPr>
            <w:tcW w:w="100" w:type="dxa"/>
            <w:vAlign w:val="bottom"/>
          </w:tcPr>
          <w:p>
            <w:pPr>
              <w:spacing w:after="0"/>
              <w:rPr>
                <w:sz w:val="14"/>
                <w:szCs w:val="14"/>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7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i w:val="1"/>
                <w:iCs w:val="1"/>
                <w:color w:val="auto"/>
              </w:rPr>
              <w:t>Offering Price</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9.47</w:t>
            </w:r>
          </w:p>
        </w:tc>
        <w:tc>
          <w:tcPr>
            <w:tcW w:w="44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7.89</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9.50</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7.50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b w:val="1"/>
                <w:bCs w:val="1"/>
                <w:i w:val="1"/>
                <w:iCs w:val="1"/>
                <w:color w:val="auto"/>
              </w:rPr>
              <w:t>Decrease to NAV</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92"/>
              </w:rPr>
              <w:t>1,000,000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7"/>
              </w:rPr>
              <w:t>1,050,000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1,100,000</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w w:val="87"/>
              </w:rPr>
              <w:t>1,250,000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color w:val="auto"/>
              </w:rPr>
              <w:t>NAV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10.00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9.98</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(0.20)%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9.91</w:t>
            </w:r>
          </w:p>
        </w:tc>
        <w:tc>
          <w:tcPr>
            <w:tcW w:w="44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6"/>
                <w:szCs w:val="16"/>
                <w:color w:val="auto"/>
              </w:rPr>
              <w:t>(0.90)%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9.50</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b w:val="1"/>
                <w:bCs w:val="1"/>
                <w:i w:val="1"/>
                <w:iCs w:val="1"/>
                <w:color w:val="auto"/>
              </w:rPr>
              <w:t>Dilution to Stockholder A</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0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10,000</w:t>
            </w:r>
          </w:p>
        </w:tc>
        <w:tc>
          <w:tcPr>
            <w:tcW w:w="44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10,000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0.91%</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0.80%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NAV held by stockholder A</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100,000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99,800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99,100</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95,000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193"/>
        </w:trPr>
        <w:tc>
          <w:tcPr>
            <w:tcW w:w="3700" w:type="dxa"/>
            <w:vAlign w:val="bottom"/>
          </w:tcPr>
          <w:p>
            <w:pPr>
              <w:ind w:left="320"/>
              <w:spacing w:after="0"/>
              <w:rPr>
                <w:sz w:val="20"/>
                <w:szCs w:val="20"/>
                <w:color w:val="auto"/>
              </w:rPr>
            </w:pPr>
            <w:r>
              <w:rPr>
                <w:rFonts w:ascii="Arial" w:cs="Arial" w:eastAsia="Arial" w:hAnsi="Arial"/>
                <w:sz w:val="16"/>
                <w:szCs w:val="16"/>
                <w:color w:val="auto"/>
              </w:rPr>
              <w:t>Total investment by stockholder A (assumed to</w:t>
            </w: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gridSpan w:val="2"/>
            <w:vMerge w:val="restart"/>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700" w:type="dxa"/>
            <w:vAlign w:val="bottom"/>
          </w:tcPr>
          <w:p>
            <w:pPr>
              <w:ind w:left="480"/>
              <w:spacing w:after="0"/>
              <w:rPr>
                <w:sz w:val="20"/>
                <w:szCs w:val="20"/>
                <w:color w:val="auto"/>
              </w:rPr>
            </w:pPr>
            <w:r>
              <w:rPr>
                <w:rFonts w:ascii="Arial" w:cs="Arial" w:eastAsia="Arial" w:hAnsi="Arial"/>
                <w:sz w:val="16"/>
                <w:szCs w:val="16"/>
                <w:color w:val="auto"/>
              </w:rPr>
              <w:t>be $10.00 per share)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420"/>
              <w:spacing w:after="0"/>
              <w:rPr>
                <w:sz w:val="20"/>
                <w:szCs w:val="20"/>
                <w:color w:val="auto"/>
              </w:rPr>
            </w:pPr>
            <w:r>
              <w:rPr>
                <w:rFonts w:ascii="Arial" w:cs="Arial" w:eastAsia="Arial" w:hAnsi="Arial"/>
                <w:sz w:val="16"/>
                <w:szCs w:val="16"/>
                <w:color w:val="auto"/>
              </w:rPr>
              <w:t>100,000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440"/>
              <w:spacing w:after="0"/>
              <w:rPr>
                <w:sz w:val="20"/>
                <w:szCs w:val="20"/>
                <w:color w:val="auto"/>
              </w:rPr>
            </w:pPr>
            <w:r>
              <w:rPr>
                <w:rFonts w:ascii="Arial" w:cs="Arial" w:eastAsia="Arial" w:hAnsi="Arial"/>
                <w:sz w:val="16"/>
                <w:szCs w:val="16"/>
                <w:color w:val="auto"/>
              </w:rPr>
              <w:t>100,000</w:t>
            </w:r>
          </w:p>
        </w:tc>
        <w:tc>
          <w:tcPr>
            <w:tcW w:w="800" w:type="dxa"/>
            <w:vAlign w:val="bottom"/>
            <w:gridSpan w:val="2"/>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100,000</w:t>
            </w:r>
          </w:p>
        </w:tc>
        <w:tc>
          <w:tcPr>
            <w:tcW w:w="4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420"/>
              <w:spacing w:after="0"/>
              <w:rPr>
                <w:sz w:val="20"/>
                <w:szCs w:val="20"/>
                <w:color w:val="auto"/>
              </w:rPr>
            </w:pPr>
            <w:r>
              <w:rPr>
                <w:rFonts w:ascii="Arial" w:cs="Arial" w:eastAsia="Arial" w:hAnsi="Arial"/>
                <w:sz w:val="16"/>
                <w:szCs w:val="16"/>
                <w:color w:val="auto"/>
              </w:rPr>
              <w:t>100,000</w:t>
            </w:r>
          </w:p>
        </w:tc>
        <w:tc>
          <w:tcPr>
            <w:tcW w:w="7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dilution to stockholder A (total NAV less</w:t>
            </w:r>
          </w:p>
        </w:tc>
        <w:tc>
          <w:tcPr>
            <w:tcW w:w="10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investment)</w:t>
            </w: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(200)</w:t>
            </w:r>
          </w:p>
        </w:tc>
        <w:tc>
          <w:tcPr>
            <w:tcW w:w="800" w:type="dxa"/>
            <w:vAlign w:val="bottom"/>
            <w:gridSpan w:val="2"/>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(900)</w:t>
            </w:r>
          </w:p>
        </w:tc>
        <w:tc>
          <w:tcPr>
            <w:tcW w:w="9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(5,000)</w:t>
            </w: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Example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2"/>
              </w:rPr>
              <w:t>Example 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Example 3</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at 5% Discount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at 10% Discount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43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Sale</w:t>
            </w: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Sale</w:t>
            </w:r>
          </w:p>
        </w:tc>
        <w:tc>
          <w:tcPr>
            <w:tcW w:w="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43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Per Share Amounts</w:t>
            </w:r>
          </w:p>
        </w:tc>
        <w:tc>
          <w:tcPr>
            <w:tcW w:w="2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320"/>
              <w:spacing w:after="0"/>
              <w:rPr>
                <w:sz w:val="20"/>
                <w:szCs w:val="20"/>
                <w:color w:val="auto"/>
              </w:rPr>
            </w:pPr>
            <w:r>
              <w:rPr>
                <w:rFonts w:ascii="Arial" w:cs="Arial" w:eastAsia="Arial" w:hAnsi="Arial"/>
                <w:sz w:val="16"/>
                <w:szCs w:val="16"/>
                <w:color w:val="auto"/>
              </w:rPr>
              <w:t>NAV per share held by stockholder A</w:t>
            </w:r>
          </w:p>
        </w:tc>
        <w:tc>
          <w:tcPr>
            <w:tcW w:w="24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rPr>
              <w:t>9.98</w:t>
            </w: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80"/>
              <w:spacing w:after="0"/>
              <w:rPr>
                <w:sz w:val="20"/>
                <w:szCs w:val="20"/>
                <w:color w:val="auto"/>
              </w:rPr>
            </w:pPr>
            <w:r>
              <w:rPr>
                <w:rFonts w:ascii="Arial" w:cs="Arial" w:eastAsia="Arial" w:hAnsi="Arial"/>
                <w:sz w:val="16"/>
                <w:szCs w:val="16"/>
                <w:color w:val="auto"/>
              </w:rPr>
              <w:t>9.91</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60"/>
              <w:spacing w:after="0"/>
              <w:rPr>
                <w:sz w:val="20"/>
                <w:szCs w:val="20"/>
                <w:color w:val="auto"/>
              </w:rPr>
            </w:pPr>
            <w:r>
              <w:rPr>
                <w:rFonts w:ascii="Arial" w:cs="Arial" w:eastAsia="Arial" w:hAnsi="Arial"/>
                <w:sz w:val="16"/>
                <w:szCs w:val="16"/>
                <w:color w:val="auto"/>
              </w:rPr>
              <w:t>9.50</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Investment per share held by stockholder A (assumed to</w:t>
            </w: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be $10.00 per share on shares held prior to sale)</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10.00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10.00</w:t>
            </w:r>
          </w:p>
        </w:tc>
        <w:tc>
          <w:tcPr>
            <w:tcW w:w="820" w:type="dxa"/>
            <w:vAlign w:val="bottom"/>
            <w:gridSpan w:val="2"/>
            <w:vMerge w:val="continue"/>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10.00</w:t>
            </w:r>
          </w:p>
        </w:tc>
        <w:tc>
          <w:tcPr>
            <w:tcW w:w="800" w:type="dxa"/>
            <w:vAlign w:val="bottom"/>
            <w:gridSpan w:val="2"/>
            <w:vMerge w:val="continue"/>
            <w:shd w:val="clear" w:color="auto" w:fill="CCEEFF"/>
          </w:tcPr>
          <w:p>
            <w:pPr>
              <w:spacing w:after="0"/>
              <w:rPr>
                <w:sz w:val="18"/>
                <w:szCs w:val="18"/>
                <w:color w:val="auto"/>
              </w:rPr>
            </w:pP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10.00</w:t>
            </w:r>
          </w:p>
        </w:tc>
        <w:tc>
          <w:tcPr>
            <w:tcW w:w="7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320" w:type="dxa"/>
            <w:vAlign w:val="bottom"/>
          </w:tcPr>
          <w:p>
            <w:pPr>
              <w:ind w:left="320"/>
              <w:spacing w:after="0"/>
              <w:rPr>
                <w:sz w:val="20"/>
                <w:szCs w:val="20"/>
                <w:color w:val="auto"/>
              </w:rPr>
            </w:pPr>
            <w:r>
              <w:rPr>
                <w:rFonts w:ascii="Arial" w:cs="Arial" w:eastAsia="Arial" w:hAnsi="Arial"/>
                <w:sz w:val="16"/>
                <w:szCs w:val="16"/>
                <w:color w:val="auto"/>
              </w:rPr>
              <w:t>Dilution per share held by stockholder A (NAV per share</w:t>
            </w:r>
          </w:p>
        </w:tc>
        <w:tc>
          <w:tcPr>
            <w:tcW w:w="240" w:type="dxa"/>
            <w:vAlign w:val="bottom"/>
          </w:tcPr>
          <w:p>
            <w:pPr>
              <w:spacing w:after="0"/>
              <w:rPr>
                <w:sz w:val="16"/>
                <w:szCs w:val="16"/>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20" w:type="dxa"/>
            <w:vAlign w:val="bottom"/>
          </w:tcPr>
          <w:p>
            <w:pPr>
              <w:ind w:left="480"/>
              <w:spacing w:after="0"/>
              <w:rPr>
                <w:sz w:val="20"/>
                <w:szCs w:val="20"/>
                <w:color w:val="auto"/>
              </w:rPr>
            </w:pPr>
            <w:r>
              <w:rPr>
                <w:rFonts w:ascii="Arial" w:cs="Arial" w:eastAsia="Arial" w:hAnsi="Arial"/>
                <w:sz w:val="16"/>
                <w:szCs w:val="16"/>
                <w:color w:val="auto"/>
              </w:rPr>
              <w:t>less investment per share)</w:t>
            </w:r>
          </w:p>
        </w:tc>
        <w:tc>
          <w:tcPr>
            <w:tcW w:w="240" w:type="dxa"/>
            <w:vAlign w:val="bottom"/>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00"/>
              <w:spacing w:after="0"/>
              <w:rPr>
                <w:sz w:val="20"/>
                <w:szCs w:val="20"/>
                <w:color w:val="auto"/>
              </w:rPr>
            </w:pPr>
            <w:r>
              <w:rPr>
                <w:rFonts w:ascii="Arial" w:cs="Arial" w:eastAsia="Arial" w:hAnsi="Arial"/>
                <w:sz w:val="16"/>
                <w:szCs w:val="16"/>
                <w:color w:val="auto"/>
              </w:rPr>
              <w:t>(0.02)</w:t>
            </w:r>
          </w:p>
        </w:tc>
        <w:tc>
          <w:tcPr>
            <w:tcW w:w="820" w:type="dxa"/>
            <w:vAlign w:val="bottom"/>
            <w:gridSpan w:val="2"/>
            <w:vMerge w:val="continue"/>
          </w:tcPr>
          <w:p>
            <w:pPr>
              <w:spacing w:after="0"/>
              <w:rPr>
                <w:sz w:val="18"/>
                <w:szCs w:val="18"/>
                <w:color w:val="auto"/>
              </w:rPr>
            </w:pPr>
          </w:p>
        </w:tc>
        <w:tc>
          <w:tcPr>
            <w:tcW w:w="2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(0.09)</w:t>
            </w:r>
          </w:p>
        </w:tc>
        <w:tc>
          <w:tcPr>
            <w:tcW w:w="800" w:type="dxa"/>
            <w:vAlign w:val="bottom"/>
            <w:gridSpan w:val="2"/>
            <w:vMerge w:val="continue"/>
          </w:tcPr>
          <w:p>
            <w:pPr>
              <w:spacing w:after="0"/>
              <w:rPr>
                <w:sz w:val="18"/>
                <w:szCs w:val="18"/>
                <w:color w:val="auto"/>
              </w:rPr>
            </w:pPr>
          </w:p>
        </w:tc>
        <w:tc>
          <w:tcPr>
            <w:tcW w:w="3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(0.50)</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43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Percentage dilution to stockholder A (dilution per share</w:t>
            </w:r>
          </w:p>
        </w:tc>
        <w:tc>
          <w:tcPr>
            <w:tcW w:w="24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3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divided by investment per share)</w:t>
            </w:r>
          </w:p>
        </w:tc>
        <w:tc>
          <w:tcPr>
            <w:tcW w:w="240" w:type="dxa"/>
            <w:vAlign w:val="bottom"/>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11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Our existing stockholders who participate in an offering below NAV per share or who buy additional shares in the secondary market at the same or lower price as we obtain in the offering (after any underwriting discounts and commissions) will experience the same types of NAV dilution as the nonparticipating stockholders, albeit at a lower level, to the extent they purchase less than the same percentage of the offering below NAV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offerings below NAV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86"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 in the hypothetical offering of 25% of the shares outstanding at a 25% discount to NAV from the prior chart for stockholder A that acquires shares equal to (1) 50% of their proportionate share of the offering (i.e. 1,250 shares which is 0.50% of the offering of 250,000 shares rather than their 1.00% proportionate share) and (2) 150% of</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their proportionate share of the offering (i.e. 3,750 shares which is 1.50% of the offering of 250,000 shares rather than their 1.00% proportionate share).</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20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50% Participation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19"/>
        </w:trPr>
        <w:tc>
          <w:tcPr>
            <w:tcW w:w="5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126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101"/>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40" w:type="dxa"/>
            <w:vAlign w:val="bottom"/>
            <w:tcBorders>
              <w:top w:val="single" w:sz="8" w:color="auto"/>
            </w:tcBorders>
            <w:gridSpan w:val="3"/>
          </w:tcPr>
          <w:p>
            <w:pPr>
              <w:jc w:val="right"/>
              <w:ind w:right="58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52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7.89</w:t>
            </w:r>
          </w:p>
        </w:tc>
        <w:tc>
          <w:tcPr>
            <w:tcW w:w="86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7.89</w:t>
            </w:r>
          </w:p>
        </w:tc>
        <w:tc>
          <w:tcPr>
            <w:tcW w:w="5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Net proceeds per share to issuer</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7.50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b w:val="1"/>
                <w:bCs w:val="1"/>
                <w:color w:val="auto"/>
              </w:rPr>
              <w:t>Increases in Shares and Decrease to NAV</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1,000,000</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w w:val="89"/>
              </w:rPr>
              <w:t>1,250,000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25.00%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1,250,000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NAV per share</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5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9.50</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(5.00)%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9.50</w:t>
            </w:r>
          </w:p>
        </w:tc>
        <w:tc>
          <w:tcPr>
            <w:tcW w:w="5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(Dilution)/Accretion to Participating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10,000</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11,250</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12.50%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13,750</w:t>
            </w:r>
          </w:p>
        </w:tc>
        <w:tc>
          <w:tcPr>
            <w:tcW w:w="520" w:type="dxa"/>
            <w:vAlign w:val="bottom"/>
          </w:tcPr>
          <w:p>
            <w:pPr>
              <w:spacing w:after="0"/>
              <w:rPr>
                <w:sz w:val="17"/>
                <w:szCs w:val="17"/>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0.90%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(10.00)%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Total NAV held by stockholder A</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106,875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6.88%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130,625</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193"/>
        </w:trPr>
        <w:tc>
          <w:tcPr>
            <w:tcW w:w="5240" w:type="dxa"/>
            <w:vAlign w:val="bottom"/>
          </w:tcPr>
          <w:p>
            <w:pPr>
              <w:spacing w:after="0"/>
              <w:rPr>
                <w:sz w:val="20"/>
                <w:szCs w:val="20"/>
                <w:color w:val="auto"/>
              </w:rPr>
            </w:pPr>
            <w:r>
              <w:rPr>
                <w:rFonts w:ascii="Arial" w:cs="Arial" w:eastAsia="Arial" w:hAnsi="Arial"/>
                <w:sz w:val="16"/>
                <w:szCs w:val="16"/>
                <w:color w:val="auto"/>
                <w:w w:val="94"/>
              </w:rPr>
              <w:t>Total investment by stockholder A (assumed to be $10.00 per share on shares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160"/>
              <w:spacing w:after="0"/>
              <w:rPr>
                <w:sz w:val="20"/>
                <w:szCs w:val="20"/>
                <w:color w:val="auto"/>
              </w:rPr>
            </w:pPr>
            <w:r>
              <w:rPr>
                <w:rFonts w:ascii="Arial" w:cs="Arial" w:eastAsia="Arial" w:hAnsi="Arial"/>
                <w:sz w:val="16"/>
                <w:szCs w:val="16"/>
                <w:color w:val="auto"/>
              </w:rPr>
              <w:t>held prior to sale)</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100,000</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109,863</w:t>
            </w: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9.86%</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129,588</w:t>
            </w:r>
          </w:p>
        </w:tc>
        <w:tc>
          <w:tcPr>
            <w:tcW w:w="5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05"/>
        </w:trPr>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w w:val="99"/>
              </w:rPr>
              <w:t>Total (dilution)/accretion to stockholder A (total NAV less total investment)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(2,988)</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9.50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w:t>
            </w:r>
          </w:p>
        </w:tc>
        <w:tc>
          <w:tcPr>
            <w:tcW w:w="5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240" w:type="dxa"/>
            <w:vAlign w:val="bottom"/>
          </w:tcPr>
          <w:p>
            <w:pPr>
              <w:ind w:left="320"/>
              <w:spacing w:after="0"/>
              <w:rPr>
                <w:sz w:val="20"/>
                <w:szCs w:val="20"/>
                <w:color w:val="auto"/>
              </w:rPr>
            </w:pPr>
            <w:r>
              <w:rPr>
                <w:rFonts w:ascii="Arial" w:cs="Arial" w:eastAsia="Arial" w:hAnsi="Arial"/>
                <w:sz w:val="16"/>
                <w:szCs w:val="16"/>
                <w:color w:val="auto"/>
                <w:w w:val="97"/>
              </w:rPr>
              <w:t>Investment per share held by stockholder A (assumed to be $10.00 per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480"/>
              <w:spacing w:after="0"/>
              <w:rPr>
                <w:sz w:val="20"/>
                <w:szCs w:val="20"/>
                <w:color w:val="auto"/>
              </w:rPr>
            </w:pPr>
            <w:r>
              <w:rPr>
                <w:rFonts w:ascii="Arial" w:cs="Arial" w:eastAsia="Arial" w:hAnsi="Arial"/>
                <w:sz w:val="16"/>
                <w:szCs w:val="16"/>
                <w:color w:val="auto"/>
              </w:rPr>
              <w:t>share on shares held prior to sale)</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10.00</w:t>
            </w:r>
          </w:p>
        </w:tc>
        <w:tc>
          <w:tcPr>
            <w:tcW w:w="5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520"/>
              <w:spacing w:after="0"/>
              <w:rPr>
                <w:sz w:val="20"/>
                <w:szCs w:val="20"/>
                <w:color w:val="auto"/>
              </w:rPr>
            </w:pPr>
            <w:r>
              <w:rPr>
                <w:rFonts w:ascii="Arial" w:cs="Arial" w:eastAsia="Arial" w:hAnsi="Arial"/>
                <w:sz w:val="16"/>
                <w:szCs w:val="16"/>
                <w:color w:val="auto"/>
              </w:rPr>
              <w:t>9.77</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(2.30)%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9.42</w:t>
            </w:r>
          </w:p>
        </w:tc>
        <w:tc>
          <w:tcPr>
            <w:tcW w:w="5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196"/>
        </w:trPr>
        <w:tc>
          <w:tcPr>
            <w:tcW w:w="52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(Dilution)/accretion per share held by stockholder A (NAV per share less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(0.27)</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5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240" w:type="dxa"/>
            <w:vAlign w:val="bottom"/>
          </w:tcPr>
          <w:p>
            <w:pPr>
              <w:ind w:left="320"/>
              <w:spacing w:after="0"/>
              <w:rPr>
                <w:sz w:val="20"/>
                <w:szCs w:val="20"/>
                <w:color w:val="auto"/>
              </w:rPr>
            </w:pPr>
            <w:r>
              <w:rPr>
                <w:rFonts w:ascii="Arial" w:cs="Arial" w:eastAsia="Arial" w:hAnsi="Arial"/>
                <w:sz w:val="16"/>
                <w:szCs w:val="16"/>
                <w:color w:val="auto"/>
                <w:w w:val="97"/>
              </w:rPr>
              <w:t>Percentage (dilution)/accretion to stockholder A ((dilution)/accretion per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24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(2.76)%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84"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Investors who are not currently stockholders, but who participate in an offering below NAV and whose investment per share is greater than the resulting NAV per share due to any underwriting discounts and commissions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any underwriting discounts and commissions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offerings below NAV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Their decrease could be more pronounced as the size of the offering and level of discounts increases.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 million in total assets and $5.0 million in total liabilities. The current NAV and NAV per share are thus $10.0 million and $10.00, respectively. The table below illustrates the (dilutive) and accretive effects on a stockholder A at (1) an offering of 50,000 shares (5% of the outstanding shares) at $9.50 per share after any underwriting discounts and commissions (a 5% discount from NAV); (2) an offering of 100,000 shares (10% of the outstanding shares) at $9.00 per share after any underwriting discounts and commissions (a 10% discount from NAV); and (3) an offering of 250,000 shares (25% of the outstanding shares) at $7.50 per share after any underwriting discounts and commissions (a 25% discount from NAV).</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1</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2"/>
              </w:rPr>
              <w:t>Example 2</w:t>
            </w: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left="321"/>
              <w:spacing w:after="0"/>
              <w:rPr>
                <w:sz w:val="20"/>
                <w:szCs w:val="20"/>
                <w:color w:val="auto"/>
              </w:rPr>
            </w:pPr>
            <w:r>
              <w:rPr>
                <w:rFonts w:ascii="Arial" w:cs="Arial" w:eastAsia="Arial" w:hAnsi="Arial"/>
                <w:sz w:val="14"/>
                <w:szCs w:val="14"/>
                <w:b w:val="1"/>
                <w:bCs w:val="1"/>
                <w:color w:val="auto"/>
                <w:w w:val="95"/>
              </w:rPr>
              <w:t>Example 3</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5% Offering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0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10% Offering</w:t>
            </w:r>
          </w:p>
        </w:tc>
        <w:tc>
          <w:tcPr>
            <w:tcW w:w="80" w:type="dxa"/>
            <w:vAlign w:val="bottom"/>
          </w:tcPr>
          <w:p>
            <w:pPr>
              <w:spacing w:after="0"/>
              <w:rPr>
                <w:sz w:val="12"/>
                <w:szCs w:val="12"/>
                <w:color w:val="auto"/>
              </w:rPr>
            </w:pPr>
          </w:p>
        </w:tc>
        <w:tc>
          <w:tcPr>
            <w:tcW w:w="18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25% Offering</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80" w:type="dxa"/>
            <w:vAlign w:val="bottom"/>
          </w:tcPr>
          <w:p>
            <w:pPr>
              <w:spacing w:after="0"/>
              <w:rPr>
                <w:sz w:val="14"/>
                <w:szCs w:val="14"/>
                <w:color w:val="auto"/>
              </w:rPr>
            </w:pPr>
          </w:p>
        </w:tc>
        <w:tc>
          <w:tcPr>
            <w:tcW w:w="19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at 5% Discount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6"/>
              </w:rPr>
              <w:t>at 10% Discount</w:t>
            </w:r>
          </w:p>
        </w:tc>
        <w:tc>
          <w:tcPr>
            <w:tcW w:w="80" w:type="dxa"/>
            <w:vAlign w:val="bottom"/>
          </w:tcPr>
          <w:p>
            <w:pPr>
              <w:spacing w:after="0"/>
              <w:rPr>
                <w:sz w:val="14"/>
                <w:szCs w:val="14"/>
                <w:color w:val="auto"/>
              </w:rPr>
            </w:pPr>
          </w:p>
        </w:tc>
        <w:tc>
          <w:tcPr>
            <w:tcW w:w="18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at 25% Discount</w:t>
            </w: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18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Following</w:t>
            </w:r>
          </w:p>
        </w:tc>
        <w:tc>
          <w:tcPr>
            <w:tcW w:w="46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500"/>
              <w:spacing w:after="0" w:line="119" w:lineRule="exact"/>
              <w:rPr>
                <w:sz w:val="20"/>
                <w:szCs w:val="20"/>
                <w:color w:val="auto"/>
              </w:rPr>
            </w:pPr>
            <w:r>
              <w:rPr>
                <w:rFonts w:ascii="Arial" w:cs="Arial" w:eastAsia="Arial" w:hAnsi="Arial"/>
                <w:sz w:val="13"/>
                <w:szCs w:val="13"/>
                <w:b w:val="1"/>
                <w:bCs w:val="1"/>
                <w:color w:val="auto"/>
              </w:rPr>
              <w:t>Following</w:t>
            </w:r>
          </w:p>
        </w:tc>
        <w:tc>
          <w:tcPr>
            <w:tcW w:w="480" w:type="dxa"/>
            <w:vAlign w:val="bottom"/>
            <w:tcBorders>
              <w:top w:val="single" w:sz="8" w:color="auto"/>
            </w:tcBorders>
          </w:tcPr>
          <w:p>
            <w:pPr>
              <w:jc w:val="right"/>
              <w:ind w:right="8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Arial" w:cs="Arial" w:eastAsia="Arial" w:hAnsi="Arial"/>
                <w:sz w:val="14"/>
                <w:szCs w:val="14"/>
                <w:b w:val="1"/>
                <w:bCs w:val="1"/>
                <w:color w:val="auto"/>
              </w:rPr>
              <w:t>Below NAV</w:t>
            </w:r>
          </w:p>
        </w:tc>
        <w:tc>
          <w:tcPr>
            <w:tcW w:w="80" w:type="dxa"/>
            <w:vAlign w:val="bottom"/>
          </w:tcPr>
          <w:p>
            <w:pPr>
              <w:spacing w:after="0"/>
              <w:rPr>
                <w:sz w:val="14"/>
                <w:szCs w:val="14"/>
                <w:color w:val="auto"/>
              </w:rPr>
            </w:pPr>
          </w:p>
        </w:tc>
        <w:tc>
          <w:tcPr>
            <w:tcW w:w="11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Change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Sale</w:t>
            </w:r>
          </w:p>
        </w:tc>
        <w:tc>
          <w:tcPr>
            <w:tcW w:w="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83"/>
        </w:trPr>
        <w:tc>
          <w:tcPr>
            <w:tcW w:w="36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Offering Price</w:t>
            </w: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Price per share to public</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10.00</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7.89</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Net offering proceeds per share to issuer</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9.50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7.50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b w:val="1"/>
                <w:bCs w:val="1"/>
                <w:color w:val="auto"/>
              </w:rPr>
              <w:t>Decrease to NAV</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Total shares outstanding</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w w:val="87"/>
              </w:rPr>
              <w:t>1,050,000</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1,100,000</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10.00%</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w w:val="89"/>
              </w:rPr>
              <w:t>1,250,000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NAV per share</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9.98</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(0.20)%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9.91</w:t>
            </w:r>
          </w:p>
        </w:tc>
        <w:tc>
          <w:tcPr>
            <w:tcW w:w="46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6"/>
                <w:szCs w:val="16"/>
                <w:color w:val="auto"/>
              </w:rPr>
              <w:t>(0.90)%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9.50</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Dilution to Stockholder A</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color w:val="auto"/>
              </w:rPr>
              <w:t>Shares held by stockholder A</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500</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1,000</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2,500</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spacing w:after="0"/>
              <w:rPr>
                <w:sz w:val="20"/>
                <w:szCs w:val="20"/>
                <w:color w:val="auto"/>
              </w:rPr>
            </w:pPr>
            <w:r>
              <w:rPr>
                <w:rFonts w:ascii="Arial" w:cs="Arial" w:eastAsia="Arial" w:hAnsi="Arial"/>
                <w:sz w:val="16"/>
                <w:szCs w:val="16"/>
                <w:color w:val="auto"/>
              </w:rPr>
              <w:t>Percentage held by stockholder A</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0.05%</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0.90%</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0.20%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b w:val="1"/>
                <w:bCs w:val="1"/>
                <w:color w:val="auto"/>
              </w:rPr>
              <w:t>Total Asset Values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NAV held by stockholder A</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4,990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9,910</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23,750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3660" w:type="dxa"/>
            <w:vAlign w:val="bottom"/>
          </w:tcPr>
          <w:p>
            <w:pPr>
              <w:ind w:left="320"/>
              <w:spacing w:after="0"/>
              <w:rPr>
                <w:sz w:val="20"/>
                <w:szCs w:val="20"/>
                <w:color w:val="auto"/>
              </w:rPr>
            </w:pPr>
            <w:r>
              <w:rPr>
                <w:rFonts w:ascii="Arial" w:cs="Arial" w:eastAsia="Arial" w:hAnsi="Arial"/>
                <w:sz w:val="16"/>
                <w:szCs w:val="16"/>
                <w:color w:val="auto"/>
              </w:rPr>
              <w:t>Total investment by stockholder A</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5,000</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9,470</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19,725</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Total (dilution)/accretion to stockholder A</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NAV less total investment)</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(10)</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4,025</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spacing w:after="0"/>
              <w:rPr>
                <w:sz w:val="20"/>
                <w:szCs w:val="20"/>
                <w:color w:val="auto"/>
              </w:rPr>
            </w:pPr>
            <w:r>
              <w:rPr>
                <w:rFonts w:ascii="Arial" w:cs="Arial" w:eastAsia="Arial" w:hAnsi="Arial"/>
                <w:sz w:val="16"/>
                <w:szCs w:val="16"/>
                <w:b w:val="1"/>
                <w:bCs w:val="1"/>
                <w:color w:val="auto"/>
              </w:rPr>
              <w:t>Per Share Amounts</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NAV per share held by stockholder A</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9.98</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4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9.50</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3660" w:type="dxa"/>
            <w:vAlign w:val="bottom"/>
          </w:tcPr>
          <w:p>
            <w:pPr>
              <w:ind w:left="320"/>
              <w:spacing w:after="0"/>
              <w:rPr>
                <w:sz w:val="20"/>
                <w:szCs w:val="20"/>
                <w:color w:val="auto"/>
              </w:rPr>
            </w:pPr>
            <w:r>
              <w:rPr>
                <w:rFonts w:ascii="Arial" w:cs="Arial" w:eastAsia="Arial" w:hAnsi="Arial"/>
                <w:sz w:val="16"/>
                <w:szCs w:val="16"/>
                <w:color w:val="auto"/>
              </w:rPr>
              <w:t>Investment per share held by stockholder A</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60"/>
              <w:spacing w:after="0"/>
              <w:rPr>
                <w:sz w:val="20"/>
                <w:szCs w:val="20"/>
                <w:color w:val="auto"/>
              </w:rPr>
            </w:pPr>
            <w:r>
              <w:rPr>
                <w:rFonts w:ascii="Arial" w:cs="Arial" w:eastAsia="Arial" w:hAnsi="Arial"/>
                <w:sz w:val="16"/>
                <w:szCs w:val="16"/>
                <w:color w:val="auto"/>
              </w:rPr>
              <w:t>10.00</w:t>
            </w:r>
          </w:p>
        </w:tc>
        <w:tc>
          <w:tcPr>
            <w:tcW w:w="8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9.47</w:t>
            </w:r>
          </w:p>
        </w:tc>
        <w:tc>
          <w:tcPr>
            <w:tcW w:w="460" w:type="dxa"/>
            <w:vAlign w:val="bottom"/>
          </w:tcPr>
          <w:p>
            <w:pPr>
              <w:spacing w:after="0"/>
              <w:rPr>
                <w:sz w:val="17"/>
                <w:szCs w:val="17"/>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7.89</w:t>
            </w: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(Dilution)/accretion per share held by</w:t>
            </w: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stockholder A (NAV per share less</w:t>
            </w: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investment per share)</w:t>
            </w:r>
          </w:p>
        </w:tc>
        <w:tc>
          <w:tcPr>
            <w:tcW w:w="1120" w:type="dxa"/>
            <w:vAlign w:val="bottom"/>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(0.02)</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1.61</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660" w:type="dxa"/>
            <w:vAlign w:val="bottom"/>
          </w:tcPr>
          <w:p>
            <w:pPr>
              <w:ind w:left="320"/>
              <w:spacing w:after="0"/>
              <w:rPr>
                <w:sz w:val="20"/>
                <w:szCs w:val="20"/>
                <w:color w:val="auto"/>
              </w:rPr>
            </w:pPr>
            <w:r>
              <w:rPr>
                <w:rFonts w:ascii="Arial" w:cs="Arial" w:eastAsia="Arial" w:hAnsi="Arial"/>
                <w:sz w:val="16"/>
                <w:szCs w:val="16"/>
                <w:color w:val="auto"/>
              </w:rPr>
              <w:t>Percentage (dilution)/accretion to</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480"/>
              <w:spacing w:after="0"/>
              <w:rPr>
                <w:sz w:val="20"/>
                <w:szCs w:val="20"/>
                <w:color w:val="auto"/>
              </w:rPr>
            </w:pPr>
            <w:r>
              <w:rPr>
                <w:rFonts w:ascii="Arial" w:cs="Arial" w:eastAsia="Arial" w:hAnsi="Arial"/>
                <w:sz w:val="16"/>
                <w:szCs w:val="16"/>
                <w:color w:val="auto"/>
              </w:rPr>
              <w:t>stockholder A ((dilution)/accretion per</w:t>
            </w: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60" w:type="dxa"/>
            <w:vAlign w:val="bottom"/>
          </w:tcPr>
          <w:p>
            <w:pPr>
              <w:ind w:left="480"/>
              <w:spacing w:after="0"/>
              <w:rPr>
                <w:sz w:val="20"/>
                <w:szCs w:val="20"/>
                <w:color w:val="auto"/>
              </w:rPr>
            </w:pPr>
            <w:r>
              <w:rPr>
                <w:rFonts w:ascii="Arial" w:cs="Arial" w:eastAsia="Arial" w:hAnsi="Arial"/>
                <w:sz w:val="16"/>
                <w:szCs w:val="16"/>
                <w:color w:val="auto"/>
              </w:rPr>
              <w:t>share divided by investment per share)</w:t>
            </w:r>
          </w:p>
        </w:tc>
        <w:tc>
          <w:tcPr>
            <w:tcW w:w="1120" w:type="dxa"/>
            <w:vAlign w:val="bottom"/>
          </w:tcPr>
          <w:p>
            <w:pPr>
              <w:ind w:left="5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(0.20)%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6"/>
                <w:szCs w:val="16"/>
                <w:color w:val="auto"/>
              </w:rPr>
              <w:t>4.65%</w:t>
            </w:r>
          </w:p>
        </w:tc>
        <w:tc>
          <w:tcPr>
            <w:tcW w:w="80" w:type="dxa"/>
            <w:vAlign w:val="bottom"/>
          </w:tcPr>
          <w:p>
            <w:pPr>
              <w:spacing w:after="0"/>
              <w:rPr>
                <w:sz w:val="17"/>
                <w:szCs w:val="17"/>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w:t>
      </w:r>
    </w:p>
    <w:p>
      <w:pPr>
        <w:spacing w:after="0" w:line="188"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Each year, a Form 1099-DIV will be sent to stockholders subject to information reporting that will state the amount and composition of distributions and provide information with respect to appropriate tax treatment of our distributions.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tax characteristics of distributions declared, in accordance with Section 19(a) of the 1940 Act, during the years ended September 30, 2019 and</w:t>
      </w:r>
    </w:p>
    <w:p>
      <w:pPr>
        <w:spacing w:after="0" w:line="46" w:lineRule="exact"/>
        <w:rPr>
          <w:sz w:val="20"/>
          <w:szCs w:val="20"/>
          <w:color w:val="auto"/>
        </w:rPr>
      </w:pPr>
    </w:p>
    <w:p>
      <w:pPr>
        <w:ind w:left="120" w:right="360"/>
        <w:spacing w:after="0" w:line="253" w:lineRule="auto"/>
        <w:rPr>
          <w:sz w:val="20"/>
          <w:szCs w:val="20"/>
          <w:color w:val="auto"/>
        </w:rPr>
      </w:pPr>
      <w:r>
        <w:rPr>
          <w:rFonts w:ascii="Arial" w:cs="Arial" w:eastAsia="Arial" w:hAnsi="Arial"/>
          <w:sz w:val="18"/>
          <w:szCs w:val="18"/>
          <w:color w:val="auto"/>
        </w:rPr>
        <w:t>2018 from ordinary income (including short-term gains, if any), totaled $44.2 million and $42.8 million, or $1.14 and $1.14 per share, respectively, based on the weighted average shares outstanding for the respective periods. Additionally, for the year ended September 30, 2019 and 2018, we had long-term capital gain distributions of zero and $0.8 million, or zero and $0.02 per share, respectively, based on the weighted average shares outstanding.</w:t>
      </w:r>
    </w:p>
    <w:p>
      <w:pPr>
        <w:spacing w:after="0" w:line="193"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when applicable to us as a BDC under the 1940 Act and due to provisions in future credit facilities. If we do not distribute a certain minimum percentage of our income annually, we will suffer adverse tax consequences, including possible loss of our ability to be subject to tax as a RIC. We cannot assure stockholders that they will receive any distributions or distributions at a particular level.</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PORTFOLIO COMPANIES</w:t>
      </w:r>
    </w:p>
    <w:p>
      <w:pPr>
        <w:spacing w:after="0" w:line="229"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The following is a listing of each portfolio company or its affiliate, together referred to as portfolio companies, in which we had an investment as of September 30, 2019.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Consolidated Financial Statements included in our most recent Annual Report on Form 10-K.</w:t>
      </w:r>
    </w:p>
    <w:p>
      <w:pPr>
        <w:spacing w:after="0" w:line="188"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and, therefore, are deemed to be an affiliated person under the 1940 Act; and “Companies 25% or more owned” which represent portfolio companies where we directly or indirectly own 25% or more of the outstanding voting securities of such portfolio company and, therefore, are generally presumed to be controlled by us under the 1940 Act. We make available significant managerial assistance to our portfolio companies. Certain assets are pledged as collateral under our Credit Facility or secure the 2031 Asset-Backed Debt as disclosed in our Consolidated Schedule of Investments. Unless otherwise noted, we held no voting board membership on any of our portfolio companies.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Type of Investment,</w:t>
            </w:r>
          </w:p>
        </w:tc>
        <w:tc>
          <w:tcPr>
            <w:tcW w:w="12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380" w:type="dxa"/>
            <w:vAlign w:val="bottom"/>
            <w:gridSpan w:val="2"/>
            <w:vMerge w:val="continue"/>
          </w:tcPr>
          <w:p>
            <w:pPr>
              <w:spacing w:after="0"/>
              <w:rPr>
                <w:sz w:val="12"/>
                <w:szCs w:val="12"/>
                <w:color w:val="auto"/>
              </w:rPr>
            </w:pPr>
          </w:p>
        </w:tc>
        <w:tc>
          <w:tcPr>
            <w:tcW w:w="2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Nature of Business</w:t>
            </w:r>
          </w:p>
        </w:tc>
        <w:tc>
          <w:tcPr>
            <w:tcW w:w="3440" w:type="dxa"/>
            <w:vAlign w:val="bottom"/>
            <w:gridSpan w:val="2"/>
            <w:vMerge w:val="continue"/>
          </w:tcPr>
          <w:p>
            <w:pPr>
              <w:spacing w:after="0"/>
              <w:rPr>
                <w:sz w:val="12"/>
                <w:szCs w:val="12"/>
                <w:color w:val="auto"/>
              </w:rPr>
            </w:pPr>
          </w:p>
        </w:tc>
        <w:tc>
          <w:tcPr>
            <w:tcW w:w="1220" w:type="dxa"/>
            <w:vAlign w:val="bottom"/>
            <w:gridSpan w:val="2"/>
          </w:tcPr>
          <w:p>
            <w:pPr>
              <w:jc w:val="right"/>
              <w:ind w:right="48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150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3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22"/>
        </w:trPr>
        <w:tc>
          <w:tcPr>
            <w:tcW w:w="338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8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32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380" w:type="dxa"/>
            <w:vAlign w:val="bottom"/>
            <w:gridSpan w:val="2"/>
          </w:tcPr>
          <w:p>
            <w:pPr>
              <w:spacing w:after="0" w:line="130" w:lineRule="exact"/>
              <w:rPr>
                <w:sz w:val="20"/>
                <w:szCs w:val="20"/>
                <w:color w:val="auto"/>
              </w:rPr>
            </w:pPr>
            <w:r>
              <w:rPr>
                <w:rFonts w:ascii="Arial" w:cs="Arial" w:eastAsia="Arial" w:hAnsi="Arial"/>
                <w:sz w:val="14"/>
                <w:szCs w:val="14"/>
                <w:color w:val="auto"/>
              </w:rPr>
              <w:t>18 Fremont Street Acquisition, LLC</w:t>
            </w:r>
          </w:p>
        </w:tc>
        <w:tc>
          <w:tcPr>
            <w:tcW w:w="206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1"/>
              </w:rPr>
              <w:t>Hotels, Restaurants and Leisure</w:t>
            </w:r>
          </w:p>
        </w:tc>
        <w:tc>
          <w:tcPr>
            <w:tcW w:w="344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 1M L+800, 08/11/2025</w:t>
            </w:r>
          </w:p>
        </w:tc>
        <w:tc>
          <w:tcPr>
            <w:tcW w:w="1220" w:type="dxa"/>
            <w:vAlign w:val="bottom"/>
            <w:gridSpan w:val="2"/>
          </w:tcPr>
          <w:p>
            <w:pPr>
              <w:jc w:val="right"/>
              <w:ind w:right="46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30"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40"/>
              <w:spacing w:after="0" w:line="130"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1 Fremont Street</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Las Vegas, NV 89101</w:t>
            </w: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Affinion Group Holdings, Inc.</w:t>
            </w:r>
          </w:p>
        </w:tc>
        <w:tc>
          <w:tcPr>
            <w:tcW w:w="20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Consumer Goods: Durable</w:t>
            </w:r>
          </w:p>
        </w:tc>
        <w:tc>
          <w:tcPr>
            <w:tcW w:w="34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87"/>
              </w:rPr>
              <w:t>Warrants</w:t>
            </w:r>
          </w:p>
        </w:tc>
        <w:tc>
          <w:tcPr>
            <w:tcW w:w="1220" w:type="dxa"/>
            <w:vAlign w:val="bottom"/>
            <w:gridSpan w:val="2"/>
            <w:shd w:val="clear" w:color="auto" w:fill="CCEEFF"/>
          </w:tcPr>
          <w:p>
            <w:pPr>
              <w:jc w:val="right"/>
              <w:ind w:right="4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Connecticut Avenue</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Norwalk, CT 06850</w:t>
            </w: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80" w:type="dxa"/>
            <w:vAlign w:val="bottom"/>
            <w:gridSpan w:val="2"/>
          </w:tcPr>
          <w:p>
            <w:pPr>
              <w:spacing w:after="0"/>
              <w:rPr>
                <w:sz w:val="20"/>
                <w:szCs w:val="20"/>
                <w:color w:val="auto"/>
              </w:rPr>
            </w:pPr>
            <w:r>
              <w:rPr>
                <w:rFonts w:ascii="Arial" w:cs="Arial" w:eastAsia="Arial" w:hAnsi="Arial"/>
                <w:sz w:val="14"/>
                <w:szCs w:val="14"/>
                <w:color w:val="auto"/>
              </w:rPr>
              <w:t>AG Investco LP</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Software</w:t>
            </w:r>
          </w:p>
        </w:tc>
        <w:tc>
          <w:tcPr>
            <w:tcW w:w="344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2.1%</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251 Little Falls Drive</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Herndon, VA 19808</w:t>
            </w: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Altamira Technologies, LLC</w:t>
            </w:r>
          </w:p>
        </w:tc>
        <w:tc>
          <w:tcPr>
            <w:tcW w:w="20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IT Services</w:t>
            </w:r>
          </w:p>
        </w:tc>
        <w:tc>
          <w:tcPr>
            <w:tcW w:w="34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3M L+600, 07/24/2025</w:t>
            </w:r>
          </w:p>
        </w:tc>
        <w:tc>
          <w:tcPr>
            <w:tcW w:w="122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7,938</w:t>
            </w: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(Altamira Intermediate Company II, Inc.)</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Common Equity</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8201 Greensboro Drive, Suite 800</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80" w:type="dxa"/>
            <w:vAlign w:val="bottom"/>
            <w:gridSpan w:val="2"/>
          </w:tcPr>
          <w:p>
            <w:pPr>
              <w:spacing w:after="0"/>
              <w:rPr>
                <w:sz w:val="20"/>
                <w:szCs w:val="20"/>
                <w:color w:val="auto"/>
              </w:rPr>
            </w:pPr>
            <w:r>
              <w:rPr>
                <w:rFonts w:ascii="Arial" w:cs="Arial" w:eastAsia="Arial" w:hAnsi="Arial"/>
                <w:sz w:val="14"/>
                <w:szCs w:val="14"/>
                <w:color w:val="auto"/>
              </w:rPr>
              <w:t>American Auto Auction Group, LLC</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Transportation: Consumer</w:t>
            </w:r>
          </w:p>
        </w:tc>
        <w:tc>
          <w:tcPr>
            <w:tcW w:w="34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 3M L+475, 01/02/2024</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5,740</w:t>
            </w:r>
          </w:p>
        </w:tc>
        <w:tc>
          <w:tcPr>
            <w:tcW w:w="0" w:type="dxa"/>
            <w:vAlign w:val="bottom"/>
          </w:tcPr>
          <w:p>
            <w:pPr>
              <w:spacing w:after="0"/>
              <w:rPr>
                <w:sz w:val="1"/>
                <w:szCs w:val="1"/>
                <w:color w:val="auto"/>
              </w:rPr>
            </w:pPr>
          </w:p>
        </w:tc>
      </w:tr>
      <w:tr>
        <w:trPr>
          <w:trHeight w:val="149"/>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10333 N. Meridian, Suite 200</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Indianapolis, IN 46290</w:t>
            </w: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American Insulated Glass, LLC</w:t>
            </w:r>
          </w:p>
        </w:tc>
        <w:tc>
          <w:tcPr>
            <w:tcW w:w="206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5"/>
              </w:rPr>
              <w:t>Building Products</w:t>
            </w:r>
          </w:p>
        </w:tc>
        <w:tc>
          <w:tcPr>
            <w:tcW w:w="34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3M L+550, 12/21/2023</w:t>
            </w:r>
          </w:p>
        </w:tc>
        <w:tc>
          <w:tcPr>
            <w:tcW w:w="122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0.6%</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15,023</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 Dawgs Capital III, LP)</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4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3965 E. Conley Road</w:t>
            </w:r>
          </w:p>
        </w:tc>
        <w:tc>
          <w:tcPr>
            <w:tcW w:w="1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Conley, GA 30288</w:t>
            </w: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380" w:type="dxa"/>
            <w:vAlign w:val="bottom"/>
            <w:gridSpan w:val="2"/>
          </w:tcPr>
          <w:p>
            <w:pPr>
              <w:spacing w:after="0"/>
              <w:rPr>
                <w:sz w:val="20"/>
                <w:szCs w:val="20"/>
                <w:color w:val="auto"/>
              </w:rPr>
            </w:pPr>
            <w:r>
              <w:rPr>
                <w:rFonts w:ascii="Arial" w:cs="Arial" w:eastAsia="Arial" w:hAnsi="Arial"/>
                <w:sz w:val="14"/>
                <w:szCs w:val="14"/>
                <w:color w:val="auto"/>
              </w:rPr>
              <w:t>American Teleconferencing Services, Ltd.</w:t>
            </w:r>
          </w:p>
        </w:tc>
        <w:tc>
          <w:tcPr>
            <w:tcW w:w="20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Telecommunications</w:t>
            </w:r>
          </w:p>
        </w:tc>
        <w:tc>
          <w:tcPr>
            <w:tcW w:w="344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First Lien Secured Debt, 3M L+650, 12/08/2021</w:t>
            </w:r>
          </w:p>
        </w:tc>
        <w:tc>
          <w:tcPr>
            <w:tcW w:w="122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6,771</w:t>
            </w:r>
          </w:p>
        </w:tc>
        <w:tc>
          <w:tcPr>
            <w:tcW w:w="0" w:type="dxa"/>
            <w:vAlign w:val="bottom"/>
          </w:tcPr>
          <w:p>
            <w:pPr>
              <w:spacing w:after="0"/>
              <w:rPr>
                <w:sz w:val="1"/>
                <w:szCs w:val="1"/>
                <w:color w:val="auto"/>
              </w:rPr>
            </w:pPr>
          </w:p>
        </w:tc>
      </w:tr>
      <w:tr>
        <w:trPr>
          <w:trHeight w:val="148"/>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3280 Peachtree Road, NE</w:t>
            </w:r>
          </w:p>
        </w:tc>
        <w:tc>
          <w:tcPr>
            <w:tcW w:w="1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Atlanta, GA 30305</w:t>
            </w: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3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API Technologies Corp.</w:t>
            </w:r>
          </w:p>
        </w:tc>
        <w:tc>
          <w:tcPr>
            <w:tcW w:w="206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3"/>
              </w:rPr>
              <w:t>Electronic Equipment,</w:t>
            </w:r>
          </w:p>
        </w:tc>
        <w:tc>
          <w:tcPr>
            <w:tcW w:w="344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4"/>
              </w:rPr>
              <w:t>First Lien Secured Debt, 1M L+425, 05/11/2026</w:t>
            </w:r>
          </w:p>
        </w:tc>
        <w:tc>
          <w:tcPr>
            <w:tcW w:w="1220" w:type="dxa"/>
            <w:vAlign w:val="bottom"/>
            <w:gridSpan w:val="2"/>
            <w:shd w:val="clear" w:color="auto" w:fill="CCEEFF"/>
          </w:tcPr>
          <w:p>
            <w:pPr>
              <w:jc w:val="right"/>
              <w:ind w:right="4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5,783</w:t>
            </w:r>
          </w:p>
        </w:tc>
        <w:tc>
          <w:tcPr>
            <w:tcW w:w="0" w:type="dxa"/>
            <w:vAlign w:val="bottom"/>
          </w:tcPr>
          <w:p>
            <w:pPr>
              <w:spacing w:after="0"/>
              <w:rPr>
                <w:sz w:val="1"/>
                <w:szCs w:val="1"/>
                <w:color w:val="auto"/>
              </w:rPr>
            </w:pPr>
          </w:p>
        </w:tc>
      </w:tr>
      <w:tr>
        <w:trPr>
          <w:trHeight w:val="148"/>
        </w:trPr>
        <w:tc>
          <w:tcPr>
            <w:tcW w:w="3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4705 S. Apopka Vineland Rd., Suite 210</w:t>
            </w:r>
          </w:p>
        </w:tc>
        <w:tc>
          <w:tcPr>
            <w:tcW w:w="20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1"/>
              </w:rPr>
              <w:t>Instruments, and Components</w:t>
            </w:r>
          </w:p>
        </w:tc>
        <w:tc>
          <w:tcPr>
            <w:tcW w:w="3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3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Orlando, FL 32819</w:t>
            </w:r>
          </w:p>
        </w:tc>
        <w:tc>
          <w:tcPr>
            <w:tcW w:w="1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6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Nature of Business</w:t>
            </w:r>
          </w:p>
        </w:tc>
        <w:tc>
          <w:tcPr>
            <w:tcW w:w="296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18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8"/>
        </w:trPr>
        <w:tc>
          <w:tcPr>
            <w:tcW w:w="406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BEI Precision Systems &amp; Space Company, Inc.</w:t>
            </w:r>
          </w:p>
        </w:tc>
        <w:tc>
          <w:tcPr>
            <w:tcW w:w="15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Aerospace and Defense</w:t>
            </w:r>
          </w:p>
        </w:tc>
        <w:tc>
          <w:tcPr>
            <w:tcW w:w="260" w:type="dxa"/>
            <w:vAlign w:val="bottom"/>
            <w:tcBorders>
              <w:top w:val="single" w:sz="8" w:color="CCEEFF"/>
            </w:tcBorders>
            <w:shd w:val="clear" w:color="auto" w:fill="CCEEFF"/>
          </w:tcPr>
          <w:p>
            <w:pPr>
              <w:spacing w:after="0"/>
              <w:rPr>
                <w:sz w:val="9"/>
                <w:szCs w:val="9"/>
                <w:color w:val="auto"/>
              </w:rPr>
            </w:pPr>
          </w:p>
        </w:tc>
        <w:tc>
          <w:tcPr>
            <w:tcW w:w="26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11,613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1100 Murphy Drive</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L+550, 04/28/2023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Maumelle, AR 72113</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By Light Professional IT Services,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High Tech Industries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22,316</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(By Light Investco LP)</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L+625, 05/16/2022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3101 Wilson Boulevard, Suite 850</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Arlington, VA 22201</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Cadence Aerospace,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Aerospace and Defense</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2,855</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610 Newport Center Drive, Suite 950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L+650, 11/14/2023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Newport Beach, CA 92660</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Cano Health, LLC</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Healthcare and</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0.3%</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23,913</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(ITC Rumba, LLC)</w:t>
            </w:r>
          </w:p>
        </w:tc>
        <w:tc>
          <w:tcPr>
            <w:tcW w:w="18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Pharmaceuticals</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L+650, 12/23/2021</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680 N. University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Pembroke Pines, FL 33024</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Cardenas Markets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3,720</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2501 East Guasti Road</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L+575, 11/29/2023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Ontario, CA 91761</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CHA Holdings, Inc.</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Environmental Industries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7,329</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575 Broadway, Suite 301</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L+450, 04/10/2025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Albany, NY 12207</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Challenger Performance Optimization, Inc.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Wilson Blvd.</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L+575, 08/31/2023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Arlington, VA 22209</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CI (Summit) Investment Holdings,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Construction and Building</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575 Minnehaha Ave. W.</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St. Paul, MN 55103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Condor Borrower,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3"/>
              </w:rPr>
              <w:t>High Tech Industries</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1,737</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Holdings Limited</w:t>
            </w:r>
            <w:r>
              <w:rPr>
                <w:rFonts w:ascii="Arial" w:cs="Arial" w:eastAsia="Arial" w:hAnsi="Arial"/>
                <w:sz w:val="12"/>
                <w:szCs w:val="12"/>
                <w:color w:val="auto"/>
              </w:rPr>
              <w:t>(3)</w:t>
            </w:r>
            <w:r>
              <w:rPr>
                <w:rFonts w:ascii="Arial" w:cs="Arial" w:eastAsia="Arial" w:hAnsi="Arial"/>
                <w:sz w:val="14"/>
                <w:szCs w:val="14"/>
                <w:color w:val="auto"/>
              </w:rPr>
              <w: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L+875, 04/25/2025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(Condor Top Holdco Limited</w:t>
            </w:r>
            <w:r>
              <w:rPr>
                <w:rFonts w:ascii="Arial" w:cs="Arial" w:eastAsia="Arial" w:hAnsi="Arial"/>
                <w:sz w:val="12"/>
                <w:szCs w:val="12"/>
                <w:color w:val="auto"/>
              </w:rPr>
              <w:t>(3)</w:t>
            </w:r>
            <w:r>
              <w:rPr>
                <w:rFonts w:ascii="Arial" w:cs="Arial" w:eastAsia="Arial" w:hAnsi="Arial"/>
                <w:sz w:val="14"/>
                <w:szCs w:val="14"/>
                <w:color w:val="auto"/>
              </w:rPr>
              <w: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 Becker Farm Road</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Roseland, NJ 07068</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Confluent Health, LLC</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Health Providers and</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3,940</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75 S English Station Road</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Services</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L+500, 06/24/2026</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Louisville, KY 40245</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DBI Holding,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3"/>
              </w:rPr>
              <w:t>Second Lien Secured Debt, 8.0% fixed PIK,</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17,153</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 North Conahan Drive</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02/01/2026</w:t>
            </w: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Hazleton, PA 18201</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DecoPac,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Beverage, Food and</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12,888</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(DecoPac Holdings Inc.)</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L+825, 03/31/2025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3500 Thurston Avenue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Anoka, MN 55303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Deva Holdings, Inc.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Consumer Goods:</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75 Spring Street, Floor 8</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Non-Durable</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L+550, 10/31/2023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10012</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Digital Room Holdings,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Media: Advertising,</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9,495</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8000 Haskell Ave.</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Printing and Publishing</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L+500, 05/22/2026</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Van Nuys, CA 91406</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60" w:type="dxa"/>
            <w:vAlign w:val="bottom"/>
            <w:gridSpan w:val="2"/>
            <w:vMerge w:val="continue"/>
          </w:tcPr>
          <w:p>
            <w:pPr>
              <w:spacing w:after="0"/>
              <w:rPr>
                <w:sz w:val="12"/>
                <w:szCs w:val="12"/>
                <w:color w:val="auto"/>
              </w:rPr>
            </w:pPr>
          </w:p>
        </w:tc>
        <w:tc>
          <w:tcPr>
            <w:tcW w:w="1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Nature of Business</w:t>
            </w:r>
          </w:p>
        </w:tc>
        <w:tc>
          <w:tcPr>
            <w:tcW w:w="2960" w:type="dxa"/>
            <w:vAlign w:val="bottom"/>
            <w:gridSpan w:val="2"/>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18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8"/>
        </w:trPr>
        <w:tc>
          <w:tcPr>
            <w:tcW w:w="406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Douglas Products and Packaging Company LLC</w:t>
            </w:r>
          </w:p>
        </w:tc>
        <w:tc>
          <w:tcPr>
            <w:tcW w:w="15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Chemicals, Plastics and</w:t>
            </w:r>
          </w:p>
        </w:tc>
        <w:tc>
          <w:tcPr>
            <w:tcW w:w="260" w:type="dxa"/>
            <w:vAlign w:val="bottom"/>
            <w:tcBorders>
              <w:top w:val="single" w:sz="8" w:color="CCEEFF"/>
            </w:tcBorders>
            <w:shd w:val="clear" w:color="auto" w:fill="CCEEFF"/>
          </w:tcPr>
          <w:p>
            <w:pPr>
              <w:spacing w:after="0"/>
              <w:rPr>
                <w:sz w:val="9"/>
                <w:szCs w:val="9"/>
                <w:color w:val="auto"/>
              </w:rPr>
            </w:pPr>
          </w:p>
        </w:tc>
        <w:tc>
          <w:tcPr>
            <w:tcW w:w="26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26,403</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(Douglas Sewer Intermediate, LLC)</w:t>
            </w:r>
          </w:p>
        </w:tc>
        <w:tc>
          <w:tcPr>
            <w:tcW w:w="182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1"/>
              </w:rPr>
              <w:t>Rubber</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L+575, 10/19/2022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(Plant Health Intermediate, Inc.)</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1550 East Old 210 Highway</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Liberty, MO 64068</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East Valley Tourist Development Authority</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Hotel, Gaming and</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18,406</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84245 Indio Springs Dr.</w:t>
            </w:r>
          </w:p>
        </w:tc>
        <w:tc>
          <w:tcPr>
            <w:tcW w:w="18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Leisure</w:t>
            </w: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L+800, 03/07/2022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Indio, CA 92203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eCommission Holding Corporation</w:t>
            </w:r>
            <w:r>
              <w:rPr>
                <w:rFonts w:ascii="Arial" w:cs="Arial" w:eastAsia="Arial" w:hAnsi="Arial"/>
                <w:sz w:val="12"/>
                <w:szCs w:val="12"/>
                <w:color w:val="auto"/>
              </w:rPr>
              <w:t>(3)</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2"/>
              </w:rPr>
              <w:t>Banking, Finance,</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21,935</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11612 Bee Caves Road, Building II, Suite 200</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2"/>
              </w:rPr>
              <w:t>Insurance &amp; Real Estate</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L+500, 10/05/2023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Austin, TX, 78738</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Education Networks of America,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Telecommunications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5"/>
              </w:rPr>
              <w:t>First Lien Secured Debt</w:t>
            </w:r>
            <w:r>
              <w:rPr>
                <w:rFonts w:ascii="Arial" w:cs="Arial" w:eastAsia="Arial" w:hAnsi="Arial"/>
                <w:sz w:val="12"/>
                <w:szCs w:val="12"/>
                <w:color w:val="auto"/>
                <w:w w:val="95"/>
              </w:rPr>
              <w:t>(4)</w:t>
            </w:r>
            <w:r>
              <w:rPr>
                <w:rFonts w:ascii="Arial" w:cs="Arial" w:eastAsia="Arial" w:hAnsi="Arial"/>
                <w:sz w:val="14"/>
                <w:szCs w:val="14"/>
                <w:color w:val="auto"/>
                <w:w w:val="95"/>
              </w:rPr>
              <w:t>, 1M L+750 (PIK</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12,528</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618 Grassmere Park Drive</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4"/>
              </w:rPr>
              <w:t>2.5%), 05/06/2021</w:t>
            </w: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Suite 12</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Nashville, TN 37211</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Efficient Collaborative Retail Marketing Company, LLC</w:t>
            </w:r>
          </w:p>
        </w:tc>
        <w:tc>
          <w:tcPr>
            <w:tcW w:w="182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Media: Diversified and</w:t>
            </w:r>
          </w:p>
        </w:tc>
        <w:tc>
          <w:tcPr>
            <w:tcW w:w="296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7,178</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27070 Miles Road, Suite A</w:t>
            </w:r>
          </w:p>
        </w:tc>
        <w:tc>
          <w:tcPr>
            <w:tcW w:w="182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Production</w:t>
            </w: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L+675, 06/15/2022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FlexPrint,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Professional Services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4,189</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2845 N. Omaha Street</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L+620, 01/02/2024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Mesa, AZ 85215</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Faraday Holdings,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5"/>
              </w:rPr>
              <w:t>Construction and Building</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1630 Faraday Avenue</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Carlsbad, CA 92008</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GCOM Software LLC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High Tech Industries</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14,346</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(GCOM InvestCo LP)</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1M L+625, 11/14/2022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24 Madison Avenue (Extension 4)</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Albany, NY 12203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Good2Grow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89"/>
              </w:rPr>
              <w:t>Beverages</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6,914</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2859 Paces Ferry Road SE #2100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3M L+425, 11/18/2024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30339</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GSM Holdings, Inc.</w:t>
            </w:r>
          </w:p>
        </w:tc>
        <w:tc>
          <w:tcPr>
            <w:tcW w:w="182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Consumer Goods: Durable</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3385 Roy Orr Blvd., Suite B</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L+450, 06/03/2024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Grand Prairie, TX 75050</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HW Holdco,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Media</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7,701</w:t>
            </w:r>
          </w:p>
        </w:tc>
        <w:tc>
          <w:tcPr>
            <w:tcW w:w="0" w:type="dxa"/>
            <w:vAlign w:val="bottom"/>
          </w:tcPr>
          <w:p>
            <w:pPr>
              <w:spacing w:after="0"/>
              <w:rPr>
                <w:sz w:val="1"/>
                <w:szCs w:val="1"/>
                <w:color w:val="auto"/>
              </w:rPr>
            </w:pPr>
          </w:p>
        </w:tc>
      </w:tr>
      <w:tr>
        <w:trPr>
          <w:trHeight w:val="148"/>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Thomas Circle, NW Suite 600</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L+625, 12/10/2024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Washington, DC 20005</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IMIA Holdings, Inc.</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Aerospace and Defense</w:t>
            </w:r>
          </w:p>
        </w:tc>
        <w:tc>
          <w:tcPr>
            <w:tcW w:w="296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 —, 10/28/2024</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6470 Spanish Fort Boulevard Suite 300</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Spanish Fort, AL 36527</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Impact Group, LLC</w:t>
            </w:r>
          </w:p>
        </w:tc>
        <w:tc>
          <w:tcPr>
            <w:tcW w:w="182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Wholesale</w:t>
            </w:r>
          </w:p>
        </w:tc>
        <w:tc>
          <w:tcPr>
            <w:tcW w:w="29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12,679</w:t>
            </w:r>
          </w:p>
        </w:tc>
        <w:tc>
          <w:tcPr>
            <w:tcW w:w="0" w:type="dxa"/>
            <w:vAlign w:val="bottom"/>
          </w:tcPr>
          <w:p>
            <w:pPr>
              <w:spacing w:after="0"/>
              <w:rPr>
                <w:sz w:val="1"/>
                <w:szCs w:val="1"/>
                <w:color w:val="auto"/>
              </w:rPr>
            </w:pPr>
          </w:p>
        </w:tc>
      </w:tr>
      <w:tr>
        <w:trPr>
          <w:trHeight w:val="149"/>
        </w:trPr>
        <w:tc>
          <w:tcPr>
            <w:tcW w:w="4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915 W. Jefferson Street</w:t>
            </w:r>
          </w:p>
        </w:tc>
        <w:tc>
          <w:tcPr>
            <w:tcW w:w="1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1M L+650, 06/27/2023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Boise, ID 83702</w:t>
            </w: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gridSpan w:val="2"/>
          </w:tcPr>
          <w:p>
            <w:pPr>
              <w:spacing w:after="0"/>
              <w:rPr>
                <w:sz w:val="20"/>
                <w:szCs w:val="20"/>
                <w:color w:val="auto"/>
              </w:rPr>
            </w:pPr>
            <w:r>
              <w:rPr>
                <w:rFonts w:ascii="Arial" w:cs="Arial" w:eastAsia="Arial" w:hAnsi="Arial"/>
                <w:sz w:val="14"/>
                <w:szCs w:val="14"/>
                <w:color w:val="auto"/>
              </w:rPr>
              <w:t>Innova Medical Ophthalmics Inc.</w:t>
            </w:r>
            <w:r>
              <w:rPr>
                <w:rFonts w:ascii="Arial" w:cs="Arial" w:eastAsia="Arial" w:hAnsi="Arial"/>
                <w:sz w:val="12"/>
                <w:szCs w:val="12"/>
                <w:color w:val="auto"/>
              </w:rPr>
              <w:t>(3)</w:t>
            </w: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Capital Equipment</w:t>
            </w:r>
          </w:p>
        </w:tc>
        <w:tc>
          <w:tcPr>
            <w:tcW w:w="29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17,506</w:t>
            </w:r>
          </w:p>
        </w:tc>
        <w:tc>
          <w:tcPr>
            <w:tcW w:w="0" w:type="dxa"/>
            <w:vAlign w:val="bottom"/>
          </w:tcPr>
          <w:p>
            <w:pPr>
              <w:spacing w:after="0"/>
              <w:rPr>
                <w:sz w:val="1"/>
                <w:szCs w:val="1"/>
                <w:color w:val="auto"/>
              </w:rPr>
            </w:pPr>
          </w:p>
        </w:tc>
      </w:tr>
      <w:tr>
        <w:trPr>
          <w:trHeight w:val="149"/>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(Lombart Brothers, Inc.)</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3M L+625, 04/13/2022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gridSpan w:val="2"/>
          </w:tcPr>
          <w:p>
            <w:pPr>
              <w:spacing w:after="0" w:line="149" w:lineRule="exact"/>
              <w:rPr>
                <w:sz w:val="20"/>
                <w:szCs w:val="20"/>
                <w:color w:val="auto"/>
              </w:rPr>
            </w:pPr>
            <w:r>
              <w:rPr>
                <w:rFonts w:ascii="Arial" w:cs="Arial" w:eastAsia="Arial" w:hAnsi="Arial"/>
                <w:sz w:val="14"/>
                <w:szCs w:val="14"/>
                <w:color w:val="auto"/>
              </w:rPr>
              <w:t>5358 Robin Hood Road</w:t>
            </w: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gridSpan w:val="2"/>
          </w:tcPr>
          <w:p>
            <w:pPr>
              <w:spacing w:after="0"/>
              <w:rPr>
                <w:sz w:val="20"/>
                <w:szCs w:val="20"/>
                <w:color w:val="auto"/>
              </w:rPr>
            </w:pPr>
            <w:r>
              <w:rPr>
                <w:rFonts w:ascii="Arial" w:cs="Arial" w:eastAsia="Arial" w:hAnsi="Arial"/>
                <w:sz w:val="14"/>
                <w:szCs w:val="14"/>
                <w:color w:val="auto"/>
              </w:rPr>
              <w:t>Norfolk, VA 23513</w:t>
            </w:r>
          </w:p>
        </w:tc>
        <w:tc>
          <w:tcPr>
            <w:tcW w:w="1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Nature of</w:t>
            </w:r>
          </w:p>
        </w:tc>
        <w:tc>
          <w:tcPr>
            <w:tcW w:w="3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578"/>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34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060" w:type="dxa"/>
            <w:vAlign w:val="bottom"/>
            <w:gridSpan w:val="2"/>
            <w:vMerge w:val="continue"/>
          </w:tcPr>
          <w:p>
            <w:pPr>
              <w:spacing w:after="0"/>
              <w:rPr>
                <w:sz w:val="12"/>
                <w:szCs w:val="12"/>
                <w:color w:val="auto"/>
              </w:rPr>
            </w:pPr>
          </w:p>
        </w:tc>
        <w:tc>
          <w:tcPr>
            <w:tcW w:w="1260" w:type="dxa"/>
            <w:vAlign w:val="bottom"/>
            <w:gridSpan w:val="2"/>
          </w:tcPr>
          <w:p>
            <w:pPr>
              <w:jc w:val="right"/>
              <w:ind w:right="458"/>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460" w:type="dxa"/>
            <w:vAlign w:val="bottom"/>
          </w:tcPr>
          <w:p>
            <w:pPr>
              <w:spacing w:after="0"/>
              <w:rPr>
                <w:sz w:val="15"/>
                <w:szCs w:val="15"/>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3"/>
              </w:rPr>
              <w:t>Business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Interest</w:t>
            </w:r>
            <w:r>
              <w:rPr>
                <w:rFonts w:ascii="Arial" w:cs="Arial" w:eastAsia="Arial" w:hAnsi="Arial"/>
                <w:sz w:val="12"/>
                <w:szCs w:val="12"/>
                <w:b w:val="1"/>
                <w:bCs w:val="1"/>
                <w:color w:val="auto"/>
                <w:w w:val="98"/>
              </w:rPr>
              <w:t>(1)</w:t>
            </w:r>
            <w:r>
              <w:rPr>
                <w:rFonts w:ascii="Arial" w:cs="Arial" w:eastAsia="Arial" w:hAnsi="Arial"/>
                <w:sz w:val="14"/>
                <w:szCs w:val="14"/>
                <w:b w:val="1"/>
                <w:bCs w:val="1"/>
                <w:color w:val="auto"/>
                <w:w w:val="98"/>
              </w:rPr>
              <w:t>, Maturity</w:t>
            </w:r>
          </w:p>
        </w:tc>
        <w:tc>
          <w:tcPr>
            <w:tcW w:w="1260" w:type="dxa"/>
            <w:vAlign w:val="bottom"/>
            <w:gridSpan w:val="2"/>
          </w:tcPr>
          <w:p>
            <w:pPr>
              <w:jc w:val="right"/>
              <w:ind w:right="378"/>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8"/>
        </w:trPr>
        <w:tc>
          <w:tcPr>
            <w:tcW w:w="434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Integrative Nutrition, LLC</w:t>
            </w:r>
          </w:p>
        </w:tc>
        <w:tc>
          <w:tcPr>
            <w:tcW w:w="11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Consumer Services</w:t>
            </w:r>
          </w:p>
        </w:tc>
        <w:tc>
          <w:tcPr>
            <w:tcW w:w="280" w:type="dxa"/>
            <w:vAlign w:val="bottom"/>
            <w:tcBorders>
              <w:top w:val="single" w:sz="8" w:color="CCEEFF"/>
            </w:tcBorders>
            <w:shd w:val="clear" w:color="auto" w:fill="CCEEFF"/>
          </w:tcPr>
          <w:p>
            <w:pPr>
              <w:spacing w:after="0"/>
              <w:rPr>
                <w:sz w:val="9"/>
                <w:szCs w:val="9"/>
                <w:color w:val="auto"/>
              </w:rPr>
            </w:pPr>
          </w:p>
        </w:tc>
        <w:tc>
          <w:tcPr>
            <w:tcW w:w="27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1.5</w:t>
            </w:r>
          </w:p>
        </w:tc>
        <w:tc>
          <w:tcPr>
            <w:tcW w:w="440" w:type="dxa"/>
            <w:vAlign w:val="bottom"/>
            <w:tcBorders>
              <w:top w:val="single" w:sz="8" w:color="CCEEFF"/>
            </w:tcBorders>
            <w:shd w:val="clear" w:color="auto" w:fill="CCEEFF"/>
          </w:tcPr>
          <w:p>
            <w:pPr>
              <w:jc w:val="right"/>
              <w:ind w:right="258"/>
              <w:spacing w:after="0" w:line="109" w:lineRule="exact"/>
              <w:rPr>
                <w:sz w:val="20"/>
                <w:szCs w:val="20"/>
                <w:color w:val="auto"/>
              </w:rPr>
            </w:pPr>
            <w:r>
              <w:rPr>
                <w:rFonts w:ascii="Arial" w:cs="Arial" w:eastAsia="Arial" w:hAnsi="Arial"/>
                <w:sz w:val="12"/>
                <w:szCs w:val="12"/>
                <w:color w:val="auto"/>
                <w:w w:val="93"/>
              </w:rPr>
              <w:t>%</w:t>
            </w: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27,148</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(IIN Group Holdings, LLC)</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L+475, 09/29/2023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245 5</w:t>
            </w:r>
            <w:r>
              <w:rPr>
                <w:rFonts w:ascii="Arial" w:cs="Arial" w:eastAsia="Arial" w:hAnsi="Arial"/>
                <w:sz w:val="12"/>
                <w:szCs w:val="12"/>
                <w:color w:val="auto"/>
              </w:rPr>
              <w:t>th</w:t>
            </w:r>
            <w:r>
              <w:rPr>
                <w:rFonts w:ascii="Arial" w:cs="Arial" w:eastAsia="Arial" w:hAnsi="Arial"/>
                <w:sz w:val="14"/>
                <w:szCs w:val="14"/>
                <w:color w:val="auto"/>
              </w:rPr>
              <w:t xml:space="preserve"> Avenue</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10016</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Inventus Power, Inc.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Consumer Goods: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3,777</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1200 Internationale Parkway</w:t>
            </w: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Durable</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L+650, 04/30/2020</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Woodridge, IL 60517</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JWC/UMA Holdings, L.P.</w:t>
            </w:r>
          </w:p>
        </w:tc>
        <w:tc>
          <w:tcPr>
            <w:tcW w:w="14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Healthcare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Common Equity</w:t>
            </w:r>
          </w:p>
        </w:tc>
        <w:tc>
          <w:tcPr>
            <w:tcW w:w="1260" w:type="dxa"/>
            <w:vAlign w:val="bottom"/>
            <w:gridSpan w:val="2"/>
            <w:shd w:val="clear" w:color="auto" w:fill="CCEEFF"/>
          </w:tcPr>
          <w:p>
            <w:pPr>
              <w:jc w:val="right"/>
              <w:ind w:right="258"/>
              <w:spacing w:after="0" w:line="130" w:lineRule="exact"/>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1515 Broad Street, Suite 120</w:t>
            </w:r>
          </w:p>
        </w:tc>
        <w:tc>
          <w:tcPr>
            <w:tcW w:w="14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2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Bloomfield, NJ 07003</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K2 Pure Solutions NoCal, L.P.</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Chemicals, Plastics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3515 Massillion Road, Ste. 290</w:t>
            </w: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and Rubber</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L+525, 12/20/2023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Uniontown, OH 44685</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Kentucky Downs, LLC</w:t>
            </w:r>
          </w:p>
        </w:tc>
        <w:tc>
          <w:tcPr>
            <w:tcW w:w="14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1"/>
              </w:rPr>
              <w:t>Hotels, Restaurants</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5,596</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(Kentucky Racing Holdco, LLC)</w:t>
            </w:r>
          </w:p>
        </w:tc>
        <w:tc>
          <w:tcPr>
            <w:tcW w:w="14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2"/>
              </w:rPr>
              <w:t>and Leisure</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L+850, 03/07/2025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5629 Nashville Road</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2"/>
              </w:rPr>
              <w:t>Warrants</w:t>
            </w:r>
            <w:r>
              <w:rPr>
                <w:rFonts w:ascii="Arial" w:cs="Arial" w:eastAsia="Arial" w:hAnsi="Arial"/>
                <w:sz w:val="12"/>
                <w:szCs w:val="12"/>
                <w:color w:val="auto"/>
                <w:w w:val="92"/>
              </w:rPr>
              <w:t>(5)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Franklin, KY 42134</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KHC Holdings, Inc.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Wholesale</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12,511</w:t>
            </w:r>
          </w:p>
        </w:tc>
        <w:tc>
          <w:tcPr>
            <w:tcW w:w="0" w:type="dxa"/>
            <w:vAlign w:val="bottom"/>
          </w:tcPr>
          <w:p>
            <w:pPr>
              <w:spacing w:after="0"/>
              <w:rPr>
                <w:sz w:val="1"/>
                <w:szCs w:val="1"/>
                <w:color w:val="auto"/>
              </w:rPr>
            </w:pP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3300 Brother Boulevard</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L+600, 10/31/2022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Memphis, TN 38133</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Lago Resort &amp; Casino, LLC</w:t>
            </w:r>
          </w:p>
        </w:tc>
        <w:tc>
          <w:tcPr>
            <w:tcW w:w="14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Hotel, Gaming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9,176</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1133 Ridge Road (Rt 414)</w:t>
            </w:r>
          </w:p>
        </w:tc>
        <w:tc>
          <w:tcPr>
            <w:tcW w:w="14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Leisure</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3M L+950, 03/07/2022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Waterloo, NY 13165</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LAV Gear Holdings, Inc.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Capital Equipment</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8,475</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3165 W Sunset Rd</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L+550, 10/31/2024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Las Vegas, NV 89118</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LifeCare Holdings LLC</w:t>
            </w:r>
          </w:p>
        </w:tc>
        <w:tc>
          <w:tcPr>
            <w:tcW w:w="14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Healthcare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5340 Legacy Drive</w:t>
            </w:r>
          </w:p>
        </w:tc>
        <w:tc>
          <w:tcPr>
            <w:tcW w:w="14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3"/>
              </w:rPr>
              <w:t>—, 11/30/2021</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 150, Building 4</w:t>
            </w:r>
          </w:p>
        </w:tc>
        <w:tc>
          <w:tcPr>
            <w:tcW w:w="1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Long Island Vision Management, LLC</w:t>
            </w: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Healthcare and</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8,116</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805 Broadway</w:t>
            </w:r>
          </w:p>
        </w:tc>
        <w:tc>
          <w:tcPr>
            <w:tcW w:w="14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3M L+475, 09/11/2023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New York, NY 11701</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Long’s Drugs Incorporated</w:t>
            </w:r>
          </w:p>
        </w:tc>
        <w:tc>
          <w:tcPr>
            <w:tcW w:w="14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Healthcare and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First Lien Secured Debt</w:t>
            </w:r>
            <w:r>
              <w:rPr>
                <w:rFonts w:ascii="Arial" w:cs="Arial" w:eastAsia="Arial" w:hAnsi="Arial"/>
                <w:sz w:val="12"/>
                <w:szCs w:val="12"/>
                <w:color w:val="auto"/>
                <w:w w:val="92"/>
              </w:rPr>
              <w:t>(4)</w:t>
            </w:r>
            <w:r>
              <w:rPr>
                <w:rFonts w:ascii="Arial" w:cs="Arial" w:eastAsia="Arial" w:hAnsi="Arial"/>
                <w:sz w:val="14"/>
                <w:szCs w:val="14"/>
                <w:color w:val="auto"/>
                <w:w w:val="92"/>
              </w:rPr>
              <w: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9,741</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111 Executive Center Drive, Suite 228</w:t>
            </w:r>
          </w:p>
        </w:tc>
        <w:tc>
          <w:tcPr>
            <w:tcW w:w="14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1M L+500, 08/19/2022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Columbia, SC 29210</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LSF9 Atlantis Holdings, LLC</w:t>
            </w: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Retail</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12,712</w:t>
            </w:r>
          </w:p>
        </w:tc>
        <w:tc>
          <w:tcPr>
            <w:tcW w:w="0" w:type="dxa"/>
            <w:vAlign w:val="bottom"/>
          </w:tcPr>
          <w:p>
            <w:pPr>
              <w:spacing w:after="0"/>
              <w:rPr>
                <w:sz w:val="1"/>
                <w:szCs w:val="1"/>
                <w:color w:val="auto"/>
              </w:rPr>
            </w:pP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775 Prairie Center Drive, Suite 420</w:t>
            </w: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L+600, 05/01/2023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Eden Prairie, MN 55344</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MailSouth, Inc.</w:t>
            </w:r>
          </w:p>
        </w:tc>
        <w:tc>
          <w:tcPr>
            <w:tcW w:w="14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7"/>
              </w:rPr>
              <w:t>Media: Advertising,</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2,785</w:t>
            </w:r>
          </w:p>
        </w:tc>
        <w:tc>
          <w:tcPr>
            <w:tcW w:w="0" w:type="dxa"/>
            <w:vAlign w:val="bottom"/>
          </w:tcPr>
          <w:p>
            <w:pPr>
              <w:spacing w:after="0"/>
              <w:rPr>
                <w:sz w:val="1"/>
                <w:szCs w:val="1"/>
                <w:color w:val="auto"/>
              </w:rPr>
            </w:pPr>
          </w:p>
        </w:tc>
      </w:tr>
      <w:tr>
        <w:trPr>
          <w:trHeight w:val="149"/>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5901 Highway 52 East</w:t>
            </w:r>
          </w:p>
        </w:tc>
        <w:tc>
          <w:tcPr>
            <w:tcW w:w="14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Printing and</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5"/>
              </w:rPr>
              <w:t>12M L+925, 10/23/2024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Helena, AL 35080</w:t>
            </w:r>
          </w:p>
        </w:tc>
        <w:tc>
          <w:tcPr>
            <w:tcW w:w="14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w w:val="95"/>
              </w:rPr>
              <w:t>Publishing</w:t>
            </w: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Manna Pro Products, LLC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Consumer Goods:</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8,159</w:t>
            </w:r>
          </w:p>
        </w:tc>
        <w:tc>
          <w:tcPr>
            <w:tcW w:w="0" w:type="dxa"/>
            <w:vAlign w:val="bottom"/>
          </w:tcPr>
          <w:p>
            <w:pPr>
              <w:spacing w:after="0"/>
              <w:rPr>
                <w:sz w:val="1"/>
                <w:szCs w:val="1"/>
                <w:color w:val="auto"/>
              </w:rPr>
            </w:pPr>
          </w:p>
        </w:tc>
      </w:tr>
      <w:tr>
        <w:trPr>
          <w:trHeight w:val="148"/>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707 Spirit 40 Park Drive, #150</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Non-Durable</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L+600, 12/08/2023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Chesterfield, MO 63005</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3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Marketplace Events LLC</w:t>
            </w:r>
          </w:p>
        </w:tc>
        <w:tc>
          <w:tcPr>
            <w:tcW w:w="14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7"/>
              </w:rPr>
              <w:t>Media: Diversified</w:t>
            </w:r>
          </w:p>
        </w:tc>
        <w:tc>
          <w:tcPr>
            <w:tcW w:w="306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5"/>
              </w:rPr>
              <w:t>First Lien Secured Debt</w:t>
            </w:r>
            <w:r>
              <w:rPr>
                <w:rFonts w:ascii="Arial" w:cs="Arial" w:eastAsia="Arial" w:hAnsi="Arial"/>
                <w:sz w:val="12"/>
                <w:szCs w:val="12"/>
                <w:color w:val="auto"/>
                <w:w w:val="95"/>
              </w:rPr>
              <w:t>(4)</w:t>
            </w:r>
            <w:r>
              <w:rPr>
                <w:rFonts w:ascii="Arial" w:cs="Arial" w:eastAsia="Arial" w:hAnsi="Arial"/>
                <w:sz w:val="14"/>
                <w:szCs w:val="14"/>
                <w:color w:val="auto"/>
                <w:w w:val="95"/>
              </w:rPr>
              <w:t>, USD (3M L+525,</w:t>
            </w:r>
          </w:p>
        </w:tc>
        <w:tc>
          <w:tcPr>
            <w:tcW w:w="1260" w:type="dxa"/>
            <w:vAlign w:val="bottom"/>
            <w:gridSpan w:val="2"/>
            <w:shd w:val="clear" w:color="auto" w:fill="CCEEFF"/>
          </w:tcPr>
          <w:p>
            <w:pPr>
              <w:jc w:val="right"/>
              <w:ind w:right="43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18,034</w:t>
            </w:r>
          </w:p>
        </w:tc>
        <w:tc>
          <w:tcPr>
            <w:tcW w:w="0" w:type="dxa"/>
            <w:vAlign w:val="bottom"/>
          </w:tcPr>
          <w:p>
            <w:pPr>
              <w:spacing w:after="0"/>
              <w:rPr>
                <w:sz w:val="1"/>
                <w:szCs w:val="1"/>
                <w:color w:val="auto"/>
              </w:rPr>
            </w:pPr>
          </w:p>
        </w:tc>
      </w:tr>
      <w:tr>
        <w:trPr>
          <w:trHeight w:val="148"/>
        </w:trPr>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31105 Bainbridge Road, Suite 3</w:t>
            </w:r>
          </w:p>
        </w:tc>
        <w:tc>
          <w:tcPr>
            <w:tcW w:w="144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3"/>
              </w:rPr>
              <w:t>and Production</w:t>
            </w:r>
          </w:p>
        </w:tc>
        <w:tc>
          <w:tcPr>
            <w:tcW w:w="3060" w:type="dxa"/>
            <w:vAlign w:val="bottom"/>
            <w:gridSpan w:val="2"/>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01/27/2023), CAD (P+275, 01/27/2023)</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Solon, OH 44139</w:t>
            </w: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gridSpan w:val="2"/>
          </w:tcPr>
          <w:p>
            <w:pPr>
              <w:spacing w:after="0"/>
              <w:rPr>
                <w:sz w:val="20"/>
                <w:szCs w:val="20"/>
                <w:color w:val="auto"/>
              </w:rPr>
            </w:pPr>
            <w:r>
              <w:rPr>
                <w:rFonts w:ascii="Arial" w:cs="Arial" w:eastAsia="Arial" w:hAnsi="Arial"/>
                <w:sz w:val="14"/>
                <w:szCs w:val="14"/>
                <w:color w:val="auto"/>
              </w:rPr>
              <w:t>McAfee, LLC</w:t>
            </w: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High Tech</w:t>
            </w:r>
          </w:p>
        </w:tc>
        <w:tc>
          <w:tcPr>
            <w:tcW w:w="306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Second Lien Secured Debt,</w:t>
            </w:r>
          </w:p>
        </w:tc>
        <w:tc>
          <w:tcPr>
            <w:tcW w:w="1260" w:type="dxa"/>
            <w:vAlign w:val="bottom"/>
            <w:gridSpan w:val="2"/>
          </w:tcPr>
          <w:p>
            <w:pPr>
              <w:jc w:val="right"/>
              <w:ind w:right="43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2,205</w:t>
            </w:r>
          </w:p>
        </w:tc>
        <w:tc>
          <w:tcPr>
            <w:tcW w:w="0" w:type="dxa"/>
            <w:vAlign w:val="bottom"/>
          </w:tcPr>
          <w:p>
            <w:pPr>
              <w:spacing w:after="0"/>
              <w:rPr>
                <w:sz w:val="1"/>
                <w:szCs w:val="1"/>
                <w:color w:val="auto"/>
              </w:rPr>
            </w:pP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2821 Mission College Boulevard</w:t>
            </w: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Industries</w:t>
            </w:r>
          </w:p>
        </w:tc>
        <w:tc>
          <w:tcPr>
            <w:tcW w:w="30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1M L+850, 09/29/2025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340" w:type="dxa"/>
            <w:vAlign w:val="bottom"/>
            <w:gridSpan w:val="2"/>
          </w:tcPr>
          <w:p>
            <w:pPr>
              <w:spacing w:after="0"/>
              <w:rPr>
                <w:sz w:val="20"/>
                <w:szCs w:val="20"/>
                <w:color w:val="auto"/>
              </w:rPr>
            </w:pPr>
            <w:r>
              <w:rPr>
                <w:rFonts w:ascii="Arial" w:cs="Arial" w:eastAsia="Arial" w:hAnsi="Arial"/>
                <w:sz w:val="14"/>
                <w:szCs w:val="14"/>
                <w:color w:val="auto"/>
              </w:rPr>
              <w:t>Santa Clara, CA 95054</w:t>
            </w: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Type of Investment,</w:t>
            </w:r>
          </w:p>
        </w:tc>
        <w:tc>
          <w:tcPr>
            <w:tcW w:w="1420" w:type="dxa"/>
            <w:vAlign w:val="bottom"/>
            <w:gridSpan w:val="2"/>
          </w:tcPr>
          <w:p>
            <w:pPr>
              <w:jc w:val="center"/>
              <w:ind w:right="518"/>
              <w:spacing w:after="0"/>
              <w:rPr>
                <w:sz w:val="20"/>
                <w:szCs w:val="20"/>
                <w:color w:val="auto"/>
              </w:rPr>
            </w:pPr>
            <w:r>
              <w:rPr>
                <w:rFonts w:ascii="Arial" w:cs="Arial" w:eastAsia="Arial" w:hAnsi="Arial"/>
                <w:sz w:val="14"/>
                <w:szCs w:val="14"/>
                <w:b w:val="1"/>
                <w:bCs w:val="1"/>
                <w:color w:val="auto"/>
                <w:w w:val="91"/>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40" w:type="dxa"/>
            <w:vAlign w:val="bottom"/>
            <w:gridSpan w:val="2"/>
            <w:vMerge w:val="continue"/>
          </w:tcPr>
          <w:p>
            <w:pPr>
              <w:spacing w:after="0"/>
              <w:rPr>
                <w:sz w:val="12"/>
                <w:szCs w:val="12"/>
                <w:color w:val="auto"/>
              </w:rPr>
            </w:pPr>
          </w:p>
        </w:tc>
        <w:tc>
          <w:tcPr>
            <w:tcW w:w="17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Nature of Business</w:t>
            </w:r>
          </w:p>
        </w:tc>
        <w:tc>
          <w:tcPr>
            <w:tcW w:w="2940" w:type="dxa"/>
            <w:vAlign w:val="bottom"/>
            <w:gridSpan w:val="2"/>
            <w:vMerge w:val="continue"/>
          </w:tcPr>
          <w:p>
            <w:pPr>
              <w:spacing w:after="0"/>
              <w:rPr>
                <w:sz w:val="12"/>
                <w:szCs w:val="12"/>
                <w:color w:val="auto"/>
              </w:rPr>
            </w:pPr>
          </w:p>
        </w:tc>
        <w:tc>
          <w:tcPr>
            <w:tcW w:w="1420" w:type="dxa"/>
            <w:vAlign w:val="bottom"/>
            <w:gridSpan w:val="2"/>
          </w:tcPr>
          <w:p>
            <w:pPr>
              <w:jc w:val="right"/>
              <w:ind w:right="598"/>
              <w:spacing w:after="0" w:line="145" w:lineRule="exact"/>
              <w:rPr>
                <w:sz w:val="20"/>
                <w:szCs w:val="20"/>
                <w:color w:val="auto"/>
              </w:rPr>
            </w:pPr>
            <w:r>
              <w:rPr>
                <w:rFonts w:ascii="Arial" w:cs="Arial" w:eastAsia="Arial" w:hAnsi="Arial"/>
                <w:sz w:val="14"/>
                <w:szCs w:val="14"/>
                <w:b w:val="1"/>
                <w:bCs w:val="1"/>
                <w:color w:val="auto"/>
                <w:w w:val="97"/>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1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420" w:type="dxa"/>
            <w:vAlign w:val="bottom"/>
            <w:gridSpan w:val="2"/>
          </w:tcPr>
          <w:p>
            <w:pPr>
              <w:jc w:val="center"/>
              <w:ind w:right="498"/>
              <w:spacing w:after="0"/>
              <w:rPr>
                <w:sz w:val="20"/>
                <w:szCs w:val="20"/>
                <w:color w:val="auto"/>
              </w:rPr>
            </w:pPr>
            <w:r>
              <w:rPr>
                <w:rFonts w:ascii="Arial" w:cs="Arial" w:eastAsia="Arial" w:hAnsi="Arial"/>
                <w:sz w:val="14"/>
                <w:szCs w:val="14"/>
                <w:b w:val="1"/>
                <w:bCs w:val="1"/>
                <w:color w:val="auto"/>
                <w:w w:val="94"/>
              </w:rPr>
              <w:t>Ownership</w:t>
            </w:r>
            <w:r>
              <w:rPr>
                <w:rFonts w:ascii="Arial" w:cs="Arial" w:eastAsia="Arial" w:hAnsi="Arial"/>
                <w:sz w:val="12"/>
                <w:szCs w:val="12"/>
                <w:b w:val="1"/>
                <w:bCs w:val="1"/>
                <w:color w:val="auto"/>
                <w:w w:val="94"/>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8"/>
        </w:trPr>
        <w:tc>
          <w:tcPr>
            <w:tcW w:w="404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MeritDirect, LLC</w:t>
            </w:r>
          </w:p>
        </w:tc>
        <w:tc>
          <w:tcPr>
            <w:tcW w:w="14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Media</w:t>
            </w:r>
          </w:p>
        </w:tc>
        <w:tc>
          <w:tcPr>
            <w:tcW w:w="240" w:type="dxa"/>
            <w:vAlign w:val="bottom"/>
            <w:tcBorders>
              <w:top w:val="single" w:sz="8" w:color="CCEEFF"/>
            </w:tcBorders>
            <w:shd w:val="clear" w:color="auto" w:fill="CCEEFF"/>
          </w:tcPr>
          <w:p>
            <w:pPr>
              <w:spacing w:after="0"/>
              <w:rPr>
                <w:sz w:val="9"/>
                <w:szCs w:val="9"/>
                <w:color w:val="auto"/>
              </w:rPr>
            </w:pPr>
          </w:p>
        </w:tc>
        <w:tc>
          <w:tcPr>
            <w:tcW w:w="26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r>
              <w:rPr>
                <w:rFonts w:ascii="Arial" w:cs="Arial" w:eastAsia="Arial" w:hAnsi="Arial"/>
                <w:sz w:val="10"/>
                <w:szCs w:val="10"/>
                <w:color w:val="auto"/>
              </w:rPr>
              <w:t>(4)</w:t>
            </w:r>
            <w:r>
              <w:rPr>
                <w:rFonts w:ascii="Arial" w:cs="Arial" w:eastAsia="Arial" w:hAnsi="Arial"/>
                <w:sz w:val="12"/>
                <w:szCs w:val="12"/>
                <w:color w:val="auto"/>
              </w:rPr>
              <w:t>,</w:t>
            </w:r>
          </w:p>
        </w:tc>
        <w:tc>
          <w:tcPr>
            <w:tcW w:w="2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ind w:left="660"/>
              <w:spacing w:after="0" w:line="109" w:lineRule="exact"/>
              <w:rPr>
                <w:sz w:val="20"/>
                <w:szCs w:val="20"/>
                <w:color w:val="auto"/>
              </w:rPr>
            </w:pPr>
            <w:r>
              <w:rPr>
                <w:rFonts w:ascii="Arial" w:cs="Arial" w:eastAsia="Arial" w:hAnsi="Arial"/>
                <w:sz w:val="12"/>
                <w:szCs w:val="12"/>
                <w:color w:val="auto"/>
                <w:w w:val="95"/>
              </w:rPr>
              <w:t>1.0</w:t>
            </w:r>
          </w:p>
        </w:tc>
        <w:tc>
          <w:tcPr>
            <w:tcW w:w="580" w:type="dxa"/>
            <w:vAlign w:val="bottom"/>
            <w:tcBorders>
              <w:top w:val="single" w:sz="8" w:color="CCEEFF"/>
            </w:tcBorders>
            <w:shd w:val="clear" w:color="auto" w:fill="CCEEFF"/>
          </w:tcPr>
          <w:p>
            <w:pPr>
              <w:jc w:val="right"/>
              <w:ind w:right="398"/>
              <w:spacing w:after="0" w:line="109" w:lineRule="exact"/>
              <w:rPr>
                <w:sz w:val="20"/>
                <w:szCs w:val="20"/>
                <w:color w:val="auto"/>
              </w:rPr>
            </w:pPr>
            <w:r>
              <w:rPr>
                <w:rFonts w:ascii="Arial" w:cs="Arial" w:eastAsia="Arial" w:hAnsi="Arial"/>
                <w:sz w:val="12"/>
                <w:szCs w:val="12"/>
                <w:color w:val="auto"/>
                <w:w w:val="93"/>
              </w:rPr>
              <w:t>%</w:t>
            </w: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35,285</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(MeritDirect Holdings, LP)</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3M L+550, 05/23/2024</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 International Drive</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Rye Brook, NY 10573</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94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Mission Critical Electronics, Inc.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Capital Equipment</w:t>
            </w: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2911 W. Garry Ave.</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1M L+500, 09/28/2021</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Santa Ana, CA 92704</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Montreign Operating Company, LLC</w:t>
            </w:r>
          </w:p>
        </w:tc>
        <w:tc>
          <w:tcPr>
            <w:tcW w:w="170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Hotel, Gaming and</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24,345</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204 State Route 17B</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5"/>
              </w:rPr>
              <w:t>Leisure</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3M L+825, 01/24/2023</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Monticello, NY 12701</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Nuvei Technologies Corp.</w:t>
            </w:r>
            <w:r>
              <w:rPr>
                <w:rFonts w:ascii="Arial" w:cs="Arial" w:eastAsia="Arial" w:hAnsi="Arial"/>
                <w:sz w:val="12"/>
                <w:szCs w:val="12"/>
                <w:color w:val="auto"/>
              </w:rPr>
              <w:t>(3)</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color w:val="auto"/>
                <w:w w:val="97"/>
              </w:rPr>
              <w:t>Diversified Financial</w:t>
            </w: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First Lien Secured Debt, P+400, 09/28/2025</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19,651</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1100 Rene Levsque West Suite 900</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Services</w:t>
            </w:r>
          </w:p>
        </w:tc>
        <w:tc>
          <w:tcPr>
            <w:tcW w:w="2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Montreal, Quebec, H3B 4N4</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Olde Thompson, LLC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29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1,575</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3250 Camino Del Sol</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L+450, 05/14/2024</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Oxnard, CA 93030</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Output Services Group, Inc.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Business Services</w:t>
            </w:r>
          </w:p>
        </w:tc>
        <w:tc>
          <w:tcPr>
            <w:tcW w:w="29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2,548</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100 Challenger Road #303</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1M L+450, 03/27/2024</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Ridgefield Park, NJ 07660</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Ox Two, LLC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Construction and</w:t>
            </w:r>
          </w:p>
        </w:tc>
        <w:tc>
          <w:tcPr>
            <w:tcW w:w="29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13,289</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700 Centreville Rd.</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rPr>
              <w:t>Building</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L+625, 02/27/2023</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Constantine, MI 49042</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Peninsula Pacific Entertainment LLC</w:t>
            </w: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Hotel, Gaming and</w:t>
            </w:r>
          </w:p>
        </w:tc>
        <w:tc>
          <w:tcPr>
            <w:tcW w:w="29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13,276</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10515 Colonial Downs Parkway</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Leisure</w:t>
            </w:r>
          </w:p>
        </w:tc>
        <w:tc>
          <w:tcPr>
            <w:tcW w:w="2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5"/>
              </w:rPr>
              <w:t>1M L+725, 11/13/2024</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New Kent, VA 23124</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Pestell Minerals and Ingredients Inc.</w:t>
            </w:r>
            <w:r>
              <w:rPr>
                <w:rFonts w:ascii="Arial" w:cs="Arial" w:eastAsia="Arial" w:hAnsi="Arial"/>
                <w:sz w:val="12"/>
                <w:szCs w:val="12"/>
                <w:color w:val="auto"/>
              </w:rPr>
              <w:t>(3)</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1"/>
              </w:rPr>
              <w:t>Beverage, Food and</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14,739</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141 Hamilton Road</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89"/>
              </w:rPr>
              <w:t>Tobacco</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3M L+525, 06/01/2023</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Hamburg, Ontario, Canada N3A 2H1</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PlayPower, Inc.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Leisure Products</w:t>
            </w:r>
          </w:p>
        </w:tc>
        <w:tc>
          <w:tcPr>
            <w:tcW w:w="29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5,579</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11515 Vanstory Drive, Suite 100</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1M L+550, 05/08/2026</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Huntersville, NC 28078</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PRA Events, Inc.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Business Services</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3,846</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 (Allied) Investment Holdings, LLC)</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L+700, 08/08/2022</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One North LaSalle Street</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60602</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PT Network, LLC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Healthcare and</w:t>
            </w: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Second Lien Secured Debt, 3M L+1,000 PIK,</w:t>
            </w:r>
          </w:p>
        </w:tc>
        <w:tc>
          <w:tcPr>
            <w:tcW w:w="1420" w:type="dxa"/>
            <w:vAlign w:val="bottom"/>
            <w:gridSpan w:val="2"/>
          </w:tcPr>
          <w:p>
            <w:pPr>
              <w:ind w:left="660"/>
              <w:spacing w:after="0"/>
              <w:rPr>
                <w:sz w:val="20"/>
                <w:szCs w:val="20"/>
                <w:color w:val="auto"/>
              </w:rPr>
            </w:pPr>
            <w:r>
              <w:rPr>
                <w:rFonts w:ascii="Arial" w:cs="Arial" w:eastAsia="Arial" w:hAnsi="Arial"/>
                <w:sz w:val="14"/>
                <w:szCs w:val="14"/>
                <w:color w:val="auto"/>
              </w:rPr>
              <w:t>2.5%</w:t>
            </w:r>
            <w:r>
              <w:rPr>
                <w:rFonts w:ascii="Arial" w:cs="Arial" w:eastAsia="Arial" w:hAnsi="Arial"/>
                <w:sz w:val="12"/>
                <w:szCs w:val="12"/>
                <w:color w:val="auto"/>
              </w:rPr>
              <w:t>(6)</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2,897</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(PT Network Intermediate Holdings, LLC)</w:t>
            </w:r>
          </w:p>
        </w:tc>
        <w:tc>
          <w:tcPr>
            <w:tcW w:w="17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Pharmaceuticals</w:t>
            </w:r>
          </w:p>
        </w:tc>
        <w:tc>
          <w:tcPr>
            <w:tcW w:w="2680" w:type="dxa"/>
            <w:vAlign w:val="bottom"/>
          </w:tcPr>
          <w:p>
            <w:pPr>
              <w:jc w:val="center"/>
              <w:spacing w:after="0" w:line="149" w:lineRule="exact"/>
              <w:rPr>
                <w:sz w:val="20"/>
                <w:szCs w:val="20"/>
                <w:color w:val="auto"/>
              </w:rPr>
            </w:pPr>
            <w:r>
              <w:rPr>
                <w:rFonts w:ascii="Arial" w:cs="Arial" w:eastAsia="Arial" w:hAnsi="Arial"/>
                <w:sz w:val="14"/>
                <w:szCs w:val="14"/>
                <w:color w:val="auto"/>
                <w:w w:val="91"/>
              </w:rPr>
              <w:t>11/30/2024</w:t>
            </w: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(CI (PTN) Investment Holdings II, LLC)</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501 Fairmount Avenue</w:t>
            </w:r>
          </w:p>
        </w:tc>
        <w:tc>
          <w:tcPr>
            <w:tcW w:w="1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Towson, MD 21286</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Quantum Spatial, Inc.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0"/>
              </w:rPr>
              <w:t>Aerospace and Defense</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18,715</w:t>
            </w:r>
          </w:p>
        </w:tc>
        <w:tc>
          <w:tcPr>
            <w:tcW w:w="0" w:type="dxa"/>
            <w:vAlign w:val="bottom"/>
          </w:tcPr>
          <w:p>
            <w:pPr>
              <w:spacing w:after="0"/>
              <w:rPr>
                <w:sz w:val="1"/>
                <w:szCs w:val="1"/>
                <w:color w:val="auto"/>
              </w:rPr>
            </w:pPr>
          </w:p>
        </w:tc>
      </w:tr>
      <w:tr>
        <w:trPr>
          <w:trHeight w:val="148"/>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421 SW 6th Ave #800</w:t>
            </w:r>
          </w:p>
        </w:tc>
        <w:tc>
          <w:tcPr>
            <w:tcW w:w="1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L+525, 09/04/2024</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Portland, OR 97204</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Arial" w:cs="Arial" w:eastAsia="Arial" w:hAnsi="Arial"/>
                <w:sz w:val="14"/>
                <w:szCs w:val="14"/>
                <w:color w:val="auto"/>
              </w:rPr>
              <w:t>Questex, LLC</w:t>
            </w: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Media: Diversified and</w:t>
            </w:r>
          </w:p>
        </w:tc>
        <w:tc>
          <w:tcPr>
            <w:tcW w:w="2940" w:type="dxa"/>
            <w:vAlign w:val="bottom"/>
            <w:gridSpan w:val="2"/>
          </w:tcPr>
          <w:p>
            <w:pPr>
              <w:jc w:val="center"/>
              <w:ind w:right="26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420" w:type="dxa"/>
            <w:vAlign w:val="bottom"/>
            <w:gridSpan w:val="2"/>
          </w:tcPr>
          <w:p>
            <w:pPr>
              <w:jc w:val="right"/>
              <w:ind w:right="59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7,339</w:t>
            </w:r>
          </w:p>
        </w:tc>
        <w:tc>
          <w:tcPr>
            <w:tcW w:w="0" w:type="dxa"/>
            <w:vAlign w:val="bottom"/>
          </w:tcPr>
          <w:p>
            <w:pPr>
              <w:spacing w:after="0"/>
              <w:rPr>
                <w:sz w:val="1"/>
                <w:szCs w:val="1"/>
                <w:color w:val="auto"/>
              </w:rPr>
            </w:pPr>
          </w:p>
        </w:tc>
      </w:tr>
      <w:tr>
        <w:trPr>
          <w:trHeight w:val="148"/>
        </w:trPr>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275 Grove Street, Suite 2-130</w:t>
            </w:r>
          </w:p>
        </w:tc>
        <w:tc>
          <w:tcPr>
            <w:tcW w:w="17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5"/>
              </w:rPr>
              <w:t>Production</w:t>
            </w:r>
          </w:p>
        </w:tc>
        <w:tc>
          <w:tcPr>
            <w:tcW w:w="2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6"/>
              </w:rPr>
              <w:t>3M L+500, 09/09/2024</w:t>
            </w:r>
          </w:p>
        </w:tc>
        <w:tc>
          <w:tcPr>
            <w:tcW w:w="8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40" w:type="dxa"/>
            <w:vAlign w:val="bottom"/>
            <w:gridSpan w:val="2"/>
          </w:tcPr>
          <w:p>
            <w:pPr>
              <w:spacing w:after="0"/>
              <w:rPr>
                <w:sz w:val="20"/>
                <w:szCs w:val="20"/>
                <w:color w:val="auto"/>
              </w:rPr>
            </w:pPr>
            <w:r>
              <w:rPr>
                <w:rFonts w:ascii="Arial" w:cs="Arial" w:eastAsia="Arial" w:hAnsi="Arial"/>
                <w:sz w:val="14"/>
                <w:szCs w:val="14"/>
                <w:color w:val="auto"/>
              </w:rPr>
              <w:t>Newton, MA 02466</w:t>
            </w: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Research Horizons, LLC</w:t>
            </w:r>
          </w:p>
        </w:tc>
        <w:tc>
          <w:tcPr>
            <w:tcW w:w="170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7"/>
              </w:rPr>
              <w:t>Media: Advertising,</w:t>
            </w:r>
          </w:p>
        </w:tc>
        <w:tc>
          <w:tcPr>
            <w:tcW w:w="2940" w:type="dxa"/>
            <w:vAlign w:val="bottom"/>
            <w:gridSpan w:val="2"/>
            <w:shd w:val="clear" w:color="auto" w:fill="CCEEFF"/>
          </w:tcPr>
          <w:p>
            <w:pPr>
              <w:jc w:val="center"/>
              <w:ind w:right="240"/>
              <w:spacing w:after="0" w:line="130" w:lineRule="exact"/>
              <w:rPr>
                <w:sz w:val="20"/>
                <w:szCs w:val="20"/>
                <w:color w:val="auto"/>
              </w:rPr>
            </w:pPr>
            <w:r>
              <w:rPr>
                <w:rFonts w:ascii="Arial" w:cs="Arial" w:eastAsia="Arial" w:hAnsi="Arial"/>
                <w:sz w:val="14"/>
                <w:szCs w:val="14"/>
                <w:color w:val="auto"/>
                <w:w w:val="94"/>
              </w:rPr>
              <w:t>First Lien Secured Debt,</w:t>
            </w:r>
          </w:p>
        </w:tc>
        <w:tc>
          <w:tcPr>
            <w:tcW w:w="1420" w:type="dxa"/>
            <w:vAlign w:val="bottom"/>
            <w:gridSpan w:val="2"/>
            <w:shd w:val="clear" w:color="auto" w:fill="CCEEFF"/>
          </w:tcPr>
          <w:p>
            <w:pPr>
              <w:jc w:val="right"/>
              <w:ind w:right="598"/>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7,097</w:t>
            </w:r>
          </w:p>
        </w:tc>
        <w:tc>
          <w:tcPr>
            <w:tcW w:w="0" w:type="dxa"/>
            <w:vAlign w:val="bottom"/>
          </w:tcPr>
          <w:p>
            <w:pPr>
              <w:spacing w:after="0"/>
              <w:rPr>
                <w:sz w:val="1"/>
                <w:szCs w:val="1"/>
                <w:color w:val="auto"/>
              </w:rPr>
            </w:pPr>
          </w:p>
        </w:tc>
      </w:tr>
      <w:tr>
        <w:trPr>
          <w:trHeight w:val="149"/>
        </w:trPr>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1140 Broadway, Suite 1002</w:t>
            </w:r>
          </w:p>
        </w:tc>
        <w:tc>
          <w:tcPr>
            <w:tcW w:w="17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4"/>
              </w:rPr>
              <w:t>Printing and Publishing</w:t>
            </w:r>
          </w:p>
        </w:tc>
        <w:tc>
          <w:tcPr>
            <w:tcW w:w="29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1M L+625, 06/28/2022</w:t>
            </w:r>
          </w:p>
        </w:tc>
        <w:tc>
          <w:tcPr>
            <w:tcW w:w="8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10001</w:t>
            </w:r>
          </w:p>
        </w:tc>
        <w:tc>
          <w:tcPr>
            <w:tcW w:w="14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4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Type of Investment,</w:t>
            </w:r>
          </w:p>
        </w:tc>
        <w:tc>
          <w:tcPr>
            <w:tcW w:w="12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3960" w:type="dxa"/>
            <w:vAlign w:val="bottom"/>
            <w:gridSpan w:val="2"/>
            <w:vMerge w:val="continue"/>
          </w:tcPr>
          <w:p>
            <w:pPr>
              <w:spacing w:after="0"/>
              <w:rPr>
                <w:sz w:val="12"/>
                <w:szCs w:val="12"/>
                <w:color w:val="auto"/>
              </w:rPr>
            </w:pPr>
          </w:p>
        </w:tc>
        <w:tc>
          <w:tcPr>
            <w:tcW w:w="1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Nature of Business</w:t>
            </w:r>
          </w:p>
        </w:tc>
        <w:tc>
          <w:tcPr>
            <w:tcW w:w="3040" w:type="dxa"/>
            <w:vAlign w:val="bottom"/>
            <w:gridSpan w:val="3"/>
            <w:vMerge w:val="continue"/>
          </w:tcPr>
          <w:p>
            <w:pPr>
              <w:spacing w:after="0"/>
              <w:rPr>
                <w:sz w:val="12"/>
                <w:szCs w:val="12"/>
                <w:color w:val="auto"/>
              </w:rPr>
            </w:pPr>
          </w:p>
        </w:tc>
        <w:tc>
          <w:tcPr>
            <w:tcW w:w="1260" w:type="dxa"/>
            <w:vAlign w:val="bottom"/>
            <w:gridSpan w:val="2"/>
          </w:tcPr>
          <w:p>
            <w:pPr>
              <w:jc w:val="right"/>
              <w:ind w:right="52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08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2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8"/>
        </w:trPr>
        <w:tc>
          <w:tcPr>
            <w:tcW w:w="396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Research Now Group, Inc. and Survey Sampling International</w:t>
            </w:r>
          </w:p>
        </w:tc>
        <w:tc>
          <w:tcPr>
            <w:tcW w:w="158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Business Services</w:t>
            </w:r>
          </w:p>
        </w:tc>
        <w:tc>
          <w:tcPr>
            <w:tcW w:w="26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gridSpan w:val="2"/>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8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w:t>
            </w:r>
          </w:p>
        </w:tc>
        <w:tc>
          <w:tcPr>
            <w:tcW w:w="4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24,601</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LLC</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3"/>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rPr>
              <w:t>3M L+550, 12/20/2024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396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5800 Tennyson Parkway, Suite 600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Plano, TX 75024</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Riverpoint Medical, LLC</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Healthcare Equipment and</w:t>
            </w: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4,957</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825 NE 25th Avenue</w:t>
            </w:r>
          </w:p>
        </w:tc>
        <w:tc>
          <w:tcPr>
            <w:tcW w:w="1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3"/>
              </w:rPr>
              <w:t>Supplies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L+500, 06/20/2025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Portland, OR 97232</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Salient CRGT Inc.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High Tech Industries</w:t>
            </w:r>
          </w:p>
        </w:tc>
        <w:tc>
          <w:tcPr>
            <w:tcW w:w="3040" w:type="dxa"/>
            <w:vAlign w:val="bottom"/>
            <w:gridSpan w:val="3"/>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4000 Legato Road, Suite 600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L+600, 02/28/2022</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Fairfax, VA 22033</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Schlesinger Global, Inc.</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Professional Services</w:t>
            </w: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320"/>
              <w:spacing w:after="0"/>
              <w:rPr>
                <w:sz w:val="20"/>
                <w:szCs w:val="20"/>
                <w:color w:val="auto"/>
              </w:rPr>
            </w:pPr>
            <w:r>
              <w:rPr>
                <w:rFonts w:ascii="Arial" w:cs="Arial" w:eastAsia="Arial" w:hAnsi="Arial"/>
                <w:sz w:val="14"/>
                <w:szCs w:val="14"/>
                <w:color w:val="auto"/>
              </w:rPr>
              <w:t>0.8%</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19,327</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(Gauge Schlesinger Coinvest, LLC)</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L+500, 07/14/2025</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101 Wood Avenue South, Suite 501</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Iselin, NJ 08830</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Signature Systems Holding Company</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Commercial Services &amp;</w:t>
            </w:r>
          </w:p>
        </w:tc>
        <w:tc>
          <w:tcPr>
            <w:tcW w:w="3040" w:type="dxa"/>
            <w:vAlign w:val="bottom"/>
            <w:gridSpan w:val="3"/>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1.7%</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14,174</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(Signature CR Intermediate Holdco, Inc.)</w:t>
            </w:r>
          </w:p>
        </w:tc>
        <w:tc>
          <w:tcPr>
            <w:tcW w:w="18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Supplies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L+650, 05/03/2024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1201 Lakeside Parkway, Suite 150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3"/>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Flower Mound, TX 75028</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040" w:type="dxa"/>
            <w:vAlign w:val="bottom"/>
            <w:gridSpan w:val="3"/>
            <w:shd w:val="clear" w:color="auto" w:fill="CCEEFF"/>
          </w:tcPr>
          <w:p>
            <w:pPr>
              <w:jc w:val="center"/>
              <w:ind w:right="280"/>
              <w:spacing w:after="0"/>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Smile Brands Inc.</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Healthcare and</w:t>
            </w: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2,305</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100 Spectrum Center Drive</w:t>
            </w:r>
          </w:p>
        </w:tc>
        <w:tc>
          <w:tcPr>
            <w:tcW w:w="18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Pharmaceuticals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L+450, 10/14/2024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Irvine, CA 92618</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Snak Club, LLC</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89"/>
              </w:rPr>
              <w:t>Beverage, Food and</w:t>
            </w:r>
          </w:p>
        </w:tc>
        <w:tc>
          <w:tcPr>
            <w:tcW w:w="3040" w:type="dxa"/>
            <w:vAlign w:val="bottom"/>
            <w:gridSpan w:val="3"/>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5560 E Slauson Ave</w:t>
            </w:r>
          </w:p>
        </w:tc>
        <w:tc>
          <w:tcPr>
            <w:tcW w:w="18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Tobacco</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L+600, 07/19/2021</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Commerce, CA 90040</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Solutionreach, Inc.</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Healthcare Technology</w:t>
            </w:r>
          </w:p>
        </w:tc>
        <w:tc>
          <w:tcPr>
            <w:tcW w:w="3040" w:type="dxa"/>
            <w:vAlign w:val="bottom"/>
            <w:gridSpan w:val="3"/>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13,061</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2600 N. Ashton Blvd.</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L+575, 01/17/2024</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Lehi, UT 84043</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SSC Dominion Holdings, LLC</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4"/>
              </w:rPr>
              <w:t>Capital Equipment</w:t>
            </w:r>
          </w:p>
        </w:tc>
        <w:tc>
          <w:tcPr>
            <w:tcW w:w="3040" w:type="dxa"/>
            <w:vAlign w:val="bottom"/>
            <w:gridSpan w:val="3"/>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6"/>
              </w:rPr>
              <w:t>Common Equity</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1,269</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215 Spadina Ave, Suite 200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Toronto, ON MST 2C7</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TeleGuam Holdings, LLC</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Telecommunications</w:t>
            </w:r>
          </w:p>
        </w:tc>
        <w:tc>
          <w:tcPr>
            <w:tcW w:w="3040" w:type="dxa"/>
            <w:vAlign w:val="bottom"/>
            <w:gridSpan w:val="3"/>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7,399</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624 North Marine Corps Drive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L+500, 07/25/2023</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Tamuning, Guam 96913</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Teneo Holdings LLC</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7"/>
              </w:rPr>
              <w:t>Diversified Financial</w:t>
            </w:r>
          </w:p>
        </w:tc>
        <w:tc>
          <w:tcPr>
            <w:tcW w:w="3040" w:type="dxa"/>
            <w:vAlign w:val="bottom"/>
            <w:gridSpan w:val="3"/>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50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9,525</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280 Park Avenue, 4th Floor</w:t>
            </w:r>
          </w:p>
        </w:tc>
        <w:tc>
          <w:tcPr>
            <w:tcW w:w="18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3"/>
              </w:rPr>
              <w:t>Services</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L+525, 07/18/2025</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10017</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Tensar Corporation</w:t>
            </w:r>
          </w:p>
        </w:tc>
        <w:tc>
          <w:tcPr>
            <w:tcW w:w="1840" w:type="dxa"/>
            <w:vAlign w:val="bottom"/>
            <w:gridSpan w:val="2"/>
          </w:tcPr>
          <w:p>
            <w:pPr>
              <w:jc w:val="center"/>
              <w:ind w:right="260"/>
              <w:spacing w:after="0"/>
              <w:rPr>
                <w:sz w:val="20"/>
                <w:szCs w:val="20"/>
                <w:color w:val="auto"/>
              </w:rPr>
            </w:pPr>
            <w:r>
              <w:rPr>
                <w:rFonts w:ascii="Arial" w:cs="Arial" w:eastAsia="Arial" w:hAnsi="Arial"/>
                <w:sz w:val="14"/>
                <w:szCs w:val="14"/>
                <w:color w:val="auto"/>
                <w:w w:val="92"/>
              </w:rPr>
              <w:t>Construction and</w:t>
            </w:r>
          </w:p>
        </w:tc>
        <w:tc>
          <w:tcPr>
            <w:tcW w:w="3040" w:type="dxa"/>
            <w:vAlign w:val="bottom"/>
            <w:gridSpan w:val="3"/>
          </w:tcPr>
          <w:p>
            <w:pPr>
              <w:jc w:val="center"/>
              <w:ind w:right="260"/>
              <w:spacing w:after="0"/>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21,716</w:t>
            </w: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2500 Northwinds Parkway, Ste. 500</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8"/>
              </w:rPr>
              <w:t>Buildings</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tcPr>
          <w:p>
            <w:pPr>
              <w:jc w:val="right"/>
              <w:ind w:right="980"/>
              <w:spacing w:after="0" w:line="149" w:lineRule="exact"/>
              <w:rPr>
                <w:sz w:val="20"/>
                <w:szCs w:val="20"/>
                <w:color w:val="auto"/>
              </w:rPr>
            </w:pPr>
            <w:r>
              <w:rPr>
                <w:rFonts w:ascii="Arial" w:cs="Arial" w:eastAsia="Arial" w:hAnsi="Arial"/>
                <w:sz w:val="14"/>
                <w:szCs w:val="14"/>
                <w:color w:val="auto"/>
                <w:w w:val="95"/>
              </w:rPr>
              <w:t>L+475, 07/09/2021</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960" w:type="dxa"/>
            <w:vAlign w:val="bottom"/>
            <w:gridSpan w:val="2"/>
          </w:tcPr>
          <w:p>
            <w:pPr>
              <w:spacing w:after="0"/>
              <w:rPr>
                <w:sz w:val="20"/>
                <w:szCs w:val="20"/>
                <w:color w:val="auto"/>
              </w:rPr>
            </w:pPr>
            <w:r>
              <w:rPr>
                <w:rFonts w:ascii="Arial" w:cs="Arial" w:eastAsia="Arial" w:hAnsi="Arial"/>
                <w:sz w:val="14"/>
                <w:szCs w:val="14"/>
                <w:color w:val="auto"/>
              </w:rPr>
              <w:t>Alpharetta, GA 30009</w:t>
            </w: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The Infosoft Group, LLC</w:t>
            </w:r>
          </w:p>
        </w:tc>
        <w:tc>
          <w:tcPr>
            <w:tcW w:w="1840" w:type="dxa"/>
            <w:vAlign w:val="bottom"/>
            <w:gridSpan w:val="2"/>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Media: Broadcasting and</w:t>
            </w:r>
          </w:p>
        </w:tc>
        <w:tc>
          <w:tcPr>
            <w:tcW w:w="3040" w:type="dxa"/>
            <w:vAlign w:val="bottom"/>
            <w:gridSpan w:val="3"/>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4"/>
              </w:rPr>
              <w:t>First Lien Secured Debt,</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18,978</w:t>
            </w:r>
          </w:p>
        </w:tc>
        <w:tc>
          <w:tcPr>
            <w:tcW w:w="0" w:type="dxa"/>
            <w:vAlign w:val="bottom"/>
          </w:tcPr>
          <w:p>
            <w:pPr>
              <w:spacing w:after="0"/>
              <w:rPr>
                <w:sz w:val="1"/>
                <w:szCs w:val="1"/>
                <w:color w:val="auto"/>
              </w:rPr>
            </w:pPr>
          </w:p>
        </w:tc>
      </w:tr>
      <w:tr>
        <w:trPr>
          <w:trHeight w:val="149"/>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(Gauge InfosoftCoInvest, LLC)</w:t>
            </w:r>
          </w:p>
        </w:tc>
        <w:tc>
          <w:tcPr>
            <w:tcW w:w="18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color w:val="auto"/>
                <w:w w:val="96"/>
              </w:rPr>
              <w:t>Subscription</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3M</w:t>
            </w:r>
          </w:p>
        </w:tc>
        <w:tc>
          <w:tcPr>
            <w:tcW w:w="2120" w:type="dxa"/>
            <w:vAlign w:val="bottom"/>
            <w:gridSpan w:val="2"/>
            <w:shd w:val="clear" w:color="auto" w:fill="CCEEFF"/>
          </w:tcPr>
          <w:p>
            <w:pPr>
              <w:jc w:val="right"/>
              <w:ind w:right="980"/>
              <w:spacing w:after="0" w:line="149" w:lineRule="exact"/>
              <w:rPr>
                <w:sz w:val="20"/>
                <w:szCs w:val="20"/>
                <w:color w:val="auto"/>
              </w:rPr>
            </w:pPr>
            <w:r>
              <w:rPr>
                <w:rFonts w:ascii="Arial" w:cs="Arial" w:eastAsia="Arial" w:hAnsi="Arial"/>
                <w:sz w:val="14"/>
                <w:szCs w:val="14"/>
                <w:color w:val="auto"/>
                <w:w w:val="95"/>
              </w:rPr>
              <w:t>L+525, 09/16/2024</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1000 North Water Street, Suite 1100</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040" w:type="dxa"/>
            <w:vAlign w:val="bottom"/>
            <w:gridSpan w:val="3"/>
            <w:shd w:val="clear" w:color="auto" w:fill="CCEEFF"/>
          </w:tcPr>
          <w:p>
            <w:pPr>
              <w:jc w:val="center"/>
              <w:ind w:right="28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Milwaukee, WI 53202</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960" w:type="dxa"/>
            <w:vAlign w:val="bottom"/>
            <w:gridSpan w:val="2"/>
          </w:tcPr>
          <w:p>
            <w:pPr>
              <w:spacing w:after="0"/>
              <w:rPr>
                <w:sz w:val="20"/>
                <w:szCs w:val="20"/>
                <w:color w:val="auto"/>
              </w:rPr>
            </w:pPr>
            <w:r>
              <w:rPr>
                <w:rFonts w:ascii="Arial" w:cs="Arial" w:eastAsia="Arial" w:hAnsi="Arial"/>
                <w:sz w:val="14"/>
                <w:szCs w:val="14"/>
                <w:color w:val="auto"/>
              </w:rPr>
              <w:t>The Original Cakerie, Co.</w:t>
            </w:r>
            <w:r>
              <w:rPr>
                <w:rFonts w:ascii="Arial" w:cs="Arial" w:eastAsia="Arial" w:hAnsi="Arial"/>
                <w:sz w:val="12"/>
                <w:szCs w:val="12"/>
                <w:color w:val="auto"/>
              </w:rPr>
              <w:t>(3)</w:t>
            </w:r>
          </w:p>
        </w:tc>
        <w:tc>
          <w:tcPr>
            <w:tcW w:w="1840" w:type="dxa"/>
            <w:vAlign w:val="bottom"/>
            <w:gridSpan w:val="2"/>
          </w:tcPr>
          <w:p>
            <w:pPr>
              <w:jc w:val="center"/>
              <w:ind w:right="280"/>
              <w:spacing w:after="0"/>
              <w:rPr>
                <w:sz w:val="20"/>
                <w:szCs w:val="20"/>
                <w:color w:val="auto"/>
              </w:rPr>
            </w:pPr>
            <w:r>
              <w:rPr>
                <w:rFonts w:ascii="Arial" w:cs="Arial" w:eastAsia="Arial" w:hAnsi="Arial"/>
                <w:sz w:val="14"/>
                <w:szCs w:val="14"/>
                <w:color w:val="auto"/>
                <w:w w:val="91"/>
              </w:rPr>
              <w:t>Consumer Goods:</w:t>
            </w:r>
          </w:p>
        </w:tc>
        <w:tc>
          <w:tcPr>
            <w:tcW w:w="3040" w:type="dxa"/>
            <w:vAlign w:val="bottom"/>
            <w:gridSpan w:val="3"/>
          </w:tcPr>
          <w:p>
            <w:pPr>
              <w:jc w:val="center"/>
              <w:ind w:right="28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26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13,154</w:t>
            </w:r>
          </w:p>
        </w:tc>
        <w:tc>
          <w:tcPr>
            <w:tcW w:w="0" w:type="dxa"/>
            <w:vAlign w:val="bottom"/>
          </w:tcPr>
          <w:p>
            <w:pPr>
              <w:spacing w:after="0"/>
              <w:rPr>
                <w:sz w:val="1"/>
                <w:szCs w:val="1"/>
                <w:color w:val="auto"/>
              </w:rPr>
            </w:pPr>
          </w:p>
        </w:tc>
      </w:tr>
      <w:tr>
        <w:trPr>
          <w:trHeight w:val="149"/>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The Original Cakerie Ltd.</w:t>
            </w:r>
            <w:r>
              <w:rPr>
                <w:rFonts w:ascii="Arial" w:cs="Arial" w:eastAsia="Arial" w:hAnsi="Arial"/>
                <w:sz w:val="12"/>
                <w:szCs w:val="12"/>
                <w:color w:val="auto"/>
              </w:rPr>
              <w:t>(3)</w:t>
            </w:r>
          </w:p>
        </w:tc>
        <w:tc>
          <w:tcPr>
            <w:tcW w:w="1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Non-Durable</w:t>
            </w:r>
          </w:p>
        </w:tc>
        <w:tc>
          <w:tcPr>
            <w:tcW w:w="30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4"/>
              </w:rPr>
              <w:t>The Original Cakerie, Co.</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1345 Cliveden Ave</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(2M L+500, 07/20/2022),</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2"/>
          </w:tcPr>
          <w:p>
            <w:pPr>
              <w:spacing w:after="0" w:line="149" w:lineRule="exact"/>
              <w:rPr>
                <w:sz w:val="20"/>
                <w:szCs w:val="20"/>
                <w:color w:val="auto"/>
              </w:rPr>
            </w:pPr>
            <w:r>
              <w:rPr>
                <w:rFonts w:ascii="Arial" w:cs="Arial" w:eastAsia="Arial" w:hAnsi="Arial"/>
                <w:sz w:val="14"/>
                <w:szCs w:val="14"/>
                <w:color w:val="auto"/>
              </w:rPr>
              <w:t>Delta, BC V3M 6C7, Canada</w:t>
            </w:r>
          </w:p>
        </w:tc>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4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5"/>
              </w:rPr>
              <w:t>The Original Cakerie, Ltd.</w:t>
            </w: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(2M</w:t>
            </w:r>
          </w:p>
        </w:tc>
        <w:tc>
          <w:tcPr>
            <w:tcW w:w="2120" w:type="dxa"/>
            <w:vAlign w:val="bottom"/>
            <w:gridSpan w:val="2"/>
          </w:tcPr>
          <w:p>
            <w:pPr>
              <w:jc w:val="right"/>
              <w:ind w:right="940"/>
              <w:spacing w:after="0"/>
              <w:rPr>
                <w:sz w:val="20"/>
                <w:szCs w:val="20"/>
                <w:color w:val="auto"/>
              </w:rPr>
            </w:pPr>
            <w:r>
              <w:rPr>
                <w:rFonts w:ascii="Arial" w:cs="Arial" w:eastAsia="Arial" w:hAnsi="Arial"/>
                <w:sz w:val="14"/>
                <w:szCs w:val="14"/>
                <w:color w:val="auto"/>
                <w:w w:val="95"/>
              </w:rPr>
              <w:t>L+450, 07/20/2022)</w:t>
            </w: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76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TPC Broadband Investors, LP</w:t>
            </w:r>
            <w:r>
              <w:rPr>
                <w:rFonts w:ascii="Arial" w:cs="Arial" w:eastAsia="Arial" w:hAnsi="Arial"/>
                <w:sz w:val="12"/>
                <w:szCs w:val="12"/>
                <w:color w:val="auto"/>
              </w:rPr>
              <w:t>(5)</w:t>
            </w:r>
          </w:p>
        </w:tc>
        <w:tc>
          <w:tcPr>
            <w:tcW w:w="1840" w:type="dxa"/>
            <w:vAlign w:val="bottom"/>
            <w:gridSpan w:val="2"/>
            <w:shd w:val="clear" w:color="auto" w:fill="CCEEFF"/>
          </w:tcPr>
          <w:p>
            <w:pPr>
              <w:jc w:val="center"/>
              <w:ind w:right="280"/>
              <w:spacing w:after="0" w:line="130" w:lineRule="exact"/>
              <w:rPr>
                <w:sz w:val="20"/>
                <w:szCs w:val="20"/>
                <w:color w:val="auto"/>
              </w:rPr>
            </w:pPr>
            <w:r>
              <w:rPr>
                <w:rFonts w:ascii="Arial" w:cs="Arial" w:eastAsia="Arial" w:hAnsi="Arial"/>
                <w:sz w:val="14"/>
                <w:szCs w:val="14"/>
                <w:color w:val="auto"/>
                <w:w w:val="93"/>
              </w:rPr>
              <w:t>Telecommunications</w:t>
            </w:r>
          </w:p>
        </w:tc>
        <w:tc>
          <w:tcPr>
            <w:tcW w:w="3040" w:type="dxa"/>
            <w:vAlign w:val="bottom"/>
            <w:gridSpan w:val="3"/>
            <w:shd w:val="clear" w:color="auto" w:fill="CCEEFF"/>
          </w:tcPr>
          <w:p>
            <w:pPr>
              <w:jc w:val="center"/>
              <w:ind w:right="26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(4)</w:t>
            </w:r>
          </w:p>
        </w:tc>
        <w:tc>
          <w:tcPr>
            <w:tcW w:w="1260" w:type="dxa"/>
            <w:vAlign w:val="bottom"/>
            <w:gridSpan w:val="2"/>
            <w:shd w:val="clear" w:color="auto" w:fill="CCEEFF"/>
          </w:tcPr>
          <w:p>
            <w:pPr>
              <w:jc w:val="right"/>
              <w:ind w:right="320"/>
              <w:spacing w:after="0" w:line="130" w:lineRule="exact"/>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148"/>
        </w:trPr>
        <w:tc>
          <w:tcPr>
            <w:tcW w:w="3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12409 NW 35 Street</w:t>
            </w:r>
          </w:p>
        </w:tc>
        <w:tc>
          <w:tcPr>
            <w:tcW w:w="1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Coral Springs, FL 33065</w:t>
            </w:r>
          </w:p>
        </w:tc>
        <w:tc>
          <w:tcPr>
            <w:tcW w:w="1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Type of Investment,</w:t>
            </w:r>
          </w:p>
        </w:tc>
        <w:tc>
          <w:tcPr>
            <w:tcW w:w="13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Voting</w:t>
            </w:r>
          </w:p>
        </w:tc>
        <w:tc>
          <w:tcPr>
            <w:tcW w:w="80" w:type="dxa"/>
            <w:vAlign w:val="bottom"/>
          </w:tcPr>
          <w:p>
            <w:pPr>
              <w:spacing w:after="0"/>
              <w:rPr>
                <w:sz w:val="14"/>
                <w:szCs w:val="14"/>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4"/>
        </w:trPr>
        <w:tc>
          <w:tcPr>
            <w:tcW w:w="4080" w:type="dxa"/>
            <w:vAlign w:val="bottom"/>
            <w:gridSpan w:val="2"/>
            <w:vMerge w:val="continue"/>
          </w:tcPr>
          <w:p>
            <w:pPr>
              <w:spacing w:after="0"/>
              <w:rPr>
                <w:sz w:val="12"/>
                <w:szCs w:val="12"/>
                <w:color w:val="auto"/>
              </w:rPr>
            </w:pPr>
          </w:p>
        </w:tc>
        <w:tc>
          <w:tcPr>
            <w:tcW w:w="1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Nature of Business</w:t>
            </w:r>
          </w:p>
        </w:tc>
        <w:tc>
          <w:tcPr>
            <w:tcW w:w="2960" w:type="dxa"/>
            <w:vAlign w:val="bottom"/>
            <w:gridSpan w:val="2"/>
            <w:vMerge w:val="continue"/>
          </w:tcPr>
          <w:p>
            <w:pPr>
              <w:spacing w:after="0"/>
              <w:rPr>
                <w:sz w:val="12"/>
                <w:szCs w:val="12"/>
                <w:color w:val="auto"/>
              </w:rPr>
            </w:pPr>
          </w:p>
        </w:tc>
        <w:tc>
          <w:tcPr>
            <w:tcW w:w="1320" w:type="dxa"/>
            <w:vAlign w:val="bottom"/>
            <w:gridSpan w:val="2"/>
          </w:tcPr>
          <w:p>
            <w:pPr>
              <w:jc w:val="right"/>
              <w:ind w:right="580"/>
              <w:spacing w:after="0" w:line="145" w:lineRule="exact"/>
              <w:rPr>
                <w:sz w:val="20"/>
                <w:szCs w:val="20"/>
                <w:color w:val="auto"/>
              </w:rPr>
            </w:pPr>
            <w:r>
              <w:rPr>
                <w:rFonts w:ascii="Arial" w:cs="Arial" w:eastAsia="Arial" w:hAnsi="Arial"/>
                <w:sz w:val="14"/>
                <w:szCs w:val="14"/>
                <w:b w:val="1"/>
                <w:bCs w:val="1"/>
                <w:color w:val="auto"/>
                <w:w w:val="95"/>
              </w:rPr>
              <w:t>Percentage</w:t>
            </w:r>
          </w:p>
        </w:tc>
        <w:tc>
          <w:tcPr>
            <w:tcW w:w="8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Address of Portfolio Company</w:t>
            </w:r>
          </w:p>
        </w:tc>
        <w:tc>
          <w:tcPr>
            <w:tcW w:w="220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Interest</w:t>
            </w:r>
            <w:r>
              <w:rPr>
                <w:rFonts w:ascii="Arial" w:cs="Arial" w:eastAsia="Arial" w:hAnsi="Arial"/>
                <w:sz w:val="12"/>
                <w:szCs w:val="12"/>
                <w:b w:val="1"/>
                <w:bCs w:val="1"/>
                <w:color w:val="auto"/>
                <w:w w:val="97"/>
              </w:rPr>
              <w:t>(1)</w:t>
            </w:r>
            <w:r>
              <w:rPr>
                <w:rFonts w:ascii="Arial" w:cs="Arial" w:eastAsia="Arial" w:hAnsi="Arial"/>
                <w:sz w:val="14"/>
                <w:szCs w:val="14"/>
                <w:b w:val="1"/>
                <w:bCs w:val="1"/>
                <w:color w:val="auto"/>
                <w:w w:val="97"/>
              </w:rPr>
              <w:t>, Maturity</w:t>
            </w:r>
          </w:p>
        </w:tc>
        <w:tc>
          <w:tcPr>
            <w:tcW w:w="13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1"/>
              </w:rPr>
              <w:t>Ownership</w:t>
            </w:r>
            <w:r>
              <w:rPr>
                <w:rFonts w:ascii="Arial" w:cs="Arial" w:eastAsia="Arial" w:hAnsi="Arial"/>
                <w:sz w:val="12"/>
                <w:szCs w:val="12"/>
                <w:b w:val="1"/>
                <w:bCs w:val="1"/>
                <w:color w:val="auto"/>
                <w:w w:val="91"/>
              </w:rPr>
              <w:t>(2)</w:t>
            </w: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108"/>
        </w:trPr>
        <w:tc>
          <w:tcPr>
            <w:tcW w:w="4080" w:type="dxa"/>
            <w:vAlign w:val="bottom"/>
            <w:tcBorders>
              <w:top w:val="single" w:sz="8" w:color="CCEEFF"/>
            </w:tcBorders>
            <w:gridSpan w:val="2"/>
            <w:shd w:val="clear" w:color="auto" w:fill="CCEEFF"/>
          </w:tcPr>
          <w:p>
            <w:pPr>
              <w:spacing w:after="0" w:line="109" w:lineRule="exact"/>
              <w:rPr>
                <w:sz w:val="20"/>
                <w:szCs w:val="20"/>
                <w:color w:val="auto"/>
              </w:rPr>
            </w:pPr>
            <w:r>
              <w:rPr>
                <w:rFonts w:ascii="Arial" w:cs="Arial" w:eastAsia="Arial" w:hAnsi="Arial"/>
                <w:sz w:val="12"/>
                <w:szCs w:val="12"/>
                <w:color w:val="auto"/>
              </w:rPr>
              <w:t>Triad Manufacturing, Inc.</w:t>
            </w:r>
          </w:p>
        </w:tc>
        <w:tc>
          <w:tcPr>
            <w:tcW w:w="154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Capital Equipment</w:t>
            </w:r>
          </w:p>
        </w:tc>
        <w:tc>
          <w:tcPr>
            <w:tcW w:w="20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shd w:val="clear" w:color="auto" w:fill="CCEEFF"/>
          </w:tcPr>
          <w:p>
            <w:pPr>
              <w:jc w:val="center"/>
              <w:spacing w:after="0" w:line="109" w:lineRule="exact"/>
              <w:rPr>
                <w:sz w:val="20"/>
                <w:szCs w:val="20"/>
                <w:color w:val="auto"/>
              </w:rPr>
            </w:pPr>
            <w:r>
              <w:rPr>
                <w:rFonts w:ascii="Arial" w:cs="Arial" w:eastAsia="Arial" w:hAnsi="Arial"/>
                <w:sz w:val="12"/>
                <w:szCs w:val="12"/>
                <w:color w:val="auto"/>
              </w:rPr>
              <w:t>First Lien Secured Debt,</w:t>
            </w:r>
          </w:p>
        </w:tc>
        <w:tc>
          <w:tcPr>
            <w:tcW w:w="20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ind w:right="9"/>
              <w:spacing w:after="0" w:line="109" w:lineRule="exact"/>
              <w:rPr>
                <w:sz w:val="20"/>
                <w:szCs w:val="20"/>
                <w:color w:val="auto"/>
              </w:rPr>
            </w:pPr>
            <w:r>
              <w:rPr>
                <w:rFonts w:ascii="Arial" w:cs="Arial" w:eastAsia="Arial" w:hAnsi="Arial"/>
                <w:sz w:val="12"/>
                <w:szCs w:val="12"/>
                <w:color w:val="auto"/>
              </w:rPr>
              <w:t>—</w:t>
            </w:r>
          </w:p>
        </w:tc>
        <w:tc>
          <w:tcPr>
            <w:tcW w:w="5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09"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Arial" w:cs="Arial" w:eastAsia="Arial" w:hAnsi="Arial"/>
                <w:sz w:val="12"/>
                <w:szCs w:val="12"/>
                <w:color w:val="auto"/>
              </w:rPr>
              <w:t>7,633</w:t>
            </w: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4321 Semple Avenue</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4"/>
              </w:rPr>
              <w:t>1M L+1,125, 12/28/2020</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 Louis, MO 63120</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TVC Enterprises, LLC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0"/>
              </w:rPr>
              <w:t>Professional Services</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0.7%</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6,796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(Gauge TVC Coinvest, LLC)</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L+550, 01/18/2024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6100 Lake Forrest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Atlanta, GA 30328</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TWS Acquisition Corporation</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Diversified Consumer</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shd w:val="clear" w:color="auto" w:fill="CCEEFF"/>
          </w:tcPr>
          <w:p>
            <w:pPr>
              <w:jc w:val="right"/>
              <w:ind w:right="5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7,690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120 N. 44th Street #230</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Services</w:t>
            </w: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L+625, 06/16/2025</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Phoenix, AZ 85034</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Tyto Athene, LLC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Aerospace and Defense</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22,089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(NXOF Holdings, Inc.)</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L+575, 08/27/2024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510 Spring St., #200</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Herndon, VA 20170</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UBEO, LLC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6"/>
              </w:rPr>
              <w:t>Capital Equipment</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shd w:val="clear" w:color="auto" w:fill="CCEEFF"/>
          </w:tcPr>
          <w:p>
            <w:pPr>
              <w:jc w:val="right"/>
              <w:ind w:right="5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13,990</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401 East Sonterra Blvd., Suite 350</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L+450, 04/03/2024</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Antonio, TX 78258</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UniTek Global Services, Inc.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Telecommunications</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9,802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1777 Sentry Parkway West</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L+550, 08/20/2024</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Gwynedd Hall, Ste. 202</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Preferred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Blue Bell, PA 19422</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Warrants</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Med Acquisition, Inc.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0"/>
              </w:rPr>
              <w:t>Healthcare and</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shd w:val="clear" w:color="auto" w:fill="CCEEFF"/>
          </w:tcPr>
          <w:p>
            <w:pPr>
              <w:jc w:val="right"/>
              <w:ind w:right="5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2,996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8260 NW 27</w:t>
            </w:r>
            <w:r>
              <w:rPr>
                <w:rFonts w:ascii="Arial" w:cs="Arial" w:eastAsia="Arial" w:hAnsi="Arial"/>
                <w:sz w:val="12"/>
                <w:szCs w:val="12"/>
                <w:color w:val="auto"/>
              </w:rPr>
              <w:t>th</w:t>
            </w:r>
            <w:r>
              <w:rPr>
                <w:rFonts w:ascii="Arial" w:cs="Arial" w:eastAsia="Arial" w:hAnsi="Arial"/>
                <w:sz w:val="14"/>
                <w:szCs w:val="14"/>
                <w:color w:val="auto"/>
              </w:rPr>
              <w:t xml:space="preserve"> Street, Suite 401</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0"/>
              </w:rPr>
              <w:t>Pharmaceuticals</w:t>
            </w: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1M L+900, 08/13/2021</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Doral, FL 33122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Vision Purchaser Corporation</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Media</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3,407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7650 185th Street</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L+625, 06/10/2025</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Tinley Park, IL 60477</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JWC-WE Holdings, L.P.</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Wholesale</w:t>
            </w:r>
          </w:p>
        </w:tc>
        <w:tc>
          <w:tcPr>
            <w:tcW w:w="2960" w:type="dxa"/>
            <w:vAlign w:val="bottom"/>
            <w:gridSpan w:val="2"/>
            <w:shd w:val="clear" w:color="auto" w:fill="CCEEFF"/>
          </w:tcPr>
          <w:p>
            <w:pPr>
              <w:jc w:val="center"/>
              <w:ind w:right="220"/>
              <w:spacing w:after="0" w:line="130"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1320" w:type="dxa"/>
            <w:vAlign w:val="bottom"/>
            <w:gridSpan w:val="2"/>
            <w:shd w:val="clear" w:color="auto" w:fill="CCEEFF"/>
          </w:tcPr>
          <w:p>
            <w:pPr>
              <w:jc w:val="right"/>
              <w:ind w:right="380"/>
              <w:spacing w:after="0" w:line="130"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3,596</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4350 West 2100 South, Suite A</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Salt Lake City, UT 84120</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80" w:type="dxa"/>
            <w:vAlign w:val="bottom"/>
            <w:gridSpan w:val="2"/>
          </w:tcPr>
          <w:p>
            <w:pPr>
              <w:spacing w:after="0"/>
              <w:rPr>
                <w:sz w:val="20"/>
                <w:szCs w:val="20"/>
                <w:color w:val="auto"/>
              </w:rPr>
            </w:pPr>
            <w:r>
              <w:rPr>
                <w:rFonts w:ascii="Arial" w:cs="Arial" w:eastAsia="Arial" w:hAnsi="Arial"/>
                <w:sz w:val="14"/>
                <w:szCs w:val="14"/>
                <w:color w:val="auto"/>
              </w:rPr>
              <w:t>Whitney, Bradley &amp; Brown, Inc.</w:t>
            </w:r>
          </w:p>
        </w:tc>
        <w:tc>
          <w:tcPr>
            <w:tcW w:w="174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Aerospace and Defense</w:t>
            </w: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tcPr>
          <w:p>
            <w:pPr>
              <w:jc w:val="right"/>
              <w:ind w:right="380"/>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5,686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(WBB Equity, LLC)</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1M L+750, 10/18/2022</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11790 Sunrise Valley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80" w:type="dxa"/>
            <w:vAlign w:val="bottom"/>
            <w:gridSpan w:val="2"/>
          </w:tcPr>
          <w:p>
            <w:pPr>
              <w:spacing w:after="0"/>
              <w:rPr>
                <w:sz w:val="20"/>
                <w:szCs w:val="20"/>
                <w:color w:val="auto"/>
              </w:rPr>
            </w:pPr>
            <w:r>
              <w:rPr>
                <w:rFonts w:ascii="Arial" w:cs="Arial" w:eastAsia="Arial" w:hAnsi="Arial"/>
                <w:sz w:val="14"/>
                <w:szCs w:val="14"/>
                <w:color w:val="auto"/>
              </w:rPr>
              <w:t>Reston, VA 20191</w:t>
            </w: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Companies 5% to 24% Owned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80" w:type="dxa"/>
            <w:vAlign w:val="bottom"/>
            <w:gridSpan w:val="2"/>
          </w:tcPr>
          <w:p>
            <w:pPr>
              <w:spacing w:after="0" w:line="130" w:lineRule="exact"/>
              <w:rPr>
                <w:sz w:val="20"/>
                <w:szCs w:val="20"/>
                <w:color w:val="auto"/>
              </w:rPr>
            </w:pPr>
            <w:r>
              <w:rPr>
                <w:rFonts w:ascii="Arial" w:cs="Arial" w:eastAsia="Arial" w:hAnsi="Arial"/>
                <w:sz w:val="14"/>
                <w:szCs w:val="14"/>
                <w:color w:val="auto"/>
              </w:rPr>
              <w:t>Country Fresh Holdings, LLC</w:t>
            </w:r>
          </w:p>
        </w:tc>
        <w:tc>
          <w:tcPr>
            <w:tcW w:w="17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89"/>
              </w:rPr>
              <w:t>Beverage, Food and</w:t>
            </w:r>
          </w:p>
        </w:tc>
        <w:tc>
          <w:tcPr>
            <w:tcW w:w="296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tcPr>
          <w:p>
            <w:pPr>
              <w:jc w:val="right"/>
              <w:ind w:right="380"/>
              <w:spacing w:after="0" w:line="130"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1"/>
                <w:szCs w:val="11"/>
                <w:color w:val="auto"/>
              </w:rPr>
            </w:pPr>
          </w:p>
        </w:tc>
        <w:tc>
          <w:tcPr>
            <w:tcW w:w="820" w:type="dxa"/>
            <w:vAlign w:val="bottom"/>
            <w:gridSpan w:val="2"/>
          </w:tcPr>
          <w:p>
            <w:pPr>
              <w:jc w:val="right"/>
              <w:ind w:right="20"/>
              <w:spacing w:after="0" w:line="130" w:lineRule="exact"/>
              <w:rPr>
                <w:sz w:val="20"/>
                <w:szCs w:val="20"/>
                <w:color w:val="auto"/>
              </w:rPr>
            </w:pPr>
            <w:r>
              <w:rPr>
                <w:rFonts w:ascii="Arial" w:cs="Arial" w:eastAsia="Arial" w:hAnsi="Arial"/>
                <w:sz w:val="14"/>
                <w:szCs w:val="14"/>
                <w:color w:val="auto"/>
              </w:rPr>
              <w:t>14,492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(Country Fresh Holding Company Inc.)</w:t>
            </w:r>
          </w:p>
        </w:tc>
        <w:tc>
          <w:tcPr>
            <w:tcW w:w="1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Tobacco</w:t>
            </w: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3M L+500, 05/01/2023</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15479 Pin Oaks Drive</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Second Lien Secured Debt, 1M L+850 PIK,</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color w:val="auto"/>
              </w:rPr>
              <w:t>Conroe, TX 77384</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Arial" w:cs="Arial" w:eastAsia="Arial" w:hAnsi="Arial"/>
                <w:sz w:val="14"/>
                <w:szCs w:val="14"/>
                <w:color w:val="auto"/>
                <w:w w:val="91"/>
              </w:rPr>
              <w:t>04/29/2024</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8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Common Equity</w:t>
            </w: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188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Quick Weight Loss Centers, LLC</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89"/>
              </w:rPr>
              <w:t>Beverage, Food and</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2"/>
              </w:rPr>
              <w:t>First Lien Secured Debt,</w:t>
            </w:r>
          </w:p>
        </w:tc>
        <w:tc>
          <w:tcPr>
            <w:tcW w:w="13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24.0%</w:t>
            </w:r>
            <w:r>
              <w:rPr>
                <w:rFonts w:ascii="Arial" w:cs="Arial" w:eastAsia="Arial" w:hAnsi="Arial"/>
                <w:sz w:val="12"/>
                <w:szCs w:val="12"/>
                <w:color w:val="auto"/>
              </w:rPr>
              <w:t>(6)</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5,939</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(Quick Weight Loss Centers Holdings, LLC)</w:t>
            </w:r>
          </w:p>
        </w:tc>
        <w:tc>
          <w:tcPr>
            <w:tcW w:w="174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3"/>
              </w:rPr>
              <w:t>Tobacco</w:t>
            </w: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4.0% fixed PIK, 10/12/2023</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3161 Mcnab Road</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1"/>
              </w:rPr>
              <w:t>Second Lien Secured Debt,</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Pompano Beach, FL 33069</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4.0% fixed PIK, 10/12/2023</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8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color w:val="auto"/>
                <w:w w:val="94"/>
              </w:rPr>
              <w:t>Preferred Equity</w:t>
            </w:r>
            <w:r>
              <w:rPr>
                <w:rFonts w:ascii="Arial" w:cs="Arial" w:eastAsia="Arial" w:hAnsi="Arial"/>
                <w:sz w:val="12"/>
                <w:szCs w:val="12"/>
                <w:color w:val="auto"/>
                <w:w w:val="94"/>
              </w:rPr>
              <w:t>(5)</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8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color w:val="auto"/>
                <w:w w:val="96"/>
              </w:rPr>
              <w:t>Common Equity</w:t>
            </w:r>
            <w:r>
              <w:rPr>
                <w:rFonts w:ascii="Arial" w:cs="Arial" w:eastAsia="Arial" w:hAnsi="Arial"/>
                <w:sz w:val="12"/>
                <w:szCs w:val="12"/>
                <w:color w:val="auto"/>
                <w:w w:val="96"/>
              </w:rPr>
              <w:t>(5)</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Companies 25% or More Owned</w:t>
            </w: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0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PennantPark Senior Secured Loan Fund I LLC</w:t>
            </w:r>
            <w:r>
              <w:rPr>
                <w:rFonts w:ascii="Arial" w:cs="Arial" w:eastAsia="Arial" w:hAnsi="Arial"/>
                <w:sz w:val="12"/>
                <w:szCs w:val="12"/>
                <w:color w:val="auto"/>
              </w:rPr>
              <w:t>(3)</w:t>
            </w:r>
          </w:p>
        </w:tc>
        <w:tc>
          <w:tcPr>
            <w:tcW w:w="174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3"/>
              </w:rPr>
              <w:t>Financial Services</w:t>
            </w:r>
          </w:p>
        </w:tc>
        <w:tc>
          <w:tcPr>
            <w:tcW w:w="2960" w:type="dxa"/>
            <w:vAlign w:val="bottom"/>
            <w:gridSpan w:val="2"/>
            <w:shd w:val="clear" w:color="auto" w:fill="CCEEFF"/>
          </w:tcPr>
          <w:p>
            <w:pPr>
              <w:jc w:val="center"/>
              <w:ind w:right="200"/>
              <w:spacing w:after="0" w:line="130" w:lineRule="exact"/>
              <w:rPr>
                <w:sz w:val="20"/>
                <w:szCs w:val="20"/>
                <w:color w:val="auto"/>
              </w:rPr>
            </w:pPr>
            <w:r>
              <w:rPr>
                <w:rFonts w:ascii="Arial" w:cs="Arial" w:eastAsia="Arial" w:hAnsi="Arial"/>
                <w:sz w:val="14"/>
                <w:szCs w:val="14"/>
                <w:color w:val="auto"/>
                <w:w w:val="94"/>
              </w:rPr>
              <w:t>First Lien Secured Debt</w:t>
            </w:r>
            <w:r>
              <w:rPr>
                <w:rFonts w:ascii="Arial" w:cs="Arial" w:eastAsia="Arial" w:hAnsi="Arial"/>
                <w:sz w:val="12"/>
                <w:szCs w:val="12"/>
                <w:color w:val="auto"/>
                <w:w w:val="94"/>
              </w:rPr>
              <w:t>(4)</w:t>
            </w:r>
            <w:r>
              <w:rPr>
                <w:rFonts w:ascii="Arial" w:cs="Arial" w:eastAsia="Arial" w:hAnsi="Arial"/>
                <w:sz w:val="14"/>
                <w:szCs w:val="14"/>
                <w:color w:val="auto"/>
                <w:w w:val="94"/>
              </w:rPr>
              <w:t>,</w:t>
            </w:r>
          </w:p>
        </w:tc>
        <w:tc>
          <w:tcPr>
            <w:tcW w:w="132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50.0%</w:t>
            </w:r>
            <w:r>
              <w:rPr>
                <w:rFonts w:ascii="Arial" w:cs="Arial" w:eastAsia="Arial" w:hAnsi="Arial"/>
                <w:sz w:val="12"/>
                <w:szCs w:val="12"/>
                <w:color w:val="auto"/>
              </w:rPr>
              <w:t>(6)</w:t>
            </w:r>
          </w:p>
        </w:tc>
        <w:tc>
          <w:tcPr>
            <w:tcW w:w="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20"/>
              <w:spacing w:after="0" w:line="130" w:lineRule="exact"/>
              <w:rPr>
                <w:sz w:val="20"/>
                <w:szCs w:val="20"/>
                <w:color w:val="auto"/>
              </w:rPr>
            </w:pPr>
            <w:r>
              <w:rPr>
                <w:rFonts w:ascii="Arial" w:cs="Arial" w:eastAsia="Arial" w:hAnsi="Arial"/>
                <w:sz w:val="14"/>
                <w:szCs w:val="14"/>
                <w:color w:val="auto"/>
              </w:rPr>
              <w:t>172,163</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590 Madison Avenue, 15</w:t>
            </w:r>
            <w:r>
              <w:rPr>
                <w:rFonts w:ascii="Arial" w:cs="Arial" w:eastAsia="Arial" w:hAnsi="Arial"/>
                <w:sz w:val="12"/>
                <w:szCs w:val="12"/>
                <w:color w:val="auto"/>
              </w:rPr>
              <w:t>th</w:t>
            </w:r>
            <w:r>
              <w:rPr>
                <w:rFonts w:ascii="Arial" w:cs="Arial" w:eastAsia="Arial" w:hAnsi="Arial"/>
                <w:sz w:val="14"/>
                <w:szCs w:val="14"/>
                <w:color w:val="auto"/>
              </w:rPr>
              <w:t xml:space="preserve"> Floor</w:t>
            </w: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96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color w:val="auto"/>
                <w:w w:val="96"/>
              </w:rPr>
              <w:t>3M L+800, 05/06/2024</w:t>
            </w:r>
          </w:p>
        </w:tc>
        <w:tc>
          <w:tcPr>
            <w:tcW w:w="8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York, NY 10022</w:t>
            </w:r>
          </w:p>
        </w:tc>
        <w:tc>
          <w:tcPr>
            <w:tcW w:w="1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96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color w:val="auto"/>
                <w:w w:val="95"/>
              </w:rPr>
              <w:t>Equity Interest</w:t>
            </w:r>
            <w:r>
              <w:rPr>
                <w:rFonts w:ascii="Arial" w:cs="Arial" w:eastAsia="Arial" w:hAnsi="Arial"/>
                <w:sz w:val="12"/>
                <w:szCs w:val="12"/>
                <w:color w:val="auto"/>
                <w:w w:val="95"/>
              </w:rPr>
              <w:t>(4)</w:t>
            </w:r>
          </w:p>
        </w:tc>
        <w:tc>
          <w:tcPr>
            <w:tcW w:w="8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08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1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1,081,707</w:t>
            </w: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right="20" w:hanging="424"/>
        <w:spacing w:after="0" w:line="243" w:lineRule="auto"/>
        <w:tabs>
          <w:tab w:leader="none" w:pos="5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Represents basis point spread above index for floating rate instruments that accrue interest at a predetermined spread relative to an index, typically the applicable London Interbank Offered Rate, or LIBOR or “L,” or Prime rate, or “P.” The spread may change based on the type of rate used. The terms disclosed are the actual interest rate in effect as of 9/30/19.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540" w:hanging="424"/>
        <w:spacing w:after="0" w:line="221" w:lineRule="auto"/>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to have voting rights.</w:t>
      </w:r>
    </w:p>
    <w:p>
      <w:pPr>
        <w:ind w:left="540" w:hanging="424"/>
        <w:spacing w:after="0" w:line="221" w:lineRule="auto"/>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79% of our total assets and non-qualifying assets represent 21% of our total assets.</w:t>
      </w:r>
    </w:p>
    <w:p>
      <w:pPr>
        <w:ind w:left="540" w:hanging="424"/>
        <w:spacing w:after="0" w:line="221" w:lineRule="auto"/>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the purchase of a security with delayed settlement or a revolving line of credit that is currently an unfunded investment, that does not earn a basis point spread above an index while it is unfunded.</w:t>
      </w:r>
    </w:p>
    <w:p>
      <w:pPr>
        <w:ind w:left="540" w:hanging="424"/>
        <w:spacing w:after="0" w:line="221" w:lineRule="auto"/>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Investment is held through our Taxable Subsidiary.</w:t>
      </w:r>
    </w:p>
    <w:p>
      <w:pPr>
        <w:ind w:left="540" w:hanging="424"/>
        <w:spacing w:after="0"/>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We hold one or more voting seats on the portfolio company’s board of directors/managers.</w:t>
      </w:r>
    </w:p>
    <w:p>
      <w:pPr>
        <w:spacing w:after="0" w:line="196"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and cash equivalents) in such industries: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Industry Classification</w:t>
            </w:r>
          </w:p>
        </w:tc>
        <w:tc>
          <w:tcPr>
            <w:tcW w:w="2680" w:type="dxa"/>
            <w:vAlign w:val="bottom"/>
          </w:tcPr>
          <w:p>
            <w:pPr>
              <w:spacing w:after="0"/>
              <w:rPr>
                <w:sz w:val="14"/>
                <w:szCs w:val="14"/>
                <w:color w:val="auto"/>
              </w:rPr>
            </w:pPr>
          </w:p>
        </w:tc>
        <w:tc>
          <w:tcPr>
            <w:tcW w:w="30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September 30, 2019</w:t>
            </w:r>
            <w:r>
              <w:rPr>
                <w:rFonts w:ascii="Arial" w:cs="Arial" w:eastAsia="Arial" w:hAnsi="Arial"/>
                <w:sz w:val="12"/>
                <w:szCs w:val="12"/>
                <w:b w:val="1"/>
                <w:bCs w:val="1"/>
                <w:color w:val="auto"/>
              </w:rPr>
              <w:t>(1)</w:t>
            </w:r>
          </w:p>
        </w:tc>
        <w:tc>
          <w:tcPr>
            <w:tcW w:w="2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September 30, 2018</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1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9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4100" w:type="dxa"/>
            <w:vAlign w:val="bottom"/>
            <w:gridSpan w:val="3"/>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10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7%</w:t>
            </w:r>
          </w:p>
        </w:tc>
        <w:tc>
          <w:tcPr>
            <w:tcW w:w="600" w:type="dxa"/>
            <w:vAlign w:val="bottom"/>
            <w:vMerge w:val="continue"/>
            <w:shd w:val="clear" w:color="auto" w:fill="CCEEFF"/>
          </w:tcPr>
          <w:p>
            <w:pPr>
              <w:spacing w:after="0"/>
              <w:rPr>
                <w:sz w:val="17"/>
                <w:szCs w:val="17"/>
                <w:color w:val="auto"/>
              </w:rPr>
            </w:pPr>
          </w:p>
        </w:tc>
        <w:tc>
          <w:tcPr>
            <w:tcW w:w="15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Hotel, Gaming and Leisure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Healthcare and Pharmaceuticals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Capital Equipment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Media</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Media: Diversified and Production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Consumer Goods: Non-Durable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Diversified Financial Services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Wholesale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Building Products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Commercial Services &amp; Supplies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Hotels, Restaurants and Leisure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Media: Broadcasting and Subscription</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Diversified Consumer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Healthcare Technology</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 Services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Retail</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Other</w:t>
            </w:r>
          </w:p>
        </w:tc>
        <w:tc>
          <w:tcPr>
            <w:tcW w:w="9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80" w:type="dxa"/>
            <w:vAlign w:val="bottom"/>
            <w:gridSpan w:val="4"/>
          </w:tcPr>
          <w:p>
            <w:pPr>
              <w:ind w:left="88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210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Excludes investments in PSSL.</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PORTFOLIO MANAGEMENT</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Investment Adviser, which manages our day-to-day investment activities under the supervision of our board of directors, has four experienced senior investment professionals. These senior investment professionals of the Investment Adviser have worked together for many years and average over 25 years of experience in the senior lending, mezzanine lending, leveraged finance, distressed debt and private equity businesses. In addition, our senior investment professionals have been involved in originating, structuring, negotiating, managing and monitoring investments in each of these businesses across changing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senior investment professionals receive no compensation from us. The compensation of these individuals is paid by our Investment Adviser and compensation includes a base salary and a bonus contingent upon past and future performance.</w:t>
      </w:r>
    </w:p>
    <w:p>
      <w:pPr>
        <w:spacing w:after="0" w:line="181"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Arthur H. Penn became the Chief Executive Officer and a Director of PennantPark Floating Rate Capital Ltd. at its inception in 2010.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In these capacities, Mr. Penn oversaw groups responsible for more than 200 high-yield and leveraged bank financings aggregating over $34 billion in capital raised. From 1992 to 1994, Mr. Penn served as Head of High-Yield Capital Markets at Lehman Brothers.</w:t>
      </w:r>
    </w:p>
    <w:p>
      <w:pPr>
        <w:spacing w:after="0" w:line="185"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Jose A. Briones joined PennantPark Investment Advisers in December 2009. Previously, Mr. Briones was a Partner of Apollo Investment Management, L.P. and a member of its investment committee since 2006. He was a Managing Director with UBS Securities LLC in the Financial Sponsors and Leveraged Finance Group from 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8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Salvatore Giannetti III joined PennantPark Investment Advisers in February 2007. Previously, Mr. Giannetti was a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7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P. Whitridge Williams, Jr. joined PennantPark Investment Advisers in March 2007. Previously, Mr. Williams was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addition to managing our investments, as of September 30, 2019 our portfolio managers also managed investments on behalf of the following entities: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00" w:type="dxa"/>
            <w:vAlign w:val="bottom"/>
            <w:vMerge w:val="restart"/>
          </w:tcPr>
          <w:p>
            <w:pPr>
              <w:spacing w:after="0"/>
              <w:rPr>
                <w:sz w:val="14"/>
                <w:szCs w:val="14"/>
                <w:color w:val="auto"/>
              </w:rPr>
            </w:pPr>
          </w:p>
        </w:tc>
        <w:tc>
          <w:tcPr>
            <w:tcW w:w="216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Entity</w:t>
            </w:r>
          </w:p>
        </w:tc>
        <w:tc>
          <w:tcPr>
            <w:tcW w:w="410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Investment Focus</w:t>
            </w: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Gross Assets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500" w:type="dxa"/>
            <w:vAlign w:val="bottom"/>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4100" w:type="dxa"/>
            <w:vAlign w:val="bottom"/>
            <w:gridSpan w:val="2"/>
            <w:vMerge w:val="continue"/>
          </w:tcPr>
          <w:p>
            <w:pPr>
              <w:spacing w:after="0"/>
              <w:rPr>
                <w:sz w:val="15"/>
                <w:szCs w:val="15"/>
                <w:color w:val="auto"/>
              </w:rPr>
            </w:pPr>
          </w:p>
        </w:tc>
        <w:tc>
          <w:tcPr>
            <w:tcW w:w="90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 in millions)</w:t>
            </w:r>
          </w:p>
        </w:tc>
        <w:tc>
          <w:tcPr>
            <w:tcW w:w="0" w:type="dxa"/>
            <w:vAlign w:val="bottom"/>
          </w:tcPr>
          <w:p>
            <w:pPr>
              <w:spacing w:after="0"/>
              <w:rPr>
                <w:sz w:val="1"/>
                <w:szCs w:val="1"/>
                <w:color w:val="auto"/>
              </w:rPr>
            </w:pPr>
          </w:p>
        </w:tc>
      </w:tr>
      <w:tr>
        <w:trPr>
          <w:trHeight w:val="180"/>
        </w:trPr>
        <w:tc>
          <w:tcPr>
            <w:tcW w:w="3860" w:type="dxa"/>
            <w:vAlign w:val="bottom"/>
            <w:tcBorders>
              <w:top w:val="single" w:sz="8" w:color="CCEEFF"/>
            </w:tcBorders>
            <w:gridSpan w:val="2"/>
            <w:shd w:val="clear" w:color="auto" w:fill="CCEEFF"/>
          </w:tcPr>
          <w:p>
            <w:pPr>
              <w:spacing w:after="0" w:line="180" w:lineRule="exact"/>
              <w:rPr>
                <w:sz w:val="20"/>
                <w:szCs w:val="20"/>
                <w:color w:val="auto"/>
              </w:rPr>
            </w:pPr>
            <w:r>
              <w:rPr>
                <w:rFonts w:ascii="Arial" w:cs="Arial" w:eastAsia="Arial" w:hAnsi="Arial"/>
                <w:sz w:val="16"/>
                <w:szCs w:val="16"/>
                <w:color w:val="auto"/>
              </w:rPr>
              <w:t>PennantPark Investment Corporation</w:t>
            </w:r>
          </w:p>
        </w:tc>
        <w:tc>
          <w:tcPr>
            <w:tcW w:w="194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6"/>
                <w:szCs w:val="16"/>
                <w:color w:val="auto"/>
              </w:rPr>
              <w:t>Business development</w:t>
            </w:r>
          </w:p>
        </w:tc>
        <w:tc>
          <w:tcPr>
            <w:tcW w:w="220" w:type="dxa"/>
            <w:vAlign w:val="bottom"/>
            <w:tcBorders>
              <w:top w:val="single" w:sz="8" w:color="CCEEFF"/>
            </w:tcBorders>
            <w:shd w:val="clear" w:color="auto" w:fill="CCEEFF"/>
          </w:tcPr>
          <w:p>
            <w:pPr>
              <w:spacing w:after="0"/>
              <w:rPr>
                <w:sz w:val="15"/>
                <w:szCs w:val="15"/>
                <w:color w:val="auto"/>
              </w:rPr>
            </w:pPr>
          </w:p>
        </w:tc>
        <w:tc>
          <w:tcPr>
            <w:tcW w:w="38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6"/>
                <w:szCs w:val="16"/>
                <w:color w:val="auto"/>
                <w:w w:val="96"/>
              </w:rPr>
              <w:t>Primarily in U.S. middle-market companies in the form of</w:t>
            </w:r>
          </w:p>
        </w:tc>
        <w:tc>
          <w:tcPr>
            <w:tcW w:w="2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6"/>
                <w:szCs w:val="16"/>
                <w:color w:val="auto"/>
              </w:rPr>
              <w:t>$1,286</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0" w:type="dxa"/>
            <w:vAlign w:val="bottom"/>
            <w:shd w:val="clear" w:color="auto" w:fill="CCEEFF"/>
          </w:tcPr>
          <w:p>
            <w:pPr>
              <w:spacing w:after="0"/>
              <w:rPr>
                <w:sz w:val="17"/>
                <w:szCs w:val="17"/>
                <w:color w:val="auto"/>
              </w:rPr>
            </w:pPr>
          </w:p>
        </w:tc>
        <w:tc>
          <w:tcPr>
            <w:tcW w:w="350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company</w:t>
            </w:r>
          </w:p>
        </w:tc>
        <w:tc>
          <w:tcPr>
            <w:tcW w:w="4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 secured loans, second lien secured debt,</w:t>
            </w: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subordinated debt and equity investments</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3860" w:type="dxa"/>
            <w:vAlign w:val="bottom"/>
            <w:gridSpan w:val="2"/>
          </w:tcPr>
          <w:p>
            <w:pPr>
              <w:spacing w:after="0"/>
              <w:rPr>
                <w:sz w:val="20"/>
                <w:szCs w:val="20"/>
                <w:color w:val="auto"/>
              </w:rPr>
            </w:pPr>
            <w:r>
              <w:rPr>
                <w:rFonts w:ascii="Arial" w:cs="Arial" w:eastAsia="Arial" w:hAnsi="Arial"/>
                <w:sz w:val="16"/>
                <w:szCs w:val="16"/>
                <w:color w:val="auto"/>
              </w:rPr>
              <w:t>PennantPark Senior Secured Loan Fund I LLC</w:t>
            </w:r>
          </w:p>
        </w:tc>
        <w:tc>
          <w:tcPr>
            <w:tcW w:w="2160" w:type="dxa"/>
            <w:vAlign w:val="bottom"/>
            <w:gridSpan w:val="2"/>
          </w:tcPr>
          <w:p>
            <w:pPr>
              <w:spacing w:after="0"/>
              <w:rPr>
                <w:sz w:val="20"/>
                <w:szCs w:val="20"/>
                <w:color w:val="auto"/>
              </w:rPr>
            </w:pPr>
            <w:r>
              <w:rPr>
                <w:rFonts w:ascii="Arial" w:cs="Arial" w:eastAsia="Arial" w:hAnsi="Arial"/>
                <w:sz w:val="16"/>
                <w:szCs w:val="16"/>
                <w:color w:val="auto"/>
              </w:rPr>
              <w:t>Joint Venture</w:t>
            </w:r>
          </w:p>
        </w:tc>
        <w:tc>
          <w:tcPr>
            <w:tcW w:w="4100" w:type="dxa"/>
            <w:vAlign w:val="bottom"/>
            <w:gridSpan w:val="2"/>
          </w:tcPr>
          <w:p>
            <w:pPr>
              <w:spacing w:after="0"/>
              <w:rPr>
                <w:sz w:val="20"/>
                <w:szCs w:val="20"/>
                <w:color w:val="auto"/>
              </w:rPr>
            </w:pPr>
            <w:r>
              <w:rPr>
                <w:rFonts w:ascii="Arial" w:cs="Arial" w:eastAsia="Arial" w:hAnsi="Arial"/>
                <w:sz w:val="16"/>
                <w:szCs w:val="16"/>
                <w:color w:val="auto"/>
              </w:rPr>
              <w:t>Primarily floating rate loans, with an emphasis on senior</w:t>
            </w:r>
          </w:p>
        </w:tc>
        <w:tc>
          <w:tcPr>
            <w:tcW w:w="860" w:type="dxa"/>
            <w:vAlign w:val="bottom"/>
          </w:tcPr>
          <w:p>
            <w:pPr>
              <w:jc w:val="right"/>
              <w:spacing w:after="0"/>
              <w:rPr>
                <w:sz w:val="20"/>
                <w:szCs w:val="20"/>
                <w:color w:val="auto"/>
              </w:rPr>
            </w:pPr>
            <w:r>
              <w:rPr>
                <w:rFonts w:ascii="Arial" w:cs="Arial" w:eastAsia="Arial" w:hAnsi="Arial"/>
                <w:sz w:val="16"/>
                <w:szCs w:val="16"/>
                <w:color w:val="auto"/>
              </w:rPr>
              <w:t>$507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secured loans, in middle-market leveraged companies.</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36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Managed Funds</w:t>
            </w:r>
          </w:p>
        </w:tc>
        <w:tc>
          <w:tcPr>
            <w:tcW w:w="2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Direct Lending Funds</w:t>
            </w:r>
          </w:p>
        </w:tc>
        <w:tc>
          <w:tcPr>
            <w:tcW w:w="4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credit opportunities</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senior investment professionals as of January 27, 2020. Information as to the beneficial ownerships is based on information furnished to us by such persons. We are not part of a “family of investment companies,” as that term is defined in the 1940 Act.</w:t>
      </w:r>
    </w:p>
    <w:p>
      <w:pPr>
        <w:spacing w:after="0" w:line="19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Dollar Range of the</w:t>
            </w:r>
          </w:p>
        </w:tc>
      </w:tr>
      <w:tr>
        <w:trPr>
          <w:trHeight w:val="148"/>
        </w:trPr>
        <w:tc>
          <w:tcPr>
            <w:tcW w:w="6060" w:type="dxa"/>
            <w:vAlign w:val="bottom"/>
          </w:tcPr>
          <w:p>
            <w:pPr>
              <w:spacing w:after="0"/>
              <w:rPr>
                <w:sz w:val="12"/>
                <w:szCs w:val="12"/>
                <w:color w:val="auto"/>
              </w:rPr>
            </w:pPr>
          </w:p>
        </w:tc>
        <w:tc>
          <w:tcPr>
            <w:tcW w:w="14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Common Stock of</w:t>
            </w:r>
          </w:p>
        </w:tc>
      </w:tr>
      <w:tr>
        <w:trPr>
          <w:trHeight w:val="148"/>
        </w:trPr>
        <w:tc>
          <w:tcPr>
            <w:tcW w:w="606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PennantPark Floating</w:t>
            </w:r>
          </w:p>
        </w:tc>
      </w:tr>
      <w:tr>
        <w:trPr>
          <w:trHeight w:val="171"/>
        </w:trPr>
        <w:tc>
          <w:tcPr>
            <w:tcW w:w="6060" w:type="dxa"/>
            <w:vAlign w:val="bottom"/>
          </w:tcPr>
          <w:p>
            <w:pPr>
              <w:spacing w:after="0"/>
              <w:rPr>
                <w:sz w:val="14"/>
                <w:szCs w:val="14"/>
                <w:color w:val="auto"/>
              </w:rPr>
            </w:pPr>
          </w:p>
        </w:tc>
        <w:tc>
          <w:tcPr>
            <w:tcW w:w="14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7"/>
              </w:rPr>
              <w:t>Rate Capital Ltd.</w:t>
            </w:r>
            <w:r>
              <w:rPr>
                <w:rFonts w:ascii="Arial" w:cs="Arial" w:eastAsia="Arial" w:hAnsi="Arial"/>
                <w:sz w:val="12"/>
                <w:szCs w:val="12"/>
                <w:b w:val="1"/>
                <w:bCs w:val="1"/>
                <w:color w:val="auto"/>
                <w:w w:val="97"/>
              </w:rPr>
              <w:t>(1)</w:t>
            </w: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Over $</w:t>
            </w: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1,000,000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Jose A. Briones</w:t>
            </w:r>
          </w:p>
        </w:tc>
        <w:tc>
          <w:tcPr>
            <w:tcW w:w="580" w:type="dxa"/>
            <w:vAlign w:val="bottom"/>
          </w:tcPr>
          <w:p>
            <w:pPr>
              <w:spacing w:after="0"/>
              <w:rPr>
                <w:sz w:val="20"/>
                <w:szCs w:val="20"/>
                <w:color w:val="auto"/>
              </w:rPr>
            </w:pPr>
            <w:r>
              <w:rPr>
                <w:rFonts w:ascii="Arial" w:cs="Arial" w:eastAsia="Arial" w:hAnsi="Arial"/>
                <w:sz w:val="18"/>
                <w:szCs w:val="18"/>
                <w:color w:val="auto"/>
              </w:rPr>
              <w:t>Over $</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1,000,000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Salvatore Giannetti III</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rPr>
              <w:t>Over $</w:t>
            </w:r>
          </w:p>
        </w:tc>
        <w:tc>
          <w:tcPr>
            <w:tcW w:w="8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1,000,000</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P. Whitridge Williams, Jr.</w:t>
            </w:r>
          </w:p>
        </w:tc>
        <w:tc>
          <w:tcPr>
            <w:tcW w:w="580" w:type="dxa"/>
            <w:vAlign w:val="bottom"/>
          </w:tcPr>
          <w:p>
            <w:pPr>
              <w:spacing w:after="0"/>
              <w:rPr>
                <w:sz w:val="20"/>
                <w:szCs w:val="20"/>
                <w:color w:val="auto"/>
              </w:rPr>
            </w:pPr>
            <w:r>
              <w:rPr>
                <w:rFonts w:ascii="Arial" w:cs="Arial" w:eastAsia="Arial" w:hAnsi="Arial"/>
                <w:sz w:val="18"/>
                <w:szCs w:val="18"/>
                <w:color w:val="auto"/>
              </w:rPr>
              <w:t>Over $</w:t>
            </w:r>
          </w:p>
        </w:tc>
        <w:tc>
          <w:tcPr>
            <w:tcW w:w="840" w:type="dxa"/>
            <w:vAlign w:val="bottom"/>
            <w:gridSpan w:val="2"/>
          </w:tcPr>
          <w:p>
            <w:pPr>
              <w:ind w:left="60"/>
              <w:spacing w:after="0"/>
              <w:rPr>
                <w:sz w:val="20"/>
                <w:szCs w:val="20"/>
                <w:color w:val="auto"/>
              </w:rPr>
            </w:pPr>
            <w:r>
              <w:rPr>
                <w:rFonts w:ascii="Arial" w:cs="Arial" w:eastAsia="Arial" w:hAnsi="Arial"/>
                <w:sz w:val="18"/>
                <w:szCs w:val="18"/>
                <w:color w:val="auto"/>
                <w:w w:val="94"/>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680" w:hanging="424"/>
        <w:spacing w:after="0" w:line="291"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 Beneficial ownership has been determined in accordance with Rule 16a-1(a)(2) promulgated under the Exchange Act.</w:t>
      </w: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DETERMINATION OF NET ASSET VALUE</w:t>
      </w:r>
    </w:p>
    <w:p>
      <w:pPr>
        <w:spacing w:after="0" w:line="22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NAV per share of our outstanding shares of common stock is determined quarterly by dividing the value of total assets minus liabilities by the total number of shares outstanding.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a BDC, we generally invest in illiquid securities including debt and equity investments of middle-market companies.</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herein.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 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 as described below.</w:t>
      </w:r>
    </w:p>
    <w:p>
      <w:pPr>
        <w:spacing w:after="0" w:line="17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76" w:lineRule="exact"/>
        <w:rPr>
          <w:sz w:val="20"/>
          <w:szCs w:val="20"/>
          <w:color w:val="auto"/>
        </w:rPr>
      </w:pPr>
    </w:p>
    <w:p>
      <w:pPr>
        <w:ind w:left="108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130" w:lineRule="exact"/>
        <w:rPr>
          <w:rFonts w:ascii="Arial" w:cs="Arial" w:eastAsia="Arial" w:hAnsi="Arial"/>
          <w:sz w:val="18"/>
          <w:szCs w:val="18"/>
          <w:color w:val="auto"/>
        </w:rPr>
      </w:pPr>
    </w:p>
    <w:p>
      <w:pPr>
        <w:ind w:left="1080" w:right="140" w:hanging="532"/>
        <w:spacing w:after="0" w:line="279"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6" w:lineRule="exact"/>
        <w:rPr>
          <w:rFonts w:ascii="Arial" w:cs="Arial" w:eastAsia="Arial" w:hAnsi="Arial"/>
          <w:sz w:val="17"/>
          <w:szCs w:val="17"/>
          <w:color w:val="auto"/>
        </w:rPr>
      </w:pPr>
    </w:p>
    <w:p>
      <w:pPr>
        <w:ind w:left="1080" w:right="80" w:hanging="532"/>
        <w:spacing w:after="0" w:line="311"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54" w:lineRule="exact"/>
        <w:rPr>
          <w:rFonts w:ascii="Arial" w:cs="Arial" w:eastAsia="Arial" w:hAnsi="Arial"/>
          <w:sz w:val="16"/>
          <w:szCs w:val="16"/>
          <w:color w:val="auto"/>
        </w:rPr>
      </w:pPr>
    </w:p>
    <w:p>
      <w:pPr>
        <w:ind w:left="1080" w:right="14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To the extent we invest in derivative instruments in the future, such instruments would be valued in accordance with our valuation policy.</w:t>
      </w:r>
    </w:p>
    <w:p>
      <w:pPr>
        <w:spacing w:after="0" w:line="23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Fair value, as defined under the Financial Accounting Standards Board’s Accounting Standards Codification, Topic 820, Fair Value Measurements and Disclosures,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31" w:lineRule="exact"/>
        <w:rPr>
          <w:sz w:val="20"/>
          <w:szCs w:val="20"/>
          <w:color w:val="auto"/>
        </w:rPr>
      </w:pPr>
    </w:p>
    <w:p>
      <w:pPr>
        <w:ind w:left="1680" w:right="1180" w:hanging="1120"/>
        <w:spacing w:after="0" w:line="277" w:lineRule="auto"/>
        <w:tabs>
          <w:tab w:leader="none" w:pos="16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8"/>
          <w:szCs w:val="18"/>
          <w:color w:val="auto"/>
        </w:rPr>
        <w:t>Inputs that are quoted prices (unadjusted) in active markets for identical assets or liabilities, accessible by us at the measurement date.</w:t>
      </w:r>
    </w:p>
    <w:p>
      <w:pPr>
        <w:spacing w:after="0" w:line="62" w:lineRule="exact"/>
        <w:rPr>
          <w:sz w:val="20"/>
          <w:szCs w:val="20"/>
          <w:color w:val="auto"/>
        </w:rPr>
      </w:pPr>
    </w:p>
    <w:p>
      <w:pPr>
        <w:ind w:left="1680" w:right="440" w:hanging="1120"/>
        <w:spacing w:after="0" w:line="263" w:lineRule="auto"/>
        <w:tabs>
          <w:tab w:leader="none" w:pos="166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6" w:lineRule="exact"/>
        <w:rPr>
          <w:sz w:val="20"/>
          <w:szCs w:val="20"/>
          <w:color w:val="auto"/>
        </w:rPr>
      </w:pPr>
    </w:p>
    <w:p>
      <w:pPr>
        <w:ind w:left="1680" w:right="880" w:hanging="1120"/>
        <w:spacing w:after="0" w:line="277" w:lineRule="auto"/>
        <w:tabs>
          <w:tab w:leader="none" w:pos="166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Inputs that are unobservable for an asset or liability because they are based on our own assumptions about how market participants would price the asset or liability.</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are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connection with each offering of shares of our common stock, our board of directors or a committee thereof is required to make the determination that we are not selling shares of our common stock at a price below the then current NAV of our common stock at the time at which the sale is made or otherwise in violation of the 1940 Act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93"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NAV of our common stock disclosed in the most recent periodic report that we filed with the SEC;</w:t>
      </w:r>
    </w:p>
    <w:p>
      <w:pPr>
        <w:spacing w:after="0" w:line="130"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NAV of our common stock has occurred (including through the realization of gains on the sale of our portfolio securities) during the period beginning on the date of the most recent public filing with the SEC that discloses the NAV of our common stock and ending two days prior to the date of the sale of our common stock;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4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NAV of our common stock during the period discussed above.</w:t>
      </w:r>
    </w:p>
    <w:p>
      <w:pPr>
        <w:spacing w:after="0" w:line="170"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Whenever we do not have current stockholder approval to issue shares of our common stock at a price per share below our then current NAV per share, the offering price per share (exclusive of any distributing commission or discount) will equal or exceed our then current NAV per share, based on the value of our portfolio securities and other assets determined in good faith by our board of directors as of a time within 48 hours (excluding Sundays and holidays) of the sale. See “Sales Of Common Stock Below Net Asset Value” for more information.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we will only sell shares of our common stock at a price below NAV per share if the following conditions are met:</w:t>
      </w:r>
    </w:p>
    <w:p>
      <w:pPr>
        <w:spacing w:after="0" w:line="131"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majority of our independent directors who have no financial interest in the sale must have approved the sale; and</w:t>
      </w:r>
    </w:p>
    <w:p>
      <w:pPr>
        <w:spacing w:after="0" w:line="130" w:lineRule="exact"/>
        <w:rPr>
          <w:rFonts w:ascii="Arial" w:cs="Arial" w:eastAsia="Arial" w:hAnsi="Arial"/>
          <w:sz w:val="18"/>
          <w:szCs w:val="18"/>
          <w:color w:val="auto"/>
        </w:rPr>
      </w:pPr>
    </w:p>
    <w:p>
      <w:pPr>
        <w:ind w:left="1080" w:right="80" w:hanging="424"/>
        <w:spacing w:after="0" w:line="279"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 majority of such directors, in consultation with the underwriters of the offering if it is to be underwritten, must have determined in good faith, and as of a time immediately prior to the first solicitation by us or on our behalf of firm commitments to purchase such shares or immediately prior to the issuance of such shares, that the price at which such shares are to be sold is not less than a price which closely approximates the market value of those shares, less any underwriting commission or discount.</w:t>
      </w:r>
    </w:p>
    <w:p>
      <w:pPr>
        <w:spacing w:after="0" w:line="17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NAV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6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CAPITAL STOCK</w:t>
      </w:r>
    </w:p>
    <w:p>
      <w:pPr>
        <w:spacing w:after="0" w:line="22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Stock</w:t>
      </w:r>
    </w:p>
    <w:p>
      <w:pPr>
        <w:spacing w:after="0" w:line="12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As of December 31, 2019, our authorized capital stock consisted of 100,000,000 shares of stock, par value $0.001 per share, all of which is classified as common stock. Our common stock is quoted on The Nasdaq Global Select Market and the TASE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7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last reported closing market price of our common stock on January 27, 2020 was $12.01 per share. As of December 31, 2019, we had 43 stockholders of record.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our outstanding classes of securities as of December 31, 2019:</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2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Amount Held by</w:t>
            </w: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1"/>
              </w:rPr>
              <w:t>Title of Class</w:t>
            </w:r>
          </w:p>
        </w:tc>
        <w:tc>
          <w:tcPr>
            <w:tcW w:w="4380" w:type="dxa"/>
            <w:vAlign w:val="bottom"/>
            <w:vMerge w:val="restart"/>
          </w:tcPr>
          <w:p>
            <w:pPr>
              <w:spacing w:after="0"/>
              <w:rPr>
                <w:sz w:val="12"/>
                <w:szCs w:val="12"/>
                <w:color w:val="auto"/>
              </w:rPr>
            </w:pPr>
          </w:p>
        </w:tc>
        <w:tc>
          <w:tcPr>
            <w:tcW w:w="94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Us or for Our</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4380" w:type="dxa"/>
            <w:vAlign w:val="bottom"/>
            <w:vMerge w:val="continue"/>
          </w:tcPr>
          <w:p>
            <w:pPr>
              <w:spacing w:after="0"/>
              <w:rPr>
                <w:sz w:val="15"/>
                <w:szCs w:val="15"/>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Authorized</w:t>
            </w:r>
          </w:p>
        </w:tc>
        <w:tc>
          <w:tcPr>
            <w:tcW w:w="580" w:type="dxa"/>
            <w:vAlign w:val="bottom"/>
          </w:tcPr>
          <w:p>
            <w:pPr>
              <w:spacing w:after="0"/>
              <w:rPr>
                <w:sz w:val="15"/>
                <w:szCs w:val="15"/>
                <w:color w:val="auto"/>
              </w:rPr>
            </w:pPr>
          </w:p>
        </w:tc>
        <w:tc>
          <w:tcPr>
            <w:tcW w:w="162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2"/>
              </w:rPr>
              <w:t>Account</w:t>
            </w:r>
          </w:p>
        </w:tc>
        <w:tc>
          <w:tcPr>
            <w:tcW w:w="9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203"/>
        </w:trPr>
        <w:tc>
          <w:tcPr>
            <w:tcW w:w="5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Common Stock, par value $0.001 per share</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100,000,000</w:t>
            </w:r>
          </w:p>
        </w:tc>
        <w:tc>
          <w:tcPr>
            <w:tcW w:w="5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ind w:left="760"/>
              <w:spacing w:after="0" w:line="203"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38,772,074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assets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121"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Maryland law permits a Maryland corporation to include in its charter a provision eliminating the liability of its directors and officers to the corporation and its stockholders for money damages except for liability resulting from (a) actual receipt of an improper benefit or profit in money, property or services or (b) active and deliberate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charter authorizes us, to the maximum extent permitted by Maryland law and subject to the requirements of the 1940 Act, to obligate us to indemnify, and to pay or reimburse reasonable expenses in advance of final disposition of a proceeding to,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without requiring a preliminary determination of the ultimate entitlement to indemnification,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85" w:lineRule="exact"/>
        <w:rPr>
          <w:sz w:val="20"/>
          <w:szCs w:val="20"/>
          <w:color w:val="auto"/>
        </w:rPr>
      </w:pPr>
    </w:p>
    <w:p>
      <w:pPr>
        <w:ind w:left="120" w:right="480" w:firstLine="440"/>
        <w:spacing w:after="0" w:line="342" w:lineRule="auto"/>
        <w:rPr>
          <w:sz w:val="20"/>
          <w:szCs w:val="20"/>
          <w:color w:val="auto"/>
        </w:rPr>
      </w:pPr>
      <w:r>
        <w:rPr>
          <w:rFonts w:ascii="Arial" w:cs="Arial" w:eastAsia="Arial" w:hAnsi="Arial"/>
          <w:sz w:val="16"/>
          <w:szCs w:val="16"/>
          <w:color w:val="auto"/>
        </w:rPr>
        <w:t>In addition to the indemnification provided for in our charter and bylaws, we have entered into indemnification agreements with each of our current directors and certain of our officers that provide for the maximum indemnification permitted under Maryland law and the 1940 Act.</w:t>
      </w:r>
    </w:p>
    <w:p>
      <w:pPr>
        <w:spacing w:after="0" w:line="12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Our board of directors is divided into three classes of directors serving staggered three-year terms. The terms of the first, second and third classes will expire at the annual meeting of stockholders held in 2021, 2022 and 2020, respectively, and in each case, those directors will serve until their successors are duly elected and qualify. Upon expiration of their current terms, directors of each class will be elected to serve for a term expiring at the annual meeting of stockholders held in the third year following the year of their election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Our charter and bylaws provide that the affirmative vote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17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generally in the election of directors.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117"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may have the effect of delaying consideration of a stockholder proposal until the next annual meeting.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only (1) pursuant to our notice of the meeting, (2) by or at the direction of the board of directors or (3) by a stockholder who was a stockholder of record at the time of provision of notice and at the time of the meeting,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by or at the direction of the board of directors or (2) provided that the special meeting has been called in accordance with our bylaws for the purposes of electing directors by a stockholder who was a stockholder of record at the time of provision of notice and at the time of the meeting, who is entitled to vote at the meeting and who has complied with the advance notice provisions of the bylaws.</w:t>
      </w:r>
    </w:p>
    <w:p>
      <w:pPr>
        <w:spacing w:after="0" w:line="17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Under Maryland law,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7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Our bylaws contain a provision exempting from the Maryland Control Share Acquisition Act any and all acquisitions by any person of shares of our stock. There can be no assurance that such provision will not be amended or eliminated at any time in the future to the extent permitted by the 1940 Act.</w:t>
      </w:r>
    </w:p>
    <w:p>
      <w:pPr>
        <w:spacing w:after="0" w:line="18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Maryland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98"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22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or shares acquired directly from the corporation. A control share acquisition means the acquisition of issued and outstanding control shares, subject to certain exceptions.</w:t>
      </w:r>
    </w:p>
    <w:p>
      <w:pPr>
        <w:spacing w:after="0" w:line="18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Fair value is determined, without regard to the absence of voting rights for the control shares, as of the date of any meeting of stockholders at which the voting rights of the shares are considered and not approved or, if no such meeting is held, as of the date of the last control share acquisition by the acquirer.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7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Maryland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92"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person who beneficially owns, directly or indirectly, 10% or more of the voting power of the corporation’s shares; or</w:t>
      </w:r>
    </w:p>
    <w:p>
      <w:pPr>
        <w:spacing w:after="0" w:line="90" w:lineRule="exact"/>
        <w:rPr>
          <w:rFonts w:ascii="Arial" w:cs="Arial" w:eastAsia="Arial" w:hAnsi="Arial"/>
          <w:sz w:val="18"/>
          <w:szCs w:val="18"/>
          <w:color w:val="auto"/>
        </w:rPr>
      </w:pPr>
    </w:p>
    <w:p>
      <w:pPr>
        <w:ind w:left="1080" w:right="420" w:hanging="424"/>
        <w:spacing w:after="0" w:line="34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 affiliate or associate of the corporation who, at any time within the two-year period prior to the date in question, was the beneficial owner, directly or indirectly, of 10% or more of the voting power of the then outstanding voting stock of the corporation.</w:t>
      </w:r>
    </w:p>
    <w:p>
      <w:pPr>
        <w:spacing w:after="0" w:line="124" w:lineRule="exact"/>
        <w:rPr>
          <w:sz w:val="20"/>
          <w:szCs w:val="20"/>
          <w:color w:val="auto"/>
        </w:rPr>
      </w:pPr>
    </w:p>
    <w:p>
      <w:pPr>
        <w:jc w:val="both"/>
        <w:ind w:left="120" w:right="300" w:firstLine="440"/>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65"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76"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2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Maryland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If and to the extent that any provision of the Maryland General Corporation Law, including the Maryland Control Share Acquisition Act (if we amend our bylaws to be subject to such Act) and the Maryland Business Combination Act, or any provision of our charter or bylaws conflicts with any provision of the 1940 Act, the applicable provision of the 1940 Act will control.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Forum</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bylaws provide that, unless we consent in writing to the selection of an alternative forum, the Circuit Court for Baltimore City, Maryland, or, if that court does not have jurisdiction, the United States District Court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the District of Maryland, Baltimore Division, will be the sole and absolute forum for (a) any derivative action or proceeding brought on our behalf,</w:t>
      </w:r>
    </w:p>
    <w:p>
      <w:pPr>
        <w:spacing w:after="0" w:line="46" w:lineRule="exact"/>
        <w:rPr>
          <w:sz w:val="20"/>
          <w:szCs w:val="20"/>
          <w:color w:val="auto"/>
        </w:rPr>
      </w:pPr>
    </w:p>
    <w:p>
      <w:pPr>
        <w:ind w:left="120" w:hanging="4"/>
        <w:spacing w:after="0" w:line="253" w:lineRule="auto"/>
        <w:tabs>
          <w:tab w:leader="none" w:pos="37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action asserting a claim of breach of any duty owed by any of our directors, officers or other agents to us or to our stockholders, (c) any action asserting a claim against us or any of our directors, officers or other agents arising pursuant to any provision of the Maryland General Corporation Law or our charter or bylaws or (d) any action asserting a claim against us or any of our directors, officers or other agents that is governed by the internal affairs doctrine.</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320" w:top="459" w:right="5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OUR PREFERRED STOCK</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95" w:lineRule="exact"/>
        <w:rPr>
          <w:sz w:val="20"/>
          <w:szCs w:val="20"/>
          <w:color w:val="auto"/>
        </w:rPr>
      </w:pPr>
    </w:p>
    <w:p>
      <w:pPr>
        <w:ind w:left="120" w:firstLine="440"/>
        <w:spacing w:after="0" w:line="264"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8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76"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3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rights and preferences, if any, of holders of shares of such series upon our liquidation, dissolution or winding up of our affairs;</w:t>
      </w:r>
    </w:p>
    <w:p>
      <w:pPr>
        <w:spacing w:after="0" w:line="101" w:lineRule="exact"/>
        <w:rPr>
          <w:rFonts w:ascii="Arial" w:cs="Arial" w:eastAsia="Arial" w:hAnsi="Arial"/>
          <w:sz w:val="17"/>
          <w:szCs w:val="17"/>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35"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WARRANTS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70"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131"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3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48"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48"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any other terms of such warrants, including terms, procedures and limitations relating to the exchange and exercise of such warrants.</w:t>
      </w:r>
    </w:p>
    <w:p>
      <w:pPr>
        <w:spacing w:after="0" w:line="23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NAV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22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NAV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8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applicable prospectus supplement would describe the following terms of subscription rights in respect of which this prospectus is being delivered:</w:t>
      </w:r>
    </w:p>
    <w:p>
      <w:pPr>
        <w:spacing w:after="0" w:line="76" w:lineRule="exact"/>
        <w:rPr>
          <w:sz w:val="20"/>
          <w:szCs w:val="20"/>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a discussion of the material U.S. federal income tax considerations applicable to the issuance or exercise of such subscription rights;</w:t>
      </w:r>
    </w:p>
    <w:p>
      <w:pPr>
        <w:spacing w:after="0" w:line="3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35"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3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of Subscription Rights</w:t>
      </w:r>
    </w:p>
    <w:p>
      <w:pPr>
        <w:spacing w:after="0" w:line="11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OUR DEBT SECURITIES</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November 2017, we issued $138.6 million in aggregate principal amount of our 2023 Notes. The 2023 Notes were issued pursuant to a deed of trust between the Company and Mishmeret Trust Company, Ltd. as trustee.</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8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2023 Notes are general, unsecured obligations, rank equal in right of payment with all of PennantPark Floating Rate Capital Ltd.’s existing and future senior unsecured indebtedness and are generally redeemable at our option. The deed of trust governing the 2023 Notes includes certain customary covenants, including minimum equity requirements, and events of default. The 2023 Notes are rated ilA+ by S&amp;P Global Ratings Maalot Ltd. and are listed for trading on the TASE.</w:t>
      </w:r>
    </w:p>
    <w:p>
      <w:pPr>
        <w:spacing w:after="0" w:line="18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70"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We may issue additional debt securities in one or more series. The specific terms of each additional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As required by federal law for all bonds and notes of companies that are publicly offered in the United States,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see “Description of our Debt Securities—Events of Default.” Second, the trustee performs certain administrative duties for us, such as sending interest and principal payments to holders.</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issued pursuant to this prospectus and any accompanying prospectus supplement. For example, in this section, we use capitalized words to signify terms that are specifically defined in the indenture. Some of the definitions are repeated in this prospectus, but for the rest, you will need to read the indenture. See “Available Information” for information on how to obtain a copy of the indenture.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54"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place or places, if any, other than or in addition to The City of New York, of payment, transfer, conversion and/or exchange of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special federal income tax implications, including, if applicable, federal income tax considerations relating to OID;</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indenture provides that any debt securities proposed to be sold under this prospectus and any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indenture does not contain any provisions that give you protection in the event we issue a large amount of debt or we are acquired by another entity.</w:t>
      </w:r>
    </w:p>
    <w:p>
      <w:pPr>
        <w:spacing w:after="0" w:line="170"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 prospectus supplement will contain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14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84"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If any debt securities are convertible into shares of our common stock, the exercise price for such conversion will not be less than the NAV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NAV per share in the 12 months preceding the issuance and the exercise price closely approximates the market value of our common stock at the time the debt securities are issued).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and Exchange</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also will have the option of issuing debt securities in non-registered form as bearer securities if we issue the securities outside the United States to non-U.S. persons. In that case, the prospectus supplement will set forth</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Book-Entry Holders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76"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Street Name Holders</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Legal Holders</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8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87"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76"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Global Securities</w:t>
      </w:r>
    </w:p>
    <w:p>
      <w:pPr>
        <w:spacing w:after="0" w:line="12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12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depositary that holds the global security will be considered the holder of the debt securities represented by the global security.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131" w:lineRule="exact"/>
        <w:rPr>
          <w:sz w:val="20"/>
          <w:szCs w:val="20"/>
          <w:color w:val="auto"/>
        </w:rPr>
      </w:pPr>
    </w:p>
    <w:p>
      <w:pPr>
        <w:ind w:left="1080" w:right="24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3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48"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35" w:lineRule="exact"/>
        <w:rPr>
          <w:rFonts w:ascii="Arial" w:cs="Arial" w:eastAsia="Arial" w:hAnsi="Arial"/>
          <w:sz w:val="18"/>
          <w:szCs w:val="18"/>
          <w:color w:val="auto"/>
        </w:rPr>
      </w:pPr>
    </w:p>
    <w:p>
      <w:pPr>
        <w:ind w:left="1080" w:right="480" w:hanging="424"/>
        <w:spacing w:after="0" w:line="308"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11" w:lineRule="exact"/>
        <w:rPr>
          <w:rFonts w:ascii="Arial" w:cs="Arial" w:eastAsia="Arial" w:hAnsi="Arial"/>
          <w:sz w:val="17"/>
          <w:szCs w:val="17"/>
          <w:color w:val="auto"/>
        </w:rPr>
      </w:pPr>
    </w:p>
    <w:p>
      <w:pPr>
        <w:jc w:val="both"/>
        <w:ind w:left="1080" w:right="40" w:hanging="424"/>
        <w:spacing w:after="0" w:line="286" w:lineRule="auto"/>
        <w:tabs>
          <w:tab w:leader="none" w:pos="10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30"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35" w:lineRule="exact"/>
        <w:rPr>
          <w:rFonts w:ascii="Arial" w:cs="Arial" w:eastAsia="Arial" w:hAnsi="Arial"/>
          <w:sz w:val="18"/>
          <w:szCs w:val="18"/>
          <w:color w:val="auto"/>
        </w:rPr>
      </w:pPr>
    </w:p>
    <w:p>
      <w:pPr>
        <w:jc w:val="both"/>
        <w:ind w:left="1080" w:right="46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48"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8"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131" w:lineRule="exact"/>
        <w:rPr>
          <w:sz w:val="20"/>
          <w:szCs w:val="20"/>
          <w:color w:val="auto"/>
        </w:rPr>
      </w:pPr>
    </w:p>
    <w:p>
      <w:pPr>
        <w:ind w:left="1080" w:right="14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3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90" w:lineRule="exact"/>
        <w:rPr>
          <w:sz w:val="20"/>
          <w:szCs w:val="20"/>
          <w:color w:val="auto"/>
        </w:rPr>
      </w:pPr>
    </w:p>
    <w:p>
      <w:pPr>
        <w:ind w:left="1080" w:right="6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Payment and Paying Agents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on Global Securities</w:t>
      </w:r>
    </w:p>
    <w:p>
      <w:pPr>
        <w:spacing w:after="0" w:line="117"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Payments on Certificated Securities</w:t>
      </w:r>
    </w:p>
    <w:p>
      <w:pPr>
        <w:spacing w:after="0" w:line="117"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7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Payment When Offices Are Closed</w:t>
      </w:r>
    </w:p>
    <w:p>
      <w:pPr>
        <w:spacing w:after="0" w:line="117" w:lineRule="exact"/>
        <w:rPr>
          <w:sz w:val="20"/>
          <w:szCs w:val="20"/>
          <w:color w:val="auto"/>
        </w:rPr>
      </w:pPr>
    </w:p>
    <w:p>
      <w:pPr>
        <w:ind w:left="120" w:right="300" w:firstLine="440"/>
        <w:spacing w:after="0" w:line="301" w:lineRule="auto"/>
        <w:rPr>
          <w:sz w:val="20"/>
          <w:szCs w:val="20"/>
          <w:color w:val="auto"/>
        </w:rPr>
      </w:pPr>
      <w:r>
        <w:rPr>
          <w:rFonts w:ascii="Arial" w:cs="Arial" w:eastAsia="Arial" w:hAnsi="Arial"/>
          <w:sz w:val="16"/>
          <w:szCs w:val="16"/>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Book-entry and other indirect holders should consult their banks or brokers for information on how they will receive payments on their debt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You will have rights if an Event of Default occurs in respect of the debt securities of your series and is not cured, as described later in this subsection.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131"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225"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5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Except in cases of default, where the trustee has some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76"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40"/>
          </w:cols>
          <w:pgMar w:left="320" w:top="459" w:right="5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However, you are entitled at any time to bring a lawsuit for the payment of money due on your debt securities on or after the due date.</w:t>
      </w:r>
    </w:p>
    <w:p>
      <w:pPr>
        <w:spacing w:after="0" w:line="233" w:lineRule="exact"/>
        <w:rPr>
          <w:sz w:val="20"/>
          <w:szCs w:val="20"/>
          <w:color w:val="auto"/>
        </w:rPr>
      </w:pPr>
    </w:p>
    <w:p>
      <w:pPr>
        <w:ind w:left="120" w:right="260" w:firstLine="55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6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Waiver of Default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or Consolidation</w:t>
      </w:r>
    </w:p>
    <w:p>
      <w:pPr>
        <w:spacing w:after="0" w:line="121"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29" w:lineRule="exact"/>
        <w:rPr>
          <w:sz w:val="20"/>
          <w:szCs w:val="20"/>
          <w:color w:val="auto"/>
        </w:rPr>
      </w:pPr>
    </w:p>
    <w:p>
      <w:pPr>
        <w:ind w:left="1080" w:right="16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we must satisfy any other requirements specified in the prospectus supplement relating to a particular series of debt securities.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 or Waiver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Requiring Your Approval</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First, there are changes that we cannot make to your debt securities without your specific approval. The following is a list of those types of changes:</w:t>
      </w:r>
    </w:p>
    <w:p>
      <w:pPr>
        <w:spacing w:after="0" w:line="76"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320" w:top="459" w:right="5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Not Requiring Approval</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Requiring Majority Approval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131" w:lineRule="exact"/>
        <w:rPr>
          <w:sz w:val="20"/>
          <w:szCs w:val="20"/>
          <w:color w:val="auto"/>
        </w:rPr>
      </w:pPr>
    </w:p>
    <w:p>
      <w:pPr>
        <w:ind w:left="1080" w:right="16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the change affects only one series of debt securities, it must be approved by the holders of a majority in principal amount of that series; and</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Further Details Concerning Voting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131" w:lineRule="exact"/>
        <w:rPr>
          <w:sz w:val="20"/>
          <w:szCs w:val="20"/>
          <w:color w:val="auto"/>
        </w:rPr>
      </w:pPr>
    </w:p>
    <w:p>
      <w:pPr>
        <w:ind w:left="1080" w:right="68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OID securities, we will use the principal amount that would be due and payable on the voting date if the maturity of these debt securities were accelerated to that date because of a default;</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74" w:lineRule="exact"/>
        <w:rPr>
          <w:sz w:val="20"/>
          <w:szCs w:val="20"/>
          <w:color w:val="auto"/>
        </w:rPr>
      </w:pPr>
    </w:p>
    <w:p>
      <w:pPr>
        <w:ind w:left="120" w:firstLine="551"/>
        <w:spacing w:after="0" w:line="282"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Defeasance</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Covenant Defeasance</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 Subordination” below. In order to achieve covenant defeasance, we must do the following:</w:t>
      </w:r>
    </w:p>
    <w:p>
      <w:pPr>
        <w:spacing w:after="0" w:line="82" w:lineRule="exact"/>
        <w:rPr>
          <w:sz w:val="20"/>
          <w:szCs w:val="20"/>
          <w:color w:val="auto"/>
        </w:rPr>
      </w:pPr>
    </w:p>
    <w:p>
      <w:pPr>
        <w:ind w:left="1080" w:right="80" w:hanging="424"/>
        <w:spacing w:after="0" w:line="286" w:lineRule="auto"/>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70"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84"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12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Full Defeasance</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52" w:lineRule="exact"/>
        <w:rPr>
          <w:sz w:val="20"/>
          <w:szCs w:val="20"/>
          <w:color w:val="auto"/>
        </w:rPr>
      </w:pPr>
    </w:p>
    <w:p>
      <w:pPr>
        <w:ind w:left="1080" w:right="100" w:hanging="424"/>
        <w:spacing w:after="0" w:line="286"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70" w:lineRule="exact"/>
        <w:rPr>
          <w:rFonts w:ascii="Arial" w:cs="Arial" w:eastAsia="Arial" w:hAnsi="Arial"/>
          <w:sz w:val="17"/>
          <w:szCs w:val="17"/>
          <w:color w:val="auto"/>
        </w:rPr>
      </w:pPr>
    </w:p>
    <w:p>
      <w:pPr>
        <w:ind w:left="1080" w:right="60" w:hanging="424"/>
        <w:spacing w:after="0" w:line="273"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may be required to deliver to the trustee a legal opinion confirming that there has been a change in current U.S. federal tax law or an Internal Revenue Service, or IRS,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83" w:lineRule="exact"/>
        <w:rPr>
          <w:rFonts w:ascii="Arial" w:cs="Arial" w:eastAsia="Arial" w:hAnsi="Arial"/>
          <w:sz w:val="17"/>
          <w:szCs w:val="17"/>
          <w:color w:val="auto"/>
        </w:rPr>
      </w:pPr>
    </w:p>
    <w:p>
      <w:pPr>
        <w:ind w:left="1080" w:right="360" w:hanging="424"/>
        <w:spacing w:after="0" w:line="308"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must deliver to the trustee a legal opinion of our counsel stating that the above deposit does not require registration by us under the 1940 Act and a legal opinion and officers’ certificate certifying compliance with all conditions precedent to defeasance.</w:t>
      </w:r>
    </w:p>
    <w:p>
      <w:pPr>
        <w:spacing w:after="0" w:line="146"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131"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unless we indicate otherwise in the prospectus supplement, in denominations of $1,000 and amounts that are multiples of $1,000.</w:t>
      </w:r>
    </w:p>
    <w:p>
      <w:pPr>
        <w:spacing w:after="0" w:line="23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84"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88"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Resignation of Trustee</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Indenture Provisions—Subordination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9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9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131" w:lineRule="exact"/>
        <w:rPr>
          <w:sz w:val="20"/>
          <w:szCs w:val="20"/>
          <w:color w:val="auto"/>
        </w:rPr>
      </w:pPr>
    </w:p>
    <w:p>
      <w:pPr>
        <w:ind w:left="1080" w:right="360" w:hanging="424"/>
        <w:spacing w:after="0" w:line="279"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an accompanying prospectus supplement will set forth the approximate amount of our Senior Indebtedness outstanding as of a recent date.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Trustee under the Indenture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American Stock Transfer &amp; Trust Company, LLC is the trustee under the indenture. Mishmeret Trust Company, Ltd. serves as trustee for our 2023 Notes.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121" w:lineRule="exact"/>
        <w:rPr>
          <w:sz w:val="20"/>
          <w:szCs w:val="20"/>
          <w:color w:val="auto"/>
        </w:rPr>
      </w:pPr>
    </w:p>
    <w:p>
      <w:pPr>
        <w:ind w:left="120" w:right="480" w:firstLine="440"/>
        <w:spacing w:after="0" w:line="259" w:lineRule="auto"/>
        <w:rPr>
          <w:sz w:val="20"/>
          <w:szCs w:val="20"/>
          <w:color w:val="auto"/>
        </w:rPr>
      </w:pPr>
      <w:r>
        <w:rPr>
          <w:rFonts w:ascii="Arial" w:cs="Arial" w:eastAsia="Arial" w:hAnsi="Arial"/>
          <w:sz w:val="18"/>
          <w:szCs w:val="18"/>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us,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320" w:top="459" w:right="5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persons that have a functional currency (as such term is defined in the Code) other than the U.S. dollar, tax-exempt organizations, insurance companies, dealers in securities, pension plans and trusts, and financial institutions. This summary assumes that investors hold our common stock as capital assets (as such term is defined in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IRS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131"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trust, if a court in the United States has primary supervision over its administration and one or more U.S. persons have the authority to control all substantial decisions of the trust, or the trust has a valid election in effect under applicable U.S. Treasury regulations to be treated as a U.S. person;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87"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OID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Election to be Treated as a RIC</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(as described below). We also must annually distribute dividends for U.S. federal income tax purposes to our stockholders of an amount generally at least equal to 90% of the sum of our ordinary income and realized net short-term capital gains in excess of realized net long-term capital losses, or investment company taxable income, and determined without regard to any deduction for dividends paid, out of the assets legally available for distribution, or the Annual Distribution Requirement.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131"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130" w:lineRule="exact"/>
        <w:rPr>
          <w:rFonts w:ascii="Arial" w:cs="Arial" w:eastAsia="Arial" w:hAnsi="Arial"/>
          <w:sz w:val="18"/>
          <w:szCs w:val="18"/>
          <w:color w:val="auto"/>
        </w:rPr>
      </w:pPr>
    </w:p>
    <w:p>
      <w:pPr>
        <w:jc w:val="both"/>
        <w:ind w:left="1540" w:right="240" w:hanging="439"/>
        <w:spacing w:after="0" w:line="263" w:lineRule="auto"/>
        <w:tabs>
          <w:tab w:leader="none" w:pos="15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89" w:lineRule="exact"/>
        <w:rPr>
          <w:rFonts w:ascii="Arial" w:cs="Arial" w:eastAsia="Arial" w:hAnsi="Arial"/>
          <w:sz w:val="18"/>
          <w:szCs w:val="18"/>
          <w:color w:val="auto"/>
        </w:rPr>
      </w:pPr>
    </w:p>
    <w:p>
      <w:pPr>
        <w:ind w:left="1540" w:hanging="439"/>
        <w:spacing w:after="0" w:line="286" w:lineRule="auto"/>
        <w:tabs>
          <w:tab w:leader="none" w:pos="15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16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92"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While we intend to make sufficient distributions each taxable year to avoid incurring any material U.S. federal excise tax on our earnings, we may not be able to, or may choose not to, distribute amounts sufficient to avoid the imposition of the tax entirely. In that event, we generally will be liable for the excise tax only on the amount by which we do not meet the Excise Tax Avoidance Requirement. Under certain circumstances, however, we may, in our sole discretion, determine that it is in our best interests to retain a portion of our income or capital gains rather than distribute such amount as dividends and accordingly cause us to bear the excise tax burden associated therewith.</w:t>
      </w:r>
    </w:p>
    <w:p>
      <w:pPr>
        <w:spacing w:after="0" w:line="176"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may invest in partnerships which may result in our being subject to additional state, local or foreign income, franchise or other tax liabilities. In addition, some of the income and fees that we may recognize will not satisfy the 90% Income Test. In order to mitigate the risk that such income and fees would disqualify us as a RIC as a result of a failure to satisfy the 90% Income Test, we may be required to recognize such income and fees indirectly through the Taxable Subsidiary, which is classified as a corporation for U.S. federal income tax</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purposes. The Taxable Subsidiary generally will be subject to corporate income taxes on its earnings, which ultimately will reduce our return on such income and fees.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as a RIC</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gains, determined without regard to any deduction for dividends paid, we distribute (or are deemed to distribute) as dividends for U.S. federal income tax purposes to stockholders. Additionally, upon satisfying these requirements, we will be subject to U.S. federal income tax at the regular corporate rates on any investment company taxable income or net capital gains, determined without regard to any deduction for dividends paid, that is not distributed (or not deemed to have been distributed) as dividends for U.S. federal income tax purposes to our stockholders.</w:t>
      </w:r>
    </w:p>
    <w:p>
      <w:pPr>
        <w:spacing w:after="0" w:line="19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may be required to recognize taxable income in circumstances in which we do not receive cash. For example, if we hold a debt instrument that is treated under applicable tax rules as having OID (such as debt instruments with PIK interest or, in certain cases, increasing interest rates or issued with warrants), we must include in income each taxable year a portion of the OID that accrues over the life of the debt instrument, regardless of whether cash representing such income is received by us in the same taxable year. Because any OID accrued will be included in our investment company taxable income in the taxable year of accrual, we may be required to make a distribution to our stockholders in order to satisfy the Annual Distribution Requirement, even though we will not have received any corresponding cash amount.</w:t>
      </w:r>
    </w:p>
    <w:p>
      <w:pPr>
        <w:spacing w:after="0" w:line="17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invest in below investment grade instruments. Investments in these types of instruments may present special tax issues for us. U.S. federal income tax rules are not entirely clear about issues such as when we may cease to accrue interest, OID or market discount, when and to what extent deductions may be taken for bad debts or worthless debt instruments, how payments received on obligations in default should be allocated between principal and income and whether exchanges of debt instruments in a bankruptcy or workout context are taxable. We will address these and other issues to the extent necessary in order to continue to maintain our qualification to be subject to tax as a RIC.</w:t>
      </w:r>
    </w:p>
    <w:p>
      <w:pPr>
        <w:spacing w:after="0" w:line="17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Gain or loss realized by us from equity securities and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184"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We are authorized to borrow funds and to sell assets in order to satisfy our Annual Distribution Requirement or the Excise Tax Avoidance Requirement. However, under the 1940 Act, we are not permitted to make distributions to our stockholders while our debt instruments and other senior securities are outstanding unless certain asset coverage requirements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78"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We may distribute our common stock as a dividend from our taxable income and a stockholder could receive a portion of such distributions declared and distributed by us in shares of our common stock with the remaining amount in cash. A stockholder will be considered to have recognized dividend income generally equal to the fair market value of the stock paid by us plus cash received with respect to such dividend. The total dividend declared and distributed by us would be taxable income to a stockholder even though only a small portion of the dividend was paid in cash to pay any taxes due on the total dividend. We have not yet elected to distribute stock as a dividend but reserve the right to do so.</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Failure to Qualify as a RIC</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If we fail to satisfy the Annual Distribution Requirement or fail to qualify as a RIC in any taxable year, unless certain cure provisions of the Code apply, we will be subject to tax in that taxable year on all of our taxable income at regular corporate tax rates, regardless of whether we make any dividend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Treated as a RIC” above for more information.</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we are unable to maintain our status as a RIC, we also would not be able to deduct distributions to stockholders, nor would distributions be required to be made. Distributions would generally be taxable as dividends to our stockholders as ordinary dividend income to the extent of our current and accumulated earnings and profits. Subject to certain limitations under the Code, U.S. non-corporate stockholders generally would be eligible to treat such dividends as “qualified dividend income,” which generally would be subject to reduced rates of U.S. federal income tax, and dividends paid by us to certain U.S.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 Moreover, if we fail to qualify as a RIC in any taxable year, to qualify again to be treated as a RIC for federal income tax purposes in a subsequent taxable year, we would be required to distribute our earnings and profits attributable to any of our non-RIC taxable years as dividends to our stockholders. In addition, if we fail to qualify as a RIC for a period greater than two consecutive taxable years, to qualify as a RIC in a subsequent taxable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taxable years.</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U.S. Stockholders</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Distributions by us, including distributions where stockholders can elect to receive cash or stock, generally are taxable to U.S. stockholders as ordinary income or capital gains.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properly designated by us as “qualified dividend income,” such distributions generally will be eligible for a reduced U.S. federal income tax rate, if certain holding period and other requirements are satisfied. In this regard, it is anticipated that distributions paid by us will generally not be attributable to dividends and, therefore, generally will not qualify for the reduced U.S. federal income tax rate. Distributions of our net capital gains (which is generally our realized net long-term capital gains in excess of realized net short-term capital losses) properly reported by us as “capital gain dividends” will be taxable to a U.S. stockholder as long-term capital gains at a reduced rate in the case of individuals, trusts or estates, regardless of the U.S. stockholder’s holding period in such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17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Although we currently intend to distribute any long-term capital gains as capital gain dividends at least annually, we may in the future decide to retain some or all of our long-term capital gains, but designate the retained amount as a “deemed distribution.” In that case, among other consequences, we will be subject to tax 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80"/>
          </w:cols>
          <w:pgMar w:left="320" w:top="459"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retained amount, each U.S. stockholder will be required to include his, her or its share of the deemed distribution of net capital gains in income as if it had been actually distributed to the U.S. stockholder, and the U.S. stockholder will be entitled to claim a credit equal to his, her or its allocable share of the tax paid thereon by us. The amount of the deemed distribution of net capital gains net of such tax will be added to the U.S. stockholder’s tax basis for his, her or its common stock. Since we expect to be subject to tax on any retained capital gains at our regular corporate tax rate, and since that rate is currently in excess of the maximum rate generally payable by individuals on long-term capital gains, the amount of tax that individual stockholders will be treated as having paid and for which they will receive a credit generally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use the deemed distribution approach, we must provide written notice to our stockholders. We cannot treat any of our investment company taxable income as a “deemed distribution.”</w:t>
      </w:r>
    </w:p>
    <w:p>
      <w:pPr>
        <w:spacing w:after="0" w:line="18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calendar year, will be treated as if it had been received by our U.S. stockholders on December 31 of the calendar year in which the distribution was declared.</w:t>
      </w:r>
    </w:p>
    <w:p>
      <w:pPr>
        <w:spacing w:after="0" w:line="164"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12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 stockholder generally will recognize taxable gain or loss if the stockholder sells or otherwise disposes of his, her or its shares of our common stock. Any gain or loss arising from such sale or disposition generally will be treated as long-term capital gain or loss if the stockholder has held his, her or its shares for more than one year. Otherwise, such gain or loss will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6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general, individual U.S. stockholders currently are subject to a maximum federal income tax rate of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rate of 21%, also applied to ordinary income. Non-corporate stockholders with net capital losses for a taxable year (i.e., capital losses in excess of capital gains) generally may deduct up to $3,000 of such losses against their ordinary income each year; any net capital losses of a non-corporate stockholder in excess of $3,000 generally may be carried forward and used in subsequent years as provided in the Code. Corporate stockholders generally may not deduct any net capital losses for a taxable year, but may carryback such losses for three taxable years or carry forward such losses for five taxable years.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80"/>
          </w:cols>
          <w:pgMar w:left="320" w:top="459" w:right="4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3.8% Medicare tax is imposed on certain net investment income (including ordinary dividends and capital gain distributions received from us and net gains from redemptions or other taxable dispositions of our shares) of U.S. individuals and on the undistributed net investment income of certain estates and trusts to the extent that such person’s “modified adjusted gross income” (in the case of an individual) or “adjusted gross income” (in the case of an estate or trust) exceeds certain threshold amounts.</w:t>
      </w:r>
    </w:p>
    <w:p>
      <w:pPr>
        <w:spacing w:after="0" w:line="18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(or if a U.S. stockholder holds our shares through an intermediary, such intermediary) will provide information to our U.S. stockholders, as promptly as possible after the end of each calendar year, detailing, on a per share and per distribution basis, the amounts includible in such U.S. stockholder’s taxable income for such year as ordinary income and as long-term capital gain. In addition, the federal tax status of each year’s distributions generally will be reported to the IRS (including the amount of distributions, if any, eligible for the preferential rate). Distributions may also be subject to additional state, local and foreign taxes depending on a U.S. stockholder’s particular situation.</w:t>
      </w:r>
    </w:p>
    <w:p>
      <w:pPr>
        <w:spacing w:after="0" w:line="176"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Code requires reporting of adjusted cost basis information for covered securities, which generally include shares of a RIC acquired after January 1, 2012, to the IRS and to taxpayers. Stockholders should contact their financial intermediaries with respect to reporting of cost basis and available elections for their accounts.</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 U.S. stockholder (other than an “exempt recipient,” including a “C” corporation and certain other persons who, when required, demonstrate their exempt status) may be subject to federal income tax withholding (“backup withholding”) at the applicable rate from all taxable distributions to any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Backup withholding is not an additional tax. Any amount withheld under backup withholding is allowed as a credit against the U.S. stockholder’s federal income tax liability and may entitle such stockholder to a refund, provided that proper information is timely provided to the IRS.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 of Non-U.S. Stockholders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84"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Subject to the discussion below, distributions of our “investment company taxable income” to Non-U.S. stockholders (including interest income and net short-term capital gain) are generally expected to be subject to withholding of U.S. federal taxes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 Backup withholding will not be applied to payments that have been subject to the 30% (or lower applicable treaty rate) withholding tax described in this paragraph.</w:t>
      </w:r>
    </w:p>
    <w:p>
      <w:pPr>
        <w:spacing w:after="0" w:line="192" w:lineRule="exact"/>
        <w:rPr>
          <w:sz w:val="20"/>
          <w:szCs w:val="20"/>
          <w:color w:val="auto"/>
        </w:rPr>
      </w:pPr>
    </w:p>
    <w:p>
      <w:pPr>
        <w:ind w:left="120" w:right="520" w:firstLine="440"/>
        <w:spacing w:after="0" w:line="301" w:lineRule="auto"/>
        <w:rPr>
          <w:sz w:val="20"/>
          <w:szCs w:val="20"/>
          <w:color w:val="auto"/>
        </w:rPr>
      </w:pPr>
      <w:r>
        <w:rPr>
          <w:rFonts w:ascii="Arial" w:cs="Arial" w:eastAsia="Arial" w:hAnsi="Arial"/>
          <w:sz w:val="16"/>
          <w:szCs w:val="16"/>
          <w:color w:val="auto"/>
        </w:rPr>
        <w:t>In addition, with respect to certain distributions made by RICs to Non-U.S. Stockholders, no withholding is required and the distributions generally are not subject to U.S. federal income tax if (i) the distributions are properly reported in a notice timely delivered to our stockholders as “interest-related dividends” or “short-term capital gain dividends,” (ii) the distributions are derived from sources specified in the Code for such dividends and (iii) certain other requirements are satisfied. Nevertheless, it should be noted that in the case of shares of our</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stock held through an intermediary, the intermediary may have withheld U.S. federal income tax even if we designated the payment as an interest-related dividend or as a short-term capital gain dividend. Moreover, depending on the circumstances, we may designate all, some or none of our potentially eligible dividends as ineligible for this exemption from withholding.</w:t>
      </w:r>
    </w:p>
    <w:p>
      <w:pPr>
        <w:spacing w:after="0" w:line="184"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7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We are required to withhold U.S. tax (at a 30% rate) on payments of taxable dividends made to certain non-U.S. entities that fail to comply (or be deemed compliant) with extensive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 A non-U.S. stockholder may be exempt from the withholding described in this paragraph under an applicable intergovernmental agreement between the U.S. and a foreign government, provided that the non-U.S. stockholder and the applicable foreign government comply with the terms of such agreement.</w:t>
      </w:r>
    </w:p>
    <w:p>
      <w:pPr>
        <w:spacing w:after="0" w:line="192"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If we distribute our net capital gains in the form of deemed rather than actual distributions (which we may do in the future), a Non-U.S. stockholder will be entitled to claim a U.S. federal income tax credit or tax refund equal to the stockholder’s allocable share of the tax we pay on the capital gains deemed to have been distributed. In order to obtain the refund, the Non-U.S. stockholder would be required to obtain a U.S. taxpayer identification number and file a U.S. federal income tax return even if the Non-U.S. stockholder would not otherwise be required to obtain a U.S. taxpayer identification number or file a U.S.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of our common stock may not be appropriate for a Non-U.S. stockholder.</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IRS Form W-8BEN-E, or an acceptable substitute form, or otherwise meets documentary evidence requirements for establishing that it is a Non-U.S. stockholder or otherwise establishes an exemption from backup withholding.</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92" w:lineRule="exact"/>
        <w:rPr>
          <w:sz w:val="20"/>
          <w:szCs w:val="20"/>
          <w:color w:val="auto"/>
        </w:rPr>
      </w:pPr>
    </w:p>
    <w:p>
      <w:pPr>
        <w:ind w:left="1080" w:hanging="424"/>
        <w:spacing w:after="0"/>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name or names of any underwriters, dealers or agents and the amounts of securities underwritten or purchased by each of them;</w:t>
      </w:r>
    </w:p>
    <w:p>
      <w:pPr>
        <w:spacing w:after="0" w:line="142" w:lineRule="exact"/>
        <w:rPr>
          <w:rFonts w:ascii="Arial" w:cs="Arial" w:eastAsia="Arial" w:hAnsi="Arial"/>
          <w:sz w:val="17"/>
          <w:szCs w:val="17"/>
          <w:color w:val="auto"/>
        </w:rPr>
      </w:pPr>
    </w:p>
    <w:p>
      <w:pPr>
        <w:ind w:left="1080" w:right="18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offering price of the securities and the proceeds to us and any discounts, commissions or concessions allowed or reallowed or paid to dealers;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may offer our shares of common stock in a public offering at-the-market to a select group of investors, in which case a stockholder may not be able to participate in such offering and a stockholder will experience dilution unless the stockholder purchases additional shares of our common stock in the secondary market at the same or lower price.</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76"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10% of the aggregate offering price of the securities as set forth on the cover page of the supplement to this prospectus.</w:t>
      </w:r>
    </w:p>
    <w:p>
      <w:pPr>
        <w:spacing w:after="0" w:line="184"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12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229"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240 Greenwich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3"/>
          <w:szCs w:val="13"/>
          <w:color w:val="auto"/>
        </w:rPr>
        <w:t>th</w:t>
      </w:r>
      <w:r>
        <w:rPr>
          <w:rFonts w:ascii="Arial" w:cs="Arial" w:eastAsia="Arial" w:hAnsi="Arial"/>
          <w:sz w:val="16"/>
          <w:szCs w:val="16"/>
          <w:color w:val="auto"/>
        </w:rPr>
        <w:t xml:space="preserve"> Avenue, 3</w:t>
      </w:r>
      <w:r>
        <w:rPr>
          <w:rFonts w:ascii="Arial" w:cs="Arial" w:eastAsia="Arial" w:hAnsi="Arial"/>
          <w:sz w:val="13"/>
          <w:szCs w:val="13"/>
          <w:color w:val="auto"/>
        </w:rPr>
        <w:t>rd</w:t>
      </w:r>
      <w:r>
        <w:rPr>
          <w:rFonts w:ascii="Arial" w:cs="Arial" w:eastAsia="Arial" w:hAnsi="Arial"/>
          <w:sz w:val="16"/>
          <w:szCs w:val="16"/>
          <w:color w:val="auto"/>
        </w:rPr>
        <w:t xml:space="preserve"> floor, Brooklyn, NY 11219, telephone number: (800) 937-5449. American Stock Transfer &amp; Trust Company, LLC may also serve as trustee for offerings of our debt securities. Mishmeret Trust Company, Ltd. serves as trustee for our 2023 Notes. The principal business address of Mishmeret Trust Company, Ltd. is 46-48 Menachem Begin Road, Tel Aviv, Israel 66184.</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Maryland counsel. Certain legal matters will be passed upon for underwriters, if any, by the counsel named in the prospectus supplement, if any.</w:t>
      </w: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29"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current independent registered public accounting firm, RSM US LLP, located at 151 West 42nd Street, New York, NY 10036, has audited the consolidated financial statements of the Company as of September 30, 2019 and 2018 and for each of the years in the three-year period ended September 30, 2019 and the effectiveness of internal control over financial reporting as of September 30, 2019 incorporated in this Prospectus by reference from the Company’s Annual Report on Form 10-K for the year ended September 30, 2019, as stated in their reports thereon incorporated herein by reference, and have been incorporated and included in this Prospectus and Registration Statement in reliance upon such reports and upon the authority of such firm as experts in accounting and auditing. The senior securities table of the Company included in this Prospectus and elsewhere in the Registration Statement has been included in reliance upon the report of RSM US LLP, an independent registered public accounting firm, as stated in their report filed as an exhibit to the Registration Statement of which this Prospectus is part.</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This prospectus is part of a registration statement that we have filed with the SEC. Pursuant to the Small Business Credit Availability Act, or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w:t>
      </w:r>
    </w:p>
    <w:p>
      <w:pPr>
        <w:spacing w:after="0" w:line="187"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including all such documents we may file with the SEC after the date of the initial registration statement and prior to the effectiveness of the registration statement;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and any prospectus supplement incorporates by reference the documents set forth below that have previously been filed with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w:t>
      </w:r>
    </w:p>
    <w:p>
      <w:pPr>
        <w:spacing w:after="0" w:line="116" w:lineRule="exact"/>
        <w:rPr>
          <w:sz w:val="20"/>
          <w:szCs w:val="20"/>
          <w:color w:val="auto"/>
        </w:rPr>
      </w:pPr>
    </w:p>
    <w:p>
      <w:pPr>
        <w:jc w:val="both"/>
        <w:ind w:left="1080" w:right="12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156">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fiscal year ended September 30, 2019, filed with the SEC on November 20, 2019, including the information specifically incorporated by reference to the Form 10-K from our Definitive Proxy Statement on </w:t>
      </w:r>
      <w:hyperlink r:id="rId157">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December 17, 2019; and</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referenced in our Registration Statement on </w:t>
      </w:r>
      <w:hyperlink r:id="rId158">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(No. 001-35127), as filed with the SEC on April 7, 2011, including any amendment or report filed for the purpose of updating such description prior to the termination of the offering of the common stock registered hereby.</w:t>
      </w:r>
    </w:p>
    <w:p>
      <w:pPr>
        <w:spacing w:after="0" w:line="184" w:lineRule="exact"/>
        <w:rPr>
          <w:rFonts w:ascii="Arial" w:cs="Arial" w:eastAsia="Arial" w:hAnsi="Arial"/>
          <w:sz w:val="18"/>
          <w:szCs w:val="18"/>
          <w:color w:val="auto"/>
        </w:rPr>
      </w:pPr>
    </w:p>
    <w:p>
      <w:pPr>
        <w:ind w:left="560"/>
        <w:spacing w:after="0"/>
        <w:rPr>
          <w:sz w:val="20"/>
          <w:szCs w:val="20"/>
          <w:color w:val="auto"/>
        </w:rPr>
      </w:pPr>
      <w:r>
        <w:rPr>
          <w:rFonts w:ascii="Arial" w:cs="Arial" w:eastAsia="Arial" w:hAnsi="Arial"/>
          <w:sz w:val="18"/>
          <w:szCs w:val="18"/>
          <w:color w:val="auto"/>
        </w:rPr>
        <w:t>To obtain copies of these filings, see “Available Information.”</w:t>
      </w:r>
    </w:p>
    <w:p>
      <w:pPr>
        <w:spacing w:after="0" w:line="32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rFonts w:ascii="Arial" w:cs="Arial" w:eastAsia="Arial" w:hAnsi="Arial"/>
          <w:sz w:val="18"/>
          <w:szCs w:val="18"/>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We file with or submit to the SEC annual, quarterly and current periodic reports, proxy statements and other information meeting the informational requirements of the Exchange Act. This information is available free of charge by calling us collect at (212) 905-1000 or on our website at </w:t>
      </w:r>
      <w:r>
        <w:rPr>
          <w:rFonts w:ascii="Arial" w:cs="Arial" w:eastAsia="Arial" w:hAnsi="Arial"/>
          <w:sz w:val="17"/>
          <w:szCs w:val="17"/>
          <w:i w:val="1"/>
          <w:iCs w:val="1"/>
          <w:u w:val="single" w:color="auto"/>
          <w:color w:val="auto"/>
        </w:rPr>
        <w:t>www.pennantpark.com</w:t>
      </w:r>
      <w:r>
        <w:rPr>
          <w:rFonts w:ascii="Arial" w:cs="Arial" w:eastAsia="Arial" w:hAnsi="Arial"/>
          <w:sz w:val="17"/>
          <w:szCs w:val="17"/>
          <w:color w:val="auto"/>
        </w:rPr>
        <w:t>. Except for the documents incorporated by reference into this prospectus and any accompanying prospectus supplement,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information on our website is not part of this prospectus or any accompanying prospectus supplement. The SEC maintains an Internet website that contains reports, proxy and information statements and other information filed electronically by us with the SEC which are available free of charge on the SEC’s Internet website at </w:t>
      </w:r>
      <w:r>
        <w:rPr>
          <w:rFonts w:ascii="Arial" w:cs="Arial" w:eastAsia="Arial" w:hAnsi="Arial"/>
          <w:sz w:val="17"/>
          <w:szCs w:val="17"/>
          <w:i w:val="1"/>
          <w:iCs w:val="1"/>
          <w:u w:val="single" w:color="auto"/>
          <w:color w:val="auto"/>
        </w:rPr>
        <w:t>www.sec.gov</w:t>
      </w:r>
      <w:r>
        <w:rPr>
          <w:rFonts w:ascii="Arial" w:cs="Arial" w:eastAsia="Arial" w:hAnsi="Arial"/>
          <w:sz w:val="17"/>
          <w:szCs w:val="17"/>
          <w:color w:val="auto"/>
        </w:rPr>
        <w:t>. Copies of these reports, proxy and information statements and other information may be obtained, after paying a duplicating fee, by sending a request by email to: publicinfo@sec.gov.</w:t>
      </w:r>
    </w:p>
    <w:p>
      <w:pPr>
        <w:spacing w:after="0" w:line="110"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634365</wp:posOffset>
            </wp:positionV>
            <wp:extent cx="2219960" cy="5143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221996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$100,000,000</w:t>
      </w: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4.25%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1675130</wp:posOffset>
            </wp:positionV>
            <wp:extent cx="1474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306"/>
        </w:trPr>
        <w:tc>
          <w:tcPr>
            <w:tcW w:w="3800" w:type="dxa"/>
            <w:vAlign w:val="bottom"/>
          </w:tcPr>
          <w:p>
            <w:pPr>
              <w:spacing w:after="0"/>
              <w:rPr>
                <w:sz w:val="20"/>
                <w:szCs w:val="20"/>
                <w:color w:val="auto"/>
              </w:rPr>
            </w:pPr>
            <w:r>
              <w:rPr>
                <w:rFonts w:ascii="Arial" w:cs="Arial" w:eastAsia="Arial" w:hAnsi="Arial"/>
                <w:sz w:val="25"/>
                <w:szCs w:val="25"/>
                <w:b w:val="1"/>
                <w:bCs w:val="1"/>
                <w:color w:val="auto"/>
              </w:rPr>
              <w:t>Goldman Sachs &amp; Co. LLC</w:t>
            </w:r>
          </w:p>
        </w:tc>
        <w:tc>
          <w:tcPr>
            <w:tcW w:w="4160" w:type="dxa"/>
            <w:vAlign w:val="bottom"/>
            <w:gridSpan w:val="2"/>
          </w:tcPr>
          <w:p>
            <w:pPr>
              <w:jc w:val="right"/>
              <w:ind w:right="632"/>
              <w:spacing w:after="0"/>
              <w:rPr>
                <w:sz w:val="20"/>
                <w:szCs w:val="20"/>
                <w:color w:val="auto"/>
              </w:rPr>
            </w:pPr>
            <w:r>
              <w:rPr>
                <w:rFonts w:ascii="Arial" w:cs="Arial" w:eastAsia="Arial" w:hAnsi="Arial"/>
                <w:sz w:val="25"/>
                <w:szCs w:val="25"/>
                <w:b w:val="1"/>
                <w:bCs w:val="1"/>
                <w:color w:val="auto"/>
              </w:rPr>
              <w:t>Keefe, Bruyette &amp; Woods</w:t>
            </w:r>
          </w:p>
        </w:tc>
        <w:tc>
          <w:tcPr>
            <w:tcW w:w="2520" w:type="dxa"/>
            <w:vAlign w:val="bottom"/>
          </w:tcPr>
          <w:p>
            <w:pPr>
              <w:ind w:left="740"/>
              <w:spacing w:after="0"/>
              <w:rPr>
                <w:sz w:val="20"/>
                <w:szCs w:val="20"/>
                <w:color w:val="auto"/>
              </w:rPr>
            </w:pPr>
            <w:r>
              <w:rPr>
                <w:rFonts w:ascii="Arial" w:cs="Arial" w:eastAsia="Arial" w:hAnsi="Arial"/>
                <w:sz w:val="25"/>
                <w:szCs w:val="25"/>
                <w:b w:val="1"/>
                <w:bCs w:val="1"/>
                <w:color w:val="auto"/>
                <w:w w:val="89"/>
              </w:rPr>
              <w:t>Truist Securities</w:t>
            </w:r>
          </w:p>
        </w:tc>
      </w:tr>
      <w:tr>
        <w:trPr>
          <w:trHeight w:val="230"/>
        </w:trPr>
        <w:tc>
          <w:tcPr>
            <w:tcW w:w="3800" w:type="dxa"/>
            <w:vAlign w:val="bottom"/>
          </w:tcPr>
          <w:p>
            <w:pPr>
              <w:spacing w:after="0"/>
              <w:rPr>
                <w:sz w:val="20"/>
                <w:szCs w:val="20"/>
                <w:color w:val="auto"/>
              </w:rPr>
            </w:pPr>
          </w:p>
        </w:tc>
        <w:tc>
          <w:tcPr>
            <w:tcW w:w="4160" w:type="dxa"/>
            <w:vAlign w:val="bottom"/>
            <w:gridSpan w:val="2"/>
          </w:tcPr>
          <w:p>
            <w:pPr>
              <w:jc w:val="right"/>
              <w:ind w:right="632"/>
              <w:spacing w:after="0"/>
              <w:rPr>
                <w:sz w:val="20"/>
                <w:szCs w:val="20"/>
                <w:color w:val="auto"/>
              </w:rPr>
            </w:pPr>
            <w:r>
              <w:rPr>
                <w:rFonts w:ascii="Arial" w:cs="Arial" w:eastAsia="Arial" w:hAnsi="Arial"/>
                <w:sz w:val="18"/>
                <w:szCs w:val="18"/>
                <w:i w:val="1"/>
                <w:iCs w:val="1"/>
                <w:color w:val="auto"/>
              </w:rPr>
              <w:t>A Stifel Company</w:t>
            </w:r>
          </w:p>
        </w:tc>
        <w:tc>
          <w:tcPr>
            <w:tcW w:w="2520" w:type="dxa"/>
            <w:vAlign w:val="bottom"/>
          </w:tcPr>
          <w:p>
            <w:pPr>
              <w:spacing w:after="0"/>
              <w:rPr>
                <w:sz w:val="20"/>
                <w:szCs w:val="20"/>
                <w:color w:val="auto"/>
              </w:rPr>
            </w:pPr>
          </w:p>
        </w:tc>
      </w:tr>
      <w:tr>
        <w:trPr>
          <w:trHeight w:val="483"/>
        </w:trPr>
        <w:tc>
          <w:tcPr>
            <w:tcW w:w="3800" w:type="dxa"/>
            <w:vAlign w:val="bottom"/>
          </w:tcPr>
          <w:p>
            <w:pPr>
              <w:spacing w:after="0"/>
              <w:rPr>
                <w:sz w:val="24"/>
                <w:szCs w:val="24"/>
                <w:color w:val="auto"/>
              </w:rPr>
            </w:pPr>
          </w:p>
        </w:tc>
        <w:tc>
          <w:tcPr>
            <w:tcW w:w="4160" w:type="dxa"/>
            <w:vAlign w:val="bottom"/>
            <w:gridSpan w:val="2"/>
          </w:tcPr>
          <w:p>
            <w:pPr>
              <w:jc w:val="right"/>
              <w:ind w:right="2272"/>
              <w:spacing w:after="0"/>
              <w:rPr>
                <w:sz w:val="20"/>
                <w:szCs w:val="20"/>
                <w:color w:val="auto"/>
              </w:rPr>
            </w:pPr>
            <w:r>
              <w:rPr>
                <w:rFonts w:ascii="Arial" w:cs="Arial" w:eastAsia="Arial" w:hAnsi="Arial"/>
                <w:sz w:val="22"/>
                <w:szCs w:val="22"/>
                <w:b w:val="1"/>
                <w:bCs w:val="1"/>
                <w:i w:val="1"/>
                <w:iCs w:val="1"/>
                <w:color w:val="auto"/>
              </w:rPr>
              <w:t>Co-Managers</w:t>
            </w:r>
          </w:p>
        </w:tc>
        <w:tc>
          <w:tcPr>
            <w:tcW w:w="2520" w:type="dxa"/>
            <w:vAlign w:val="bottom"/>
          </w:tcPr>
          <w:p>
            <w:pPr>
              <w:spacing w:after="0"/>
              <w:rPr>
                <w:sz w:val="24"/>
                <w:szCs w:val="24"/>
                <w:color w:val="auto"/>
              </w:rPr>
            </w:pPr>
          </w:p>
        </w:tc>
      </w:tr>
      <w:tr>
        <w:trPr>
          <w:trHeight w:val="594"/>
        </w:trPr>
        <w:tc>
          <w:tcPr>
            <w:tcW w:w="3800" w:type="dxa"/>
            <w:vAlign w:val="bottom"/>
          </w:tcPr>
          <w:p>
            <w:pPr>
              <w:ind w:left="1520"/>
              <w:spacing w:after="0"/>
              <w:rPr>
                <w:sz w:val="20"/>
                <w:szCs w:val="20"/>
                <w:color w:val="auto"/>
              </w:rPr>
            </w:pPr>
            <w:r>
              <w:rPr>
                <w:rFonts w:ascii="Arial" w:cs="Arial" w:eastAsia="Arial" w:hAnsi="Arial"/>
                <w:sz w:val="22"/>
                <w:szCs w:val="22"/>
                <w:b w:val="1"/>
                <w:bCs w:val="1"/>
                <w:color w:val="auto"/>
              </w:rPr>
              <w:t>JMP Securities</w:t>
            </w:r>
          </w:p>
        </w:tc>
        <w:tc>
          <w:tcPr>
            <w:tcW w:w="2320" w:type="dxa"/>
            <w:vAlign w:val="bottom"/>
          </w:tcPr>
          <w:p>
            <w:pPr>
              <w:spacing w:after="0"/>
              <w:rPr>
                <w:sz w:val="24"/>
                <w:szCs w:val="24"/>
                <w:color w:val="auto"/>
              </w:rPr>
            </w:pPr>
          </w:p>
        </w:tc>
        <w:tc>
          <w:tcPr>
            <w:tcW w:w="4360" w:type="dxa"/>
            <w:vAlign w:val="bottom"/>
            <w:gridSpan w:val="2"/>
          </w:tcPr>
          <w:p>
            <w:pPr>
              <w:ind w:left="640"/>
              <w:spacing w:after="0"/>
              <w:rPr>
                <w:sz w:val="20"/>
                <w:szCs w:val="20"/>
                <w:color w:val="auto"/>
              </w:rPr>
            </w:pPr>
            <w:r>
              <w:rPr>
                <w:rFonts w:ascii="Arial" w:cs="Arial" w:eastAsia="Arial" w:hAnsi="Arial"/>
                <w:sz w:val="22"/>
                <w:szCs w:val="22"/>
                <w:b w:val="1"/>
                <w:bCs w:val="1"/>
                <w:color w:val="auto"/>
              </w:rPr>
              <w:t>Ladenburg Thalmann</w:t>
            </w:r>
          </w:p>
        </w:tc>
      </w:tr>
      <w:tr>
        <w:trPr>
          <w:trHeight w:val="746"/>
        </w:trPr>
        <w:tc>
          <w:tcPr>
            <w:tcW w:w="38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25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March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480060</wp:posOffset>
            </wp:positionV>
            <wp:extent cx="6995160"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1140"/>
      </w:cols>
      <w:pgMar w:left="32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24C67E"/>
    <w:multiLevelType w:val="hybridMultilevel"/>
    <w:lvl w:ilvl="0">
      <w:lvlJc w:val="left"/>
      <w:lvlText w:val="(%1)"/>
      <w:numFmt w:val="decimal"/>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1)"/>
      <w:numFmt w:val="decimal"/>
      <w:start w:val="1"/>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
      <w:numFmt w:val="bullet"/>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1)"/>
      <w:numFmt w:val="decimal"/>
      <w:start w:val="1"/>
    </w:lvl>
  </w:abstractNum>
  <w:abstractNum w:abstractNumId="16">
    <w:nsid w:val="7A6D8D3C"/>
    <w:multiLevelType w:val="hybridMultilevel"/>
    <w:lvl w:ilvl="0">
      <w:lvlJc w:val="left"/>
      <w:lvlText w:val="(%1)"/>
      <w:numFmt w:val="decimal"/>
      <w:start w:val="4"/>
    </w:lvl>
  </w:abstractNum>
  <w:abstractNum w:abstractNumId="17">
    <w:nsid w:val="4B588F54"/>
    <w:multiLevelType w:val="hybridMultilevel"/>
    <w:lvl w:ilvl="0">
      <w:lvlJc w:val="left"/>
      <w:lvlText w:val="(%1)"/>
      <w:numFmt w:val="lowerRoman"/>
      <w:start w:val="1"/>
    </w:lvl>
  </w:abstractNum>
  <w:abstractNum w:abstractNumId="18">
    <w:nsid w:val="542289EC"/>
    <w:multiLevelType w:val="hybridMultilevel"/>
    <w:lvl w:ilvl="0">
      <w:lvlJc w:val="left"/>
      <w:lvlText w:val="(%1)"/>
      <w:numFmt w:val="lowerRoman"/>
      <w:start w:val="2"/>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1)"/>
      <w:numFmt w:val="lowerRoman"/>
      <w:start w:val="2"/>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1)"/>
      <w:numFmt w:val="decimal"/>
      <w:start w:val="7"/>
    </w:lvl>
  </w:abstractNum>
  <w:abstractNum w:abstractNumId="31">
    <w:nsid w:val="70C6A529"/>
    <w:multiLevelType w:val="hybridMultilevel"/>
    <w:lvl w:ilvl="0">
      <w:lvlJc w:val="left"/>
      <w:lvlText w:val="(%1)"/>
      <w:numFmt w:val="decimal"/>
      <w:start w:val="2"/>
    </w:lvl>
  </w:abstractNum>
  <w:abstractNum w:abstractNumId="32">
    <w:nsid w:val="520EEDD1"/>
    <w:multiLevelType w:val="hybridMultilevel"/>
    <w:lvl w:ilvl="0">
      <w:lvlJc w:val="left"/>
      <w:lvlText w:val="•"/>
      <w:numFmt w:val="bullet"/>
      <w:start w:val="1"/>
    </w:lvl>
  </w:abstractNum>
  <w:abstractNum w:abstractNumId="33">
    <w:nsid w:val="374A3FE6"/>
    <w:multiLevelType w:val="hybridMultilevel"/>
    <w:lvl w:ilvl="0">
      <w:lvlJc w:val="left"/>
      <w:lvlText w:val="(%1)"/>
      <w:numFmt w:val="decimal"/>
      <w:start w:val="1"/>
    </w:lvl>
  </w:abstractNum>
  <w:abstractNum w:abstractNumId="34">
    <w:nsid w:val="4F4EF005"/>
    <w:multiLevelType w:val="hybridMultilevel"/>
    <w:lvl w:ilvl="0">
      <w:lvlJc w:val="left"/>
      <w:lvlText w:val="(%1)"/>
      <w:numFmt w:val="decimal"/>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1)"/>
      <w:numFmt w:val="decimal"/>
      <w:start w:val="1"/>
    </w:lvl>
  </w:abstractNum>
  <w:abstractNum w:abstractNumId="39">
    <w:nsid w:val="1CF10FD8"/>
    <w:multiLevelType w:val="hybridMultilevel"/>
    <w:lvl w:ilvl="0">
      <w:lvlJc w:val="left"/>
      <w:lvlText w:val="(%1)"/>
      <w:numFmt w:val="decimal"/>
      <w:start w:val="1"/>
    </w:lvl>
  </w:abstractNum>
  <w:abstractNum w:abstractNumId="40">
    <w:nsid w:val="180115BE"/>
    <w:multiLevelType w:val="hybridMultilevel"/>
    <w:lvl w:ilvl="0">
      <w:lvlJc w:val="left"/>
      <w:lvlText w:val="(%1)"/>
      <w:numFmt w:val="decimal"/>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
      <w:numFmt w:val="bullet"/>
      <w:start w:val="1"/>
    </w:lvl>
  </w:abstractNum>
  <w:abstractNum w:abstractNumId="45">
    <w:nsid w:val="741226BB"/>
    <w:multiLevelType w:val="hybridMultilevel"/>
    <w:lvl w:ilvl="0">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1)"/>
      <w:numFmt w:val="lowerLetter"/>
      <w:start w:val="2"/>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abstractNum>
  <w:abstractNum w:abstractNumId="55">
    <w:nsid w:val="2F305DEF"/>
    <w:multiLevelType w:val="hybridMultilevel"/>
    <w:lvl w:ilvl="0">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
      <w:numFmt w:val="bullet"/>
      <w:start w:val="1"/>
    </w:lvl>
  </w:abstractNum>
  <w:abstractNum w:abstractNumId="67">
    <w:nsid w:val="799D0247"/>
    <w:multiLevelType w:val="hybridMultilevel"/>
    <w:lvl w:ilvl="0">
      <w:lvlJc w:val="left"/>
      <w:lvlText w:val="•"/>
      <w:numFmt w:val="bullet"/>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
      <w:numFmt w:val="bullet"/>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
      <w:numFmt w:val="bullet"/>
      <w:start w:val="1"/>
    </w:lvl>
    <w:lvl w:ilvl="1">
      <w:lvlJc w:val="left"/>
      <w:lvlText w:val="%2)"/>
      <w:numFmt w:val="decimal"/>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jpe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png"/><Relationship Id="rId116" Type="http://schemas.openxmlformats.org/officeDocument/2006/relationships/image" Target="media/image105.png"/><Relationship Id="rId117"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129" Type="http://schemas.openxmlformats.org/officeDocument/2006/relationships/image" Target="media/image118.png"/><Relationship Id="rId130" Type="http://schemas.openxmlformats.org/officeDocument/2006/relationships/image" Target="media/image119.png"/><Relationship Id="rId131" Type="http://schemas.openxmlformats.org/officeDocument/2006/relationships/image" Target="media/image120.png"/><Relationship Id="rId132" Type="http://schemas.openxmlformats.org/officeDocument/2006/relationships/image" Target="media/image121.png"/><Relationship Id="rId133" Type="http://schemas.openxmlformats.org/officeDocument/2006/relationships/image" Target="media/image122.png"/><Relationship Id="rId134" Type="http://schemas.openxmlformats.org/officeDocument/2006/relationships/image" Target="media/image123.png"/><Relationship Id="rId135" Type="http://schemas.openxmlformats.org/officeDocument/2006/relationships/image" Target="media/image124.png"/><Relationship Id="rId136" Type="http://schemas.openxmlformats.org/officeDocument/2006/relationships/image" Target="media/image125.png"/><Relationship Id="rId137" Type="http://schemas.openxmlformats.org/officeDocument/2006/relationships/image" Target="media/image126.png"/><Relationship Id="rId138" Type="http://schemas.openxmlformats.org/officeDocument/2006/relationships/image" Target="media/image127.png"/><Relationship Id="rId139" Type="http://schemas.openxmlformats.org/officeDocument/2006/relationships/image" Target="media/image128.png"/><Relationship Id="rId140" Type="http://schemas.openxmlformats.org/officeDocument/2006/relationships/image" Target="media/image129.png"/><Relationship Id="rId141" Type="http://schemas.openxmlformats.org/officeDocument/2006/relationships/image" Target="media/image130.png"/><Relationship Id="rId142" Type="http://schemas.openxmlformats.org/officeDocument/2006/relationships/image" Target="media/image131.png"/><Relationship Id="rId143" Type="http://schemas.openxmlformats.org/officeDocument/2006/relationships/image" Target="media/image132.png"/><Relationship Id="rId144" Type="http://schemas.openxmlformats.org/officeDocument/2006/relationships/image" Target="media/image133.png"/><Relationship Id="rId145" Type="http://schemas.openxmlformats.org/officeDocument/2006/relationships/image" Target="media/image134.png"/><Relationship Id="rId146" Type="http://schemas.openxmlformats.org/officeDocument/2006/relationships/image" Target="media/image135.png"/><Relationship Id="rId147" Type="http://schemas.openxmlformats.org/officeDocument/2006/relationships/image" Target="media/image136.png"/><Relationship Id="rId148" Type="http://schemas.openxmlformats.org/officeDocument/2006/relationships/image" Target="media/image137.png"/><Relationship Id="rId149" Type="http://schemas.openxmlformats.org/officeDocument/2006/relationships/image" Target="media/image138.png"/><Relationship Id="rId150" Type="http://schemas.openxmlformats.org/officeDocument/2006/relationships/image" Target="media/image139.png"/><Relationship Id="rId151" Type="http://schemas.openxmlformats.org/officeDocument/2006/relationships/image" Target="media/image140.png"/><Relationship Id="rId152" Type="http://schemas.openxmlformats.org/officeDocument/2006/relationships/image" Target="media/image141.png"/><Relationship Id="rId153" Type="http://schemas.openxmlformats.org/officeDocument/2006/relationships/image" Target="media/image142.png"/><Relationship Id="rId154" Type="http://schemas.openxmlformats.org/officeDocument/2006/relationships/image" Target="media/image143.png"/><Relationship Id="rId155"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jpe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66" Type="http://schemas.openxmlformats.org/officeDocument/2006/relationships/hyperlink" Target="http://www.sec.gov/Archives/edgar/data/1504619/000156459020054484/pflt-10k_20200930.htm" TargetMode="External"/><Relationship Id="rId67" Type="http://schemas.openxmlformats.org/officeDocument/2006/relationships/hyperlink" Target="http://www.sec.gov/Archives/edgar/data/1504619/000156459021004982/pflt-10q_20201231.htm" TargetMode="External"/><Relationship Id="rId68" Type="http://schemas.openxmlformats.org/officeDocument/2006/relationships/hyperlink" Target="http://www.sec.gov/Archives/edgar/data/1504619/000156459021005779/pflt-8k_20210209.htm" TargetMode="External"/><Relationship Id="rId69" Type="http://schemas.openxmlformats.org/officeDocument/2006/relationships/hyperlink" Target="http://www.sec.gov/Archives/edgar/data/1504619/000095012320012520/pflt-def14a_RD4.htm" TargetMode="External"/><Relationship Id="rId156" Type="http://schemas.openxmlformats.org/officeDocument/2006/relationships/hyperlink" Target="http://www.sec.gov/Archives/edgar/data/1504619/000156459019043972/pflt-10k_20190930.htm" TargetMode="External"/><Relationship Id="rId157" Type="http://schemas.openxmlformats.org/officeDocument/2006/relationships/hyperlink" Target="http://www.sec.gov/Archives/edgar/data/1504619/000095012319011902/DEF14A.htm" TargetMode="External"/><Relationship Id="rId158" Type="http://schemas.openxmlformats.org/officeDocument/2006/relationships/hyperlink" Target="http://www.sec.gov/Archives/edgar/data/1504619/000119312511090965/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2021-03-22T16:14:58Z</dcterms:created>
  <dcterms:modified xsi:type="dcterms:W3CDTF">2021-03-22T16:14:58Z</dcterms:modified>
</cp:coreProperties>
</file>