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3060"/>
        <w:spacing w:after="0"/>
        <w:rPr>
          <w:sz w:val="20"/>
          <w:szCs w:val="20"/>
          <w:color w:val="auto"/>
        </w:rPr>
      </w:pPr>
      <w:r>
        <w:rPr>
          <w:rFonts w:ascii="Arial" w:cs="Arial" w:eastAsia="Arial" w:hAnsi="Arial"/>
          <w:sz w:val="18"/>
          <w:szCs w:val="18"/>
          <w:b w:val="1"/>
          <w:bCs w:val="1"/>
          <w:color w:val="auto"/>
        </w:rPr>
        <w:t>As filed with the Securities and Exchange Commission on April 7,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Registration No. 333-170243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Investment Company Registration No. 811-22489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0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6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rPr>
        <w: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THE INVESTMENT COMPANY ACT OF 1940 </w:t>
      </w:r>
      <w:r>
        <w:rPr>
          <w:rFonts w:ascii="MS PGothic" w:cs="MS PGothic" w:eastAsia="MS PGothic" w:hAnsi="MS PGothic"/>
          <w:sz w:val="18"/>
          <w:szCs w:val="18"/>
          <w:color w:val="auto"/>
        </w:rPr>
        <w: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8" w:lineRule="exact"/>
        <w:rPr>
          <w:sz w:val="24"/>
          <w:szCs w:val="24"/>
          <w:color w:val="auto"/>
        </w:rPr>
      </w:pPr>
    </w:p>
    <w:tbl>
      <w:tblPr>
        <w:tblLayout w:type="fixed"/>
        <w:tblInd w:w="190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6"/>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8"/>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(Address of Principal Executive Offices)</w:t>
            </w:r>
          </w:p>
        </w:tc>
      </w:tr>
      <w:tr>
        <w:trPr>
          <w:trHeight w:val="244"/>
        </w:trPr>
        <w:tc>
          <w:tcPr>
            <w:tcW w:w="2020" w:type="dxa"/>
            <w:vAlign w:val="bottom"/>
          </w:tcPr>
          <w:p>
            <w:pPr>
              <w:spacing w:after="0"/>
              <w:rPr>
                <w:sz w:val="21"/>
                <w:szCs w:val="21"/>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21"/>
                <w:szCs w:val="21"/>
                <w:color w:val="auto"/>
              </w:rPr>
            </w:pPr>
          </w:p>
        </w:tc>
      </w:tr>
      <w:tr>
        <w:trPr>
          <w:trHeight w:val="174"/>
        </w:trPr>
        <w:tc>
          <w:tcPr>
            <w:tcW w:w="2020" w:type="dxa"/>
            <w:vAlign w:val="bottom"/>
          </w:tcPr>
          <w:p>
            <w:pPr>
              <w:spacing w:after="0"/>
              <w:rPr>
                <w:sz w:val="15"/>
                <w:szCs w:val="15"/>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r>
        <w:trPr>
          <w:trHeight w:val="243"/>
        </w:trPr>
        <w:tc>
          <w:tcPr>
            <w:tcW w:w="2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92"/>
              </w:rPr>
              <w:t>Arthur H. Penn</w:t>
            </w:r>
          </w:p>
        </w:tc>
      </w:tr>
      <w:tr>
        <w:trPr>
          <w:trHeight w:val="216"/>
        </w:trPr>
        <w:tc>
          <w:tcPr>
            <w:tcW w:w="2020" w:type="dxa"/>
            <w:vAlign w:val="bottom"/>
          </w:tcPr>
          <w:p>
            <w:pPr>
              <w:spacing w:after="0"/>
              <w:rPr>
                <w:sz w:val="18"/>
                <w:szCs w:val="18"/>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8"/>
                <w:szCs w:val="18"/>
                <w:b w:val="1"/>
                <w:bCs w:val="1"/>
                <w:color w:val="auto"/>
                <w:w w:val="90"/>
              </w:rPr>
              <w:t>PennantPark Floating Rate Capital Ltd.</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color w:val="auto"/>
                <w:w w:val="87"/>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218"/>
        </w:trPr>
        <w:tc>
          <w:tcPr>
            <w:tcW w:w="2020" w:type="dxa"/>
            <w:vAlign w:val="bottom"/>
          </w:tcPr>
          <w:p>
            <w:pPr>
              <w:spacing w:after="0"/>
              <w:rPr>
                <w:sz w:val="18"/>
                <w:szCs w:val="18"/>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18"/>
                <w:szCs w:val="18"/>
                <w:color w:val="auto"/>
              </w:rPr>
            </w:pP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(Name and address of Agent for Service)</w:t>
            </w:r>
          </w:p>
        </w:tc>
      </w:tr>
      <w:tr>
        <w:trPr>
          <w:trHeight w:val="109"/>
        </w:trPr>
        <w:tc>
          <w:tcPr>
            <w:tcW w:w="2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r>
      <w:tr>
        <w:trPr>
          <w:trHeight w:val="235"/>
        </w:trPr>
        <w:tc>
          <w:tcPr>
            <w:tcW w:w="2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43"/>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Thomas J. Friedmann</w:t>
            </w:r>
          </w:p>
        </w:tc>
        <w:tc>
          <w:tcPr>
            <w:tcW w:w="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1"/>
              </w:rPr>
              <w:t>Stuart H. Gelfond</w:t>
            </w:r>
          </w:p>
        </w:tc>
      </w:tr>
      <w:tr>
        <w:trPr>
          <w:trHeight w:val="217"/>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David J. Harris</w:t>
            </w:r>
          </w:p>
        </w:tc>
        <w:tc>
          <w:tcPr>
            <w:tcW w:w="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Paul D. Tropp</w:t>
            </w:r>
          </w:p>
        </w:tc>
      </w:tr>
      <w:tr>
        <w:trPr>
          <w:trHeight w:val="228"/>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2"/>
              </w:rPr>
              <w:t>Dechert LLP</w:t>
            </w:r>
          </w:p>
        </w:tc>
        <w:tc>
          <w:tcPr>
            <w:tcW w:w="600" w:type="dxa"/>
            <w:vAlign w:val="bottom"/>
          </w:tcPr>
          <w:p>
            <w:pPr>
              <w:spacing w:after="0"/>
              <w:rPr>
                <w:sz w:val="19"/>
                <w:szCs w:val="19"/>
                <w:color w:val="auto"/>
              </w:rPr>
            </w:pPr>
          </w:p>
        </w:tc>
        <w:tc>
          <w:tcPr>
            <w:tcW w:w="5860" w:type="dxa"/>
            <w:vAlign w:val="bottom"/>
            <w:gridSpan w:val="2"/>
          </w:tcPr>
          <w:p>
            <w:pPr>
              <w:jc w:val="center"/>
              <w:ind w:left="2256"/>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1775 I Street, N.W.</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One New York Plaza</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Washington, D.C. 20006</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NY 10004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69"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20" w:hanging="256"/>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8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1"/>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8" w:lineRule="exact"/>
              <w:rPr>
                <w:sz w:val="20"/>
                <w:szCs w:val="20"/>
                <w:color w:val="auto"/>
              </w:rPr>
            </w:pPr>
            <w:r>
              <w:rPr>
                <w:rFonts w:ascii="Arial" w:cs="Arial" w:eastAsia="Arial" w:hAnsi="Arial"/>
                <w:sz w:val="14"/>
                <w:szCs w:val="14"/>
                <w:b w:val="1"/>
                <w:bCs w:val="1"/>
                <w:color w:val="auto"/>
                <w:w w:val="82"/>
              </w:rPr>
              <w:t>Being</w:t>
            </w:r>
          </w:p>
        </w:tc>
        <w:tc>
          <w:tcPr>
            <w:tcW w:w="1600" w:type="dxa"/>
            <w:vAlign w:val="bottom"/>
            <w:tcBorders>
              <w:right w:val="single" w:sz="8" w:color="auto"/>
            </w:tcBorders>
          </w:tcPr>
          <w:p>
            <w:pPr>
              <w:jc w:val="center"/>
              <w:ind w:left="10"/>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1"/>
              <w:spacing w:after="0" w:line="148"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7"/>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480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per Unit</w:t>
            </w:r>
          </w:p>
        </w:tc>
        <w:tc>
          <w:tcPr>
            <w:tcW w:w="1600" w:type="dxa"/>
            <w:vAlign w:val="bottom"/>
            <w:tcBorders>
              <w:bottom w:val="single" w:sz="8" w:color="auto"/>
              <w:right w:val="single" w:sz="8" w:color="auto"/>
            </w:tcBorders>
          </w:tcPr>
          <w:p>
            <w:pPr>
              <w:jc w:val="center"/>
              <w:ind w:left="11"/>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7"/>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(2)</w:t>
            </w:r>
          </w:p>
        </w:tc>
      </w:tr>
      <w:tr>
        <w:trPr>
          <w:trHeight w:val="210"/>
        </w:trPr>
        <w:tc>
          <w:tcPr>
            <w:tcW w:w="20" w:type="dxa"/>
            <w:vAlign w:val="bottom"/>
          </w:tcPr>
          <w:p>
            <w:pPr>
              <w:spacing w:after="0"/>
              <w:rPr>
                <w:sz w:val="18"/>
                <w:szCs w:val="18"/>
                <w:color w:val="auto"/>
              </w:rPr>
            </w:pPr>
          </w:p>
        </w:tc>
        <w:tc>
          <w:tcPr>
            <w:tcW w:w="4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5"/>
              </w:rPr>
              <w:t>11,500,000 shares</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$15.00</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8"/>
                <w:szCs w:val="18"/>
                <w:color w:val="auto"/>
                <w:w w:val="87"/>
              </w:rPr>
              <w:t>$172,500,000</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6"/>
              </w:rPr>
              <w:t>$20,027</w:t>
            </w: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purpose of calculating the registration fee.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previously paid.</w:t>
      </w:r>
    </w:p>
    <w:p>
      <w:pPr>
        <w:spacing w:after="0" w:line="51" w:lineRule="exact"/>
        <w:rPr>
          <w:sz w:val="24"/>
          <w:szCs w:val="24"/>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Filed Pursuant to Rule 497</w:t>
      </w:r>
    </w:p>
    <w:p>
      <w:pPr>
        <w:jc w:val="right"/>
        <w:spacing w:after="0" w:line="223" w:lineRule="auto"/>
        <w:rPr>
          <w:sz w:val="20"/>
          <w:szCs w:val="20"/>
          <w:color w:val="auto"/>
        </w:rPr>
      </w:pPr>
      <w:r>
        <w:rPr>
          <w:rFonts w:ascii="Arial" w:cs="Arial" w:eastAsia="Arial" w:hAnsi="Arial"/>
          <w:sz w:val="14"/>
          <w:szCs w:val="14"/>
          <w:b w:val="1"/>
          <w:bCs w:val="1"/>
          <w:color w:val="auto"/>
        </w:rPr>
        <w:t>Registration No. 333-170243</w:t>
      </w:r>
    </w:p>
    <w:p>
      <w:pPr>
        <w:jc w:val="right"/>
        <w:spacing w:after="0" w:line="228" w:lineRule="auto"/>
        <w:rPr>
          <w:sz w:val="20"/>
          <w:szCs w:val="20"/>
          <w:color w:val="auto"/>
        </w:rPr>
      </w:pPr>
      <w:r>
        <w:rPr>
          <w:rFonts w:ascii="Arial" w:cs="Arial" w:eastAsia="Arial" w:hAnsi="Arial"/>
          <w:sz w:val="14"/>
          <w:szCs w:val="14"/>
          <w:b w:val="1"/>
          <w:bCs w:val="1"/>
          <w:color w:val="auto"/>
        </w:rPr>
        <w:t>Registration No. 811-22489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DE1A1E"/>
        </w:rPr>
        <w:t>Subject to Completion, dated April 7,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118110</wp:posOffset>
            </wp:positionV>
            <wp:extent cx="164655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10,000,000 Shares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0"/>
          <w:szCs w:val="20"/>
          <w:color w:val="auto"/>
        </w:rPr>
      </w:pPr>
    </w:p>
    <w:p>
      <w:pPr>
        <w:ind w:right="220" w:firstLine="342"/>
        <w:spacing w:after="0" w:line="274" w:lineRule="auto"/>
        <w:rPr>
          <w:sz w:val="20"/>
          <w:szCs w:val="20"/>
          <w:color w:val="auto"/>
        </w:rPr>
      </w:pPr>
      <w:r>
        <w:rPr>
          <w:rFonts w:ascii="Arial" w:cs="Arial" w:eastAsia="Arial" w:hAnsi="Arial"/>
          <w:sz w:val="12"/>
          <w:szCs w:val="12"/>
          <w:color w:val="auto"/>
        </w:rPr>
        <w:t>PennantPark Floating Rate Capital Ltd. is a newly organized, externally managed, non-diversified, closed-end management investment company that has elected to be treated as a business development company under the Investment Company Act of 1940, as amended, or the “1940 Act.” We were formed on October 28, 2010 as a Maryland corporation. We will be managed by PennantPark Investment Advisers, LLC, and PennantPark Investment Administration, LLC will provide the administrative services necessary for us to operate.</w:t>
      </w:r>
    </w:p>
    <w:p>
      <w:pPr>
        <w:jc w:val="both"/>
        <w:ind w:right="80" w:firstLine="342"/>
        <w:spacing w:after="0" w:line="233" w:lineRule="auto"/>
        <w:rPr>
          <w:sz w:val="20"/>
          <w:szCs w:val="20"/>
          <w:color w:val="auto"/>
        </w:rPr>
      </w:pPr>
      <w:r>
        <w:rPr>
          <w:rFonts w:ascii="Arial" w:cs="Arial" w:eastAsia="Arial" w:hAnsi="Arial"/>
          <w:sz w:val="14"/>
          <w:szCs w:val="14"/>
          <w:color w:val="auto"/>
        </w:rPr>
        <w:t>Our investment objective is to seek current income. We can offer no assurance that we will achieve our investment objective or be able to structure our investment portfolio as anticipated. We will seek to achieve our investment objective by investing primarily in floating rate loans made to private middle-market companies whose debt is rated below investment grade. We may also invest in thinly traded or small market-cap public middle-market U.S. companies.</w:t>
      </w:r>
    </w:p>
    <w:p>
      <w:pPr>
        <w:spacing w:after="0" w:line="4" w:lineRule="exact"/>
        <w:rPr>
          <w:sz w:val="20"/>
          <w:szCs w:val="20"/>
          <w:color w:val="auto"/>
        </w:rPr>
      </w:pPr>
    </w:p>
    <w:p>
      <w:pPr>
        <w:ind w:right="20" w:firstLine="342"/>
        <w:spacing w:after="0" w:line="265" w:lineRule="auto"/>
        <w:rPr>
          <w:sz w:val="20"/>
          <w:szCs w:val="20"/>
          <w:color w:val="auto"/>
        </w:rPr>
      </w:pPr>
      <w:r>
        <w:rPr>
          <w:rFonts w:ascii="Arial" w:cs="Arial" w:eastAsia="Arial" w:hAnsi="Arial"/>
          <w:sz w:val="12"/>
          <w:szCs w:val="12"/>
          <w:color w:val="auto"/>
        </w:rPr>
        <w:t>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at least 80% of the value of our “Managed Assets,” which means our net assets plus any borrowings for investment purposes, will be invested in Floating Rate Loans.</w:t>
      </w:r>
    </w:p>
    <w:p>
      <w:pPr>
        <w:ind w:left="360"/>
        <w:spacing w:after="0"/>
        <w:rPr>
          <w:sz w:val="20"/>
          <w:szCs w:val="20"/>
          <w:color w:val="auto"/>
        </w:rPr>
      </w:pPr>
      <w:r>
        <w:rPr>
          <w:rFonts w:ascii="Arial" w:cs="Arial" w:eastAsia="Arial" w:hAnsi="Arial"/>
          <w:sz w:val="14"/>
          <w:szCs w:val="14"/>
          <w:color w:val="auto"/>
        </w:rPr>
        <w:t>This prospectus is our initial public offering, for which we have been approved for listing on the NASDAQ Global Select Market under the ticker symbol “PFLT”.</w:t>
      </w:r>
    </w:p>
    <w:p>
      <w:pPr>
        <w:spacing w:after="0" w:line="13" w:lineRule="exact"/>
        <w:rPr>
          <w:sz w:val="20"/>
          <w:szCs w:val="20"/>
          <w:color w:val="auto"/>
        </w:rPr>
      </w:pPr>
    </w:p>
    <w:p>
      <w:pPr>
        <w:ind w:right="260" w:firstLine="342"/>
        <w:spacing w:after="0" w:line="234" w:lineRule="auto"/>
        <w:rPr>
          <w:sz w:val="20"/>
          <w:szCs w:val="20"/>
          <w:color w:val="auto"/>
        </w:rPr>
      </w:pPr>
      <w:r>
        <w:rPr>
          <w:rFonts w:ascii="Arial" w:cs="Arial" w:eastAsia="Arial" w:hAnsi="Arial"/>
          <w:sz w:val="14"/>
          <w:szCs w:val="14"/>
          <w:b w:val="1"/>
          <w:bCs w:val="1"/>
          <w:color w:val="auto"/>
        </w:rPr>
        <w:t>Shares of closed-end investment companies that are listed on an exchange, including business development companies, frequently trade at prices that reflect a discount from their net asset values. If you purchase shares in the initial public offering or otherwise and sell the shares on the NASDAQ Global Select Market or otherwise, you may receive an amount that is less than (1) the amount you paid for the shares and/or (2) the net asset value of the shares at the time of sale.</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We are a newly formed entity and have no previous operating or trading history upon which you can evaluate our performance.</w:t>
      </w:r>
    </w:p>
    <w:p>
      <w:pPr>
        <w:spacing w:after="0" w:line="17" w:lineRule="exact"/>
        <w:rPr>
          <w:sz w:val="20"/>
          <w:szCs w:val="20"/>
          <w:color w:val="auto"/>
        </w:rPr>
      </w:pPr>
    </w:p>
    <w:p>
      <w:pPr>
        <w:ind w:right="60" w:firstLine="342"/>
        <w:spacing w:after="0" w:line="230" w:lineRule="auto"/>
        <w:rPr>
          <w:sz w:val="20"/>
          <w:szCs w:val="20"/>
          <w:color w:val="auto"/>
        </w:rPr>
      </w:pPr>
      <w:r>
        <w:rPr>
          <w:rFonts w:ascii="Arial" w:cs="Arial" w:eastAsia="Arial" w:hAnsi="Arial"/>
          <w:sz w:val="14"/>
          <w:szCs w:val="14"/>
          <w:color w:val="auto"/>
        </w:rPr>
        <w:t>This prospectus contains important information you should know before investing in our securities. Please read it before you invest and keep it for future reference. We will file annual, quarterly and current reports, proxy statements and other information with the Securities and Exchange Commission, or “SEC.” This information is available free of charge by contacting us in writing at 590 Madison Avenue, New York, NY 10022 or by telephone at (212) 905-1000 or on our website at www.pennantpark.com.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60960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0"/>
          <w:szCs w:val="20"/>
          <w:color w:val="auto"/>
        </w:rPr>
      </w:pPr>
    </w:p>
    <w:p>
      <w:pPr>
        <w:ind w:right="120"/>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9">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17 of this prospectus.</w:t>
      </w:r>
    </w:p>
    <w:p>
      <w:pPr>
        <w:spacing w:after="0" w:line="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6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608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9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Share</w:t>
            </w:r>
          </w:p>
        </w:tc>
        <w:tc>
          <w:tcPr>
            <w:tcW w:w="5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0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jc w:val="right"/>
              <w:ind w:right="278"/>
              <w:spacing w:after="0"/>
              <w:rPr>
                <w:sz w:val="20"/>
                <w:szCs w:val="20"/>
                <w:color w:val="auto"/>
              </w:rPr>
            </w:pPr>
            <w:r>
              <w:rPr>
                <w:rFonts w:ascii="Arial" w:cs="Arial" w:eastAsia="Arial" w:hAnsi="Arial"/>
                <w:sz w:val="10"/>
                <w:szCs w:val="10"/>
                <w:color w:val="auto"/>
                <w:w w:val="71"/>
              </w:rPr>
              <w:t>$</w:t>
            </w:r>
          </w:p>
        </w:tc>
        <w:tc>
          <w:tcPr>
            <w:tcW w:w="500" w:type="dxa"/>
            <w:vAlign w:val="bottom"/>
          </w:tcPr>
          <w:p>
            <w:pPr>
              <w:spacing w:after="0"/>
              <w:rPr>
                <w:sz w:val="10"/>
                <w:szCs w:val="10"/>
                <w:color w:val="auto"/>
              </w:rPr>
            </w:pPr>
          </w:p>
        </w:tc>
        <w:tc>
          <w:tcPr>
            <w:tcW w:w="680" w:type="dxa"/>
            <w:vAlign w:val="bottom"/>
          </w:tcPr>
          <w:p>
            <w:pPr>
              <w:jc w:val="right"/>
              <w:ind w:right="561"/>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1"/>
                <w:szCs w:val="11"/>
                <w:color w:val="auto"/>
              </w:rPr>
              <w:t>Underwriting discounts and commissions (Sales load)</w:t>
            </w:r>
            <w:r>
              <w:rPr>
                <w:rFonts w:ascii="Arial" w:cs="Arial" w:eastAsia="Arial" w:hAnsi="Arial"/>
                <w:sz w:val="17"/>
                <w:szCs w:val="17"/>
                <w:color w:val="auto"/>
                <w:vertAlign w:val="superscript"/>
              </w:rPr>
              <w:t>(2)</w:t>
            </w:r>
          </w:p>
        </w:tc>
        <w:tc>
          <w:tcPr>
            <w:tcW w:w="1340" w:type="dxa"/>
            <w:vAlign w:val="bottom"/>
            <w:gridSpan w:val="2"/>
          </w:tcPr>
          <w:p>
            <w:pPr>
              <w:jc w:val="right"/>
              <w:ind w:right="27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6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080" w:type="dxa"/>
            <w:vAlign w:val="bottom"/>
          </w:tcPr>
          <w:p>
            <w:pPr>
              <w:spacing w:after="0"/>
              <w:rPr>
                <w:sz w:val="20"/>
                <w:szCs w:val="20"/>
                <w:color w:val="auto"/>
              </w:rPr>
            </w:pPr>
            <w:r>
              <w:rPr>
                <w:rFonts w:ascii="Arial" w:cs="Arial" w:eastAsia="Arial" w:hAnsi="Arial"/>
                <w:sz w:val="14"/>
                <w:szCs w:val="14"/>
                <w:color w:val="auto"/>
              </w:rPr>
              <w:t>Proceeds to PennantPark Floating Rate Capital Ltd., before estimated offering expenses to us</w:t>
            </w:r>
            <w:r>
              <w:rPr>
                <w:rFonts w:ascii="Arial" w:cs="Arial" w:eastAsia="Arial" w:hAnsi="Arial"/>
                <w:sz w:val="22"/>
                <w:szCs w:val="22"/>
                <w:color w:val="auto"/>
                <w:vertAlign w:val="superscript"/>
              </w:rPr>
              <w:t>(3)</w:t>
            </w:r>
          </w:p>
        </w:tc>
        <w:tc>
          <w:tcPr>
            <w:tcW w:w="1340" w:type="dxa"/>
            <w:vAlign w:val="bottom"/>
            <w:gridSpan w:val="2"/>
          </w:tcPr>
          <w:p>
            <w:pPr>
              <w:jc w:val="right"/>
              <w:ind w:right="27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6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have granted the underwriters an option to purchase up to 1,500,000 additional shares of common stock at the public offering price, less the sales load, within 30 days of the date of this prospectus</w:t>
      </w:r>
    </w:p>
    <w:p>
      <w:pPr>
        <w:ind w:left="340"/>
        <w:spacing w:after="0"/>
        <w:tabs>
          <w:tab w:leader="none" w:pos="9960" w:val="left"/>
          <w:tab w:leader="none" w:pos="10680" w:val="left"/>
        </w:tabs>
        <w:rPr>
          <w:sz w:val="20"/>
          <w:szCs w:val="20"/>
          <w:color w:val="auto"/>
        </w:rPr>
      </w:pPr>
      <w:r>
        <w:rPr>
          <w:rFonts w:ascii="Arial" w:cs="Arial" w:eastAsia="Arial" w:hAnsi="Arial"/>
          <w:sz w:val="12"/>
          <w:szCs w:val="12"/>
          <w:color w:val="auto"/>
        </w:rPr>
        <w:t>solely to cover overallotments, if any. If such option is exercised in full, the total public offering price, sales load, and proceeds, before offering expenses, to us will be $</w:t>
      </w:r>
      <w:r>
        <w:rPr>
          <w:sz w:val="20"/>
          <w:szCs w:val="20"/>
          <w:color w:val="auto"/>
        </w:rPr>
        <w:tab/>
      </w:r>
      <w:r>
        <w:rPr>
          <w:rFonts w:ascii="Arial" w:cs="Arial" w:eastAsia="Arial" w:hAnsi="Arial"/>
          <w:sz w:val="14"/>
          <w:szCs w:val="14"/>
          <w:color w:val="auto"/>
        </w:rPr>
        <w:t>, $</w:t>
      </w:r>
      <w:r>
        <w:rPr>
          <w:sz w:val="20"/>
          <w:szCs w:val="20"/>
          <w:color w:val="auto"/>
        </w:rPr>
        <w:tab/>
      </w:r>
      <w:r>
        <w:rPr>
          <w:rFonts w:ascii="Arial" w:cs="Arial" w:eastAsia="Arial" w:hAnsi="Arial"/>
          <w:sz w:val="10"/>
          <w:szCs w:val="10"/>
          <w:color w:val="auto"/>
        </w:rPr>
        <w:t>and</w:t>
      </w:r>
    </w:p>
    <w:p>
      <w:pPr>
        <w:ind w:left="340"/>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 respectively. See “Underwriting.”</w:t>
      </w:r>
    </w:p>
    <w:p>
      <w:pPr>
        <w:ind w:left="340" w:right="12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PennantPark Investment Advisers LLC will pay to the underwriters a portion of the sales load in the amount of $3.0 million, or $0.300 per share, for a total sales load of $1.050 per share. We (and indirectly our stockholders) will be obligated to repay this amount (a) if during any four consecutive calendar quarter-periods ending on or after the one year anniversary of the date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6, 2014, we will not be obligated to repay this amount.</w:t>
      </w:r>
    </w:p>
    <w:p>
      <w:pPr>
        <w:ind w:left="340" w:right="200" w:hanging="332"/>
        <w:spacing w:after="0" w:line="22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estimate that we will incur approximately $1,000,000 in offering expenses in connection with this offering. Stockholders will indirectly bear such expenses as investors in PennantPark Floating Rate Capital Ltd. The total underwriting discount paid by the Investment Adviser (subject to reimbursement as described in note (2) above) will be $3.0 million ($3.45 million if the over-allotment option is exercised in full).</w:t>
      </w:r>
    </w:p>
    <w:p>
      <w:pPr>
        <w:spacing w:after="0" w:line="3"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2"/>
          <w:szCs w:val="12"/>
          <w:color w:val="auto"/>
        </w:rPr>
        <w:t>Our shares of common stock do not represent a deposit or obligation of, and are not guaranteed or endorsed by, any bank or other insured depository institution, and are not federally insured by the Federal</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Deposit Insurance Corporation, the Federal Reserve Board or any other government agency.</w:t>
      </w:r>
    </w:p>
    <w:p>
      <w:pPr>
        <w:spacing w:after="0" w:line="1" w:lineRule="exact"/>
        <w:rPr>
          <w:sz w:val="20"/>
          <w:szCs w:val="20"/>
          <w:color w:val="auto"/>
        </w:rPr>
      </w:pPr>
    </w:p>
    <w:p>
      <w:pPr>
        <w:ind w:right="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620" w:type="dxa"/>
            <w:vAlign w:val="bottom"/>
            <w:gridSpan w:val="2"/>
          </w:tcPr>
          <w:p>
            <w:pPr>
              <w:spacing w:after="0"/>
              <w:rPr>
                <w:sz w:val="20"/>
                <w:szCs w:val="20"/>
                <w:color w:val="auto"/>
              </w:rPr>
            </w:pPr>
            <w:r>
              <w:rPr>
                <w:rFonts w:ascii="Arial" w:cs="Arial" w:eastAsia="Arial" w:hAnsi="Arial"/>
                <w:sz w:val="14"/>
                <w:szCs w:val="14"/>
                <w:color w:val="auto"/>
                <w:w w:val="91"/>
              </w:rPr>
              <w:t>The underwriters expect to deliver the common shares to purchasers on or about</w:t>
            </w:r>
          </w:p>
        </w:tc>
        <w:tc>
          <w:tcPr>
            <w:tcW w:w="1920" w:type="dxa"/>
            <w:vAlign w:val="bottom"/>
          </w:tcPr>
          <w:p>
            <w:pPr>
              <w:jc w:val="right"/>
              <w:ind w:right="1212"/>
              <w:spacing w:after="0"/>
              <w:rPr>
                <w:sz w:val="20"/>
                <w:szCs w:val="20"/>
                <w:color w:val="auto"/>
              </w:rPr>
            </w:pPr>
            <w:r>
              <w:rPr>
                <w:rFonts w:ascii="Arial" w:cs="Arial" w:eastAsia="Arial" w:hAnsi="Arial"/>
                <w:sz w:val="14"/>
                <w:szCs w:val="14"/>
                <w:color w:val="auto"/>
              </w:rPr>
              <w:t>, 2011.</w:t>
            </w:r>
          </w:p>
        </w:tc>
      </w:tr>
      <w:tr>
        <w:trPr>
          <w:trHeight w:val="95"/>
        </w:trPr>
        <w:tc>
          <w:tcPr>
            <w:tcW w:w="4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Arial" w:cs="Arial" w:eastAsia="Arial" w:hAnsi="Arial"/>
          <w:sz w:val="22"/>
          <w:szCs w:val="22"/>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UBS Investment Bank</w:t>
      </w:r>
    </w:p>
    <w:p>
      <w:pPr>
        <w:spacing w:after="0" w:line="180" w:lineRule="exact"/>
        <w:rPr>
          <w:sz w:val="20"/>
          <w:szCs w:val="20"/>
          <w:color w:val="auto"/>
        </w:rPr>
      </w:pPr>
    </w:p>
    <w:p>
      <w:pPr>
        <w:sectPr>
          <w:pgSz w:w="11900" w:h="16838" w:orient="portrait"/>
          <w:cols w:equalWidth="0" w:num="3">
            <w:col w:w="3060" w:space="720"/>
            <w:col w:w="4620" w:space="720"/>
            <w:col w:w="2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BMO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Houlihan Lokey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Janney Montgomery Scott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RBC Capital Markets</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5"/>
          <w:szCs w:val="15"/>
          <w:b w:val="1"/>
          <w:bCs w:val="1"/>
          <w:color w:val="auto"/>
        </w:rPr>
        <w:t>Stifel Nicolaus Weisel</w:t>
      </w:r>
    </w:p>
    <w:p>
      <w:pPr>
        <w:spacing w:after="0" w:line="205" w:lineRule="exact"/>
        <w:rPr>
          <w:sz w:val="20"/>
          <w:szCs w:val="20"/>
          <w:color w:val="auto"/>
        </w:rPr>
      </w:pPr>
    </w:p>
    <w:p>
      <w:pPr>
        <w:sectPr>
          <w:pgSz w:w="11900" w:h="16838" w:orient="portrait"/>
          <w:cols w:equalWidth="0" w:num="5">
            <w:col w:w="2100" w:space="720"/>
            <w:col w:w="1220" w:space="720"/>
            <w:col w:w="1980" w:space="540"/>
            <w:col w:w="1640" w:space="440"/>
            <w:col w:w="2060"/>
          </w:cols>
          <w:pgMar w:left="240" w:top="459" w:right="239" w:bottom="1440" w:gutter="0" w:footer="0" w:header="0"/>
          <w:type w:val="continuous"/>
        </w:sectPr>
      </w:pPr>
    </w:p>
    <w:p>
      <w:pPr>
        <w:ind w:left="402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2011.</w:t>
      </w:r>
    </w:p>
    <w:p>
      <w:pPr>
        <w:sectPr>
          <w:pgSz w:w="11900" w:h="16838" w:orient="portrait"/>
          <w:cols w:equalWidth="0" w:num="2">
            <w:col w:w="6220" w:space="720"/>
            <w:col w:w="448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 other person to provide you with different information or to make representations as to matters not stated in this prospectus.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80"/>
        </w:trPr>
        <w:tc>
          <w:tcPr>
            <w:tcW w:w="886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FEES AND EXPENSES</w:t>
              </w:r>
            </w:hyperlink>
          </w:p>
        </w:tc>
        <w:tc>
          <w:tcPr>
            <w:tcW w:w="710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600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CAPITALIZATION</w:t>
              </w:r>
            </w:hyperlink>
          </w:p>
        </w:tc>
        <w:tc>
          <w:tcPr>
            <w:tcW w:w="732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DILUTION</w:t>
              </w:r>
            </w:hyperlink>
          </w:p>
        </w:tc>
        <w:tc>
          <w:tcPr>
            <w:tcW w:w="520" w:type="dxa"/>
            <w:vAlign w:val="bottom"/>
            <w:tcBorders>
              <w:top w:val="single" w:sz="8" w:color="0000EE"/>
            </w:tcBorders>
            <w:gridSpan w:val="7"/>
          </w:tcPr>
          <w:p>
            <w:pPr>
              <w:spacing w:after="0"/>
              <w:rPr>
                <w:sz w:val="17"/>
                <w:szCs w:val="17"/>
                <w:color w:val="auto"/>
              </w:rPr>
            </w:pPr>
          </w:p>
        </w:tc>
        <w:tc>
          <w:tcPr>
            <w:tcW w:w="7440" w:type="dxa"/>
            <w:vAlign w:val="bottom"/>
            <w:gridSpan w:val="1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34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DISCUSSION OF MANAGEMENT’S EXPECTED OPERATING PLANS</w:t>
              </w:r>
            </w:hyperlink>
          </w:p>
        </w:tc>
        <w:tc>
          <w:tcPr>
            <w:tcW w:w="352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860" w:type="dxa"/>
            <w:vAlign w:val="bottom"/>
            <w:gridSpan w:val="27"/>
          </w:tcPr>
          <w:p>
            <w:pPr>
              <w:spacing w:after="0" w:line="196" w:lineRule="exact"/>
              <w:rPr>
                <w:sz w:val="20"/>
                <w:szCs w:val="20"/>
                <w:color w:val="auto"/>
              </w:rPr>
            </w:pPr>
            <w:r>
              <w:rPr>
                <w:rFonts w:ascii="Arial" w:cs="Arial" w:eastAsia="Arial" w:hAnsi="Arial"/>
                <w:sz w:val="18"/>
                <w:szCs w:val="18"/>
                <w:color w:val="0000EE"/>
              </w:rPr>
              <w:t>OBLIGATIONS AND INDEBTEDNESS</w:t>
            </w: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DISTRIBUTIONS</w:t>
              </w:r>
            </w:hyperlink>
          </w:p>
        </w:tc>
        <w:tc>
          <w:tcPr>
            <w:tcW w:w="1600" w:type="dxa"/>
            <w:vAlign w:val="bottom"/>
            <w:tcBorders>
              <w:top w:val="single" w:sz="8" w:color="0000EE"/>
            </w:tcBorders>
            <w:gridSpan w:val="9"/>
          </w:tcPr>
          <w:p>
            <w:pPr>
              <w:spacing w:after="0"/>
              <w:rPr>
                <w:sz w:val="17"/>
                <w:szCs w:val="17"/>
                <w:color w:val="auto"/>
              </w:rPr>
            </w:pPr>
          </w:p>
        </w:tc>
        <w:tc>
          <w:tcPr>
            <w:tcW w:w="592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BUSINESS</w:t>
              </w:r>
            </w:hyperlink>
          </w:p>
        </w:tc>
        <w:tc>
          <w:tcPr>
            <w:tcW w:w="8020" w:type="dxa"/>
            <w:vAlign w:val="bottom"/>
            <w:gridSpan w:val="2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MANAGEMENT</w:t>
              </w:r>
            </w:hyperlink>
          </w:p>
        </w:tc>
        <w:tc>
          <w:tcPr>
            <w:tcW w:w="7580" w:type="dxa"/>
            <w:vAlign w:val="bottom"/>
            <w:gridSpan w:val="2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4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CONTROL PERSONS AND PRINCIPAL STOCKHOLDERS</w:t>
              </w:r>
            </w:hyperlink>
          </w:p>
        </w:tc>
        <w:tc>
          <w:tcPr>
            <w:tcW w:w="442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TRANSACTIONS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tcPr>
          <w:p>
            <w:pPr>
              <w:spacing w:after="0"/>
              <w:rPr>
                <w:sz w:val="17"/>
                <w:szCs w:val="17"/>
                <w:color w:val="auto"/>
              </w:rPr>
            </w:pPr>
          </w:p>
        </w:tc>
        <w:tc>
          <w:tcPr>
            <w:tcW w:w="494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87">
              <w:r>
                <w:rPr>
                  <w:rFonts w:ascii="Arial" w:cs="Arial" w:eastAsia="Arial" w:hAnsi="Arial"/>
                  <w:sz w:val="18"/>
                  <w:szCs w:val="18"/>
                  <w:color w:val="0000EE"/>
                  <w:w w:val="96"/>
                </w:rPr>
                <w:t>DIVIDEND REINVESTMENT PLAN</w:t>
              </w:r>
            </w:hyperlink>
          </w:p>
        </w:tc>
        <w:tc>
          <w:tcPr>
            <w:tcW w:w="610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DESCRIPTION OF OUR CAPITAL STOCK</w:t>
              </w:r>
            </w:hyperlink>
          </w:p>
        </w:tc>
        <w:tc>
          <w:tcPr>
            <w:tcW w:w="564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REGULATION</w:t>
              </w:r>
            </w:hyperlink>
          </w:p>
        </w:tc>
        <w:tc>
          <w:tcPr>
            <w:tcW w:w="7740" w:type="dxa"/>
            <w:vAlign w:val="bottom"/>
            <w:gridSpan w:val="2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43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BROKERAGE ALLOCATIONS AND OTHER PRACTICES</w:t>
              </w:r>
            </w:hyperlink>
          </w:p>
        </w:tc>
        <w:tc>
          <w:tcPr>
            <w:tcW w:w="448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476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MATERIAL U.S. FEDERAL INCOME TAX CONSIDERATIONS</w:t>
              </w:r>
            </w:hyperlink>
          </w:p>
        </w:tc>
        <w:tc>
          <w:tcPr>
            <w:tcW w:w="410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UNDERWRITING</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SUB-ADMINISTRATOR, CUSTODIAN AND TRANSFER AGENT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9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LEGAL OPINIONS</w:t>
              </w:r>
            </w:hyperlink>
          </w:p>
        </w:tc>
        <w:tc>
          <w:tcPr>
            <w:tcW w:w="39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FISCAL YEAR</w:t>
              </w:r>
            </w:hyperlink>
          </w:p>
        </w:tc>
        <w:tc>
          <w:tcPr>
            <w:tcW w:w="300" w:type="dxa"/>
            <w:vAlign w:val="bottom"/>
            <w:tcBorders>
              <w:top w:val="single" w:sz="8" w:color="0000EE"/>
            </w:tcBorders>
            <w:gridSpan w:val="6"/>
          </w:tcPr>
          <w:p>
            <w:pPr>
              <w:spacing w:after="0"/>
              <w:rPr>
                <w:sz w:val="17"/>
                <w:szCs w:val="17"/>
                <w:color w:val="auto"/>
              </w:rPr>
            </w:pPr>
          </w:p>
        </w:tc>
        <w:tc>
          <w:tcPr>
            <w:tcW w:w="742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INDEPENDENT REGISTERED PUBLIC ACCOUNTING FIRM</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6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AVAILABLE INFORMATION</w:t>
              </w:r>
            </w:hyperlink>
          </w:p>
        </w:tc>
        <w:tc>
          <w:tcPr>
            <w:tcW w:w="418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2220" w:type="dxa"/>
            <w:vAlign w:val="bottom"/>
            <w:gridSpan w:val="1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5"/>
              </w:rPr>
              <w:t>INDEX TO FINANCIAL STATEMENTS</w:t>
            </w:r>
          </w:p>
        </w:tc>
        <w:tc>
          <w:tcPr>
            <w:tcW w:w="58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and relate to future events, future performance or future financial condition. The forward-looking statements involve risks and uncertainties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except where the context suggests otherwise, the terms “we,” “us,” “our” and “PennantPark Floating Rate Capital” refer to PennantPark Floating Rate Capital Ltd.; “PennantPark Investment Advisers” or the “Investment Adviser” refers to PennantPark Investment Advisers, LLC; “PennantPark Investment Administration” or the “Administrator” refers to PennantPark Investment Administration, LLC.</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has elected to be treated as a business development company under the 1940 Act. We were formed on October 28, 2010 as a Maryland Corporation. In addition, for tax purposes we intend to elect to be treated, and intend to qualify annually, as a regulated investment company, or RIC, under Subchapter M of the Internal Revenue Code of 1986, as amended, which we refer to as the “Code,” commencing with our first taxable year ending after completion of this offering.</w:t>
      </w:r>
    </w:p>
    <w:p>
      <w:pPr>
        <w:spacing w:after="0" w:line="143" w:lineRule="exact"/>
        <w:rPr>
          <w:sz w:val="20"/>
          <w:szCs w:val="20"/>
          <w:color w:val="auto"/>
        </w:rPr>
      </w:pPr>
    </w:p>
    <w:p>
      <w:pPr>
        <w:jc w:val="both"/>
        <w:ind w:left="200" w:right="500" w:firstLine="443"/>
        <w:spacing w:after="0" w:line="259"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 We are managed by PennantPark Investment Advisers, and PennantPark Investment Administration provides the administrative services necessary for us to operate.</w:t>
      </w:r>
    </w:p>
    <w:p>
      <w:pPr>
        <w:spacing w:after="0" w:line="140"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6"/>
          <w:szCs w:val="16"/>
          <w:color w:val="auto"/>
        </w:rPr>
        <w:t>We believe that Floating Rate Loans to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private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portfolio. We expect to invest up to 35% of our overall portfolio opportunistically in other types of investments, including second-lien, high yield, mezzanine and distressed debt securities and equity investments. In focusing on Floating Rate Loans, our primary investment focus differs from that of PennantPark Investment Corporation, a business development company for which the Investment Adviser also acts as investment adviser, although there may be overlap in terms of our targeted investments and those of such other entity. Floating Rate Loans are typically made to U.S. and, to a limited extent, non-U.S. corporations, partnerships and other business entities which operate in various industries and geographical regions.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left="200" w:right="300" w:firstLine="443"/>
        <w:spacing w:after="0" w:line="306" w:lineRule="auto"/>
        <w:rPr>
          <w:sz w:val="20"/>
          <w:szCs w:val="20"/>
          <w:color w:val="auto"/>
        </w:rPr>
      </w:pPr>
      <w:r>
        <w:rPr>
          <w:rFonts w:ascii="Arial" w:cs="Arial" w:eastAsia="Arial" w:hAnsi="Arial"/>
          <w:sz w:val="16"/>
          <w:szCs w:val="16"/>
          <w:color w:val="auto"/>
        </w:rPr>
        <w:t>We intend to use borrowings under a senior secured revolving credit facility to invest in portfolio companies. The use of borrowings to make investments is considered a speculative investment practice and increases the risk of your investment in us. We have received a commitment to arrange a senior secured revolving credit facility for a wholly owned special purpose entity that we will establish, or the “Credit Facility,”</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306" w:lineRule="auto"/>
        <w:rPr>
          <w:sz w:val="20"/>
          <w:szCs w:val="20"/>
          <w:color w:val="auto"/>
        </w:rPr>
      </w:pPr>
      <w:r>
        <w:rPr>
          <w:rFonts w:ascii="Arial" w:cs="Arial" w:eastAsia="Arial" w:hAnsi="Arial"/>
          <w:sz w:val="16"/>
          <w:szCs w:val="16"/>
          <w:color w:val="auto"/>
        </w:rPr>
        <w:t>by SunTrust Robinson Humphrey, Inc. (“STRH”) which is expected to be provided by SunTrust Bank, an affiliate of STRH, and to become effective shortly after this offering is completed. The Credit Facility is expected to initially provide for borrowings up to $200.0 million and is expected to expire in 2016. The Credit Facility is expected to include an accordion feature whereby we will be allowed to increase the amount of the Credit Facility up to $600.0 million.</w:t>
      </w:r>
    </w:p>
    <w:p>
      <w:pPr>
        <w:spacing w:after="0" w:line="107"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color w:val="auto"/>
        </w:rPr>
        <w:t>In seeking to achieve our investment objective,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portfolio company’s indebtedness on a timely basis. The Investment Adviser expects to gain exposure to portfolio companies across a broad range of industries and of varying characteristics and return profiles.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When identifying prospective investment opportunities, the Investment Adviser currently intends to focus primarily on the following attributes:</w:t>
      </w:r>
    </w:p>
    <w:p>
      <w:pPr>
        <w:spacing w:after="0" w:line="113" w:lineRule="exact"/>
        <w:rPr>
          <w:sz w:val="20"/>
          <w:szCs w:val="20"/>
          <w:color w:val="auto"/>
        </w:rPr>
      </w:pPr>
    </w:p>
    <w:p>
      <w:pPr>
        <w:ind w:left="1060" w:right="20" w:hanging="323"/>
        <w:spacing w:after="0" w:line="298"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Leading, defensible market positions</w:t>
      </w:r>
      <w:r>
        <w:rPr>
          <w:rFonts w:ascii="Arial" w:cs="Arial" w:eastAsia="Arial" w:hAnsi="Arial"/>
          <w:sz w:val="16"/>
          <w:szCs w:val="16"/>
          <w:color w:val="auto"/>
        </w:rPr>
        <w:t>. The Investment Adviser intends to invest in portfolio companies that it believes have developed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31" w:lineRule="exact"/>
        <w:rPr>
          <w:rFonts w:ascii="Arial" w:cs="Arial" w:eastAsia="Arial" w:hAnsi="Arial"/>
          <w:sz w:val="16"/>
          <w:szCs w:val="16"/>
          <w:color w:val="auto"/>
        </w:rPr>
      </w:pPr>
    </w:p>
    <w:p>
      <w:pPr>
        <w:ind w:left="1060" w:right="60" w:hanging="323"/>
        <w:spacing w:after="0" w:line="294"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Investing in stable portfolio companies with positive cash flow</w:t>
      </w:r>
      <w:r>
        <w:rPr>
          <w:rFonts w:ascii="Arial" w:cs="Arial" w:eastAsia="Arial" w:hAnsi="Arial"/>
          <w:sz w:val="16"/>
          <w:szCs w:val="16"/>
          <w:color w:val="auto"/>
        </w:rPr>
        <w:t>. The Investment Adviser intends to invest in portfolio companies believed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34" w:lineRule="exact"/>
        <w:rPr>
          <w:rFonts w:ascii="Arial" w:cs="Arial" w:eastAsia="Arial" w:hAnsi="Arial"/>
          <w:sz w:val="16"/>
          <w:szCs w:val="16"/>
          <w:color w:val="auto"/>
        </w:rPr>
      </w:pPr>
    </w:p>
    <w:p>
      <w:pPr>
        <w:ind w:left="1060" w:right="2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Investment Adviser intends to focus on investments in which the portfolio company has an experienced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with an established track record of success. The Investment Adviser typically will require that portfolio companies have in place proper incentives to align management’s goals with our goals.</w:t>
      </w:r>
    </w:p>
    <w:p>
      <w:pPr>
        <w:spacing w:after="0" w:line="59" w:lineRule="exact"/>
        <w:rPr>
          <w:rFonts w:ascii="Arial" w:cs="Arial" w:eastAsia="Arial" w:hAnsi="Arial"/>
          <w:sz w:val="18"/>
          <w:szCs w:val="18"/>
          <w:color w:val="auto"/>
        </w:rPr>
      </w:pPr>
    </w:p>
    <w:p>
      <w:pPr>
        <w:ind w:left="1060" w:right="40" w:hanging="323"/>
        <w:spacing w:after="0" w:line="294"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Private equity sponsorship</w:t>
      </w:r>
      <w:r>
        <w:rPr>
          <w:rFonts w:ascii="Arial" w:cs="Arial" w:eastAsia="Arial" w:hAnsi="Arial"/>
          <w:sz w:val="16"/>
          <w:szCs w:val="16"/>
          <w:color w:val="auto"/>
        </w:rPr>
        <w:t>. 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34" w:lineRule="exact"/>
        <w:rPr>
          <w:rFonts w:ascii="Arial" w:cs="Arial" w:eastAsia="Arial" w:hAnsi="Arial"/>
          <w:sz w:val="16"/>
          <w:szCs w:val="16"/>
          <w:color w:val="auto"/>
        </w:rPr>
      </w:pPr>
    </w:p>
    <w:p>
      <w:pPr>
        <w:ind w:left="1060" w:right="10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Investments in different portfolio companies and industries</w:t>
      </w:r>
      <w:r>
        <w:rPr>
          <w:rFonts w:ascii="Arial" w:cs="Arial" w:eastAsia="Arial" w:hAnsi="Arial"/>
          <w:sz w:val="18"/>
          <w:szCs w:val="18"/>
          <w:color w:val="auto"/>
        </w:rPr>
        <w:t>. The Investment Adviser will seek to invest our assets broadly among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across industries. The Investment Adviser believes that this diversified approach may reduce the risk that a downturn in any one company or industry will have a disproportionate impact on the value of our portfolio.</w:t>
      </w:r>
    </w:p>
    <w:p>
      <w:pPr>
        <w:spacing w:after="0" w:line="14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The Investment Adviser intends to monitor credit risk of each portfolio company regularly and periodically with a goal toward identifying early, and selling, Floating Rate Loans and other investments with potential credit</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03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0038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w:t>
      </w:r>
    </w:p>
    <w:p>
      <w:pPr>
        <w:ind w:left="200" w:right="20" w:hanging="3"/>
        <w:spacing w:after="0" w:line="255" w:lineRule="auto"/>
        <w:tabs>
          <w:tab w:leader="none" w:pos="449"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44"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to the extent such a change would not affect our ability to maintain our election as a business development company.</w:t>
      </w:r>
    </w:p>
    <w:p>
      <w:pPr>
        <w:spacing w:after="0" w:line="140"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5"/>
          <w:szCs w:val="15"/>
          <w:color w:val="auto"/>
        </w:rPr>
        <w:t>We will seek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05" w:lineRule="exact"/>
        <w:rPr>
          <w:sz w:val="20"/>
          <w:szCs w:val="20"/>
          <w:color w:val="auto"/>
        </w:rPr>
      </w:pPr>
    </w:p>
    <w:p>
      <w:pPr>
        <w:ind w:left="200" w:right="220" w:firstLine="443"/>
        <w:spacing w:after="0" w:line="291" w:lineRule="auto"/>
        <w:rPr>
          <w:sz w:val="20"/>
          <w:szCs w:val="20"/>
          <w:color w:val="auto"/>
        </w:rPr>
      </w:pPr>
      <w:r>
        <w:rPr>
          <w:rFonts w:ascii="Arial" w:cs="Arial" w:eastAsia="Arial" w:hAnsi="Arial"/>
          <w:sz w:val="16"/>
          <w:szCs w:val="16"/>
          <w:color w:val="auto"/>
        </w:rPr>
        <w:t>The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monitors the payment of our expenses as well as the performance of administrative and professional services rendered to us by others. Furthermore, the Administrator will provide, on our behalf, managerial assistance to those portfolio companies to which we provide assistance. See “Risk Factors—Risks Relating to our Business and Structure.”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640" w:right="16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sz w:val="20"/>
          <w:szCs w:val="20"/>
          <w:color w:val="auto"/>
        </w:rPr>
      </w:pPr>
    </w:p>
    <w:p>
      <w:pPr>
        <w:ind w:left="640" w:right="20"/>
        <w:spacing w:after="0" w:line="334" w:lineRule="auto"/>
        <w:rPr>
          <w:sz w:val="20"/>
          <w:szCs w:val="20"/>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collateralized loan obligation (“CLO”) funds have withdrawn capital from the middle-market resulting in opportunities for alternative funding sources.</w:t>
      </w:r>
    </w:p>
    <w:p>
      <w:pPr>
        <w:spacing w:after="0" w:line="1" w:lineRule="exact"/>
        <w:rPr>
          <w:sz w:val="20"/>
          <w:szCs w:val="20"/>
          <w:color w:val="auto"/>
        </w:rPr>
      </w:pPr>
    </w:p>
    <w:p>
      <w:pPr>
        <w:ind w:left="64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sz w:val="20"/>
          <w:szCs w:val="20"/>
          <w:color w:val="auto"/>
        </w:rPr>
      </w:pPr>
    </w:p>
    <w:p>
      <w:pPr>
        <w:ind w:left="640" w:right="300"/>
        <w:spacing w:after="0" w:line="296" w:lineRule="auto"/>
        <w:rPr>
          <w:sz w:val="20"/>
          <w:szCs w:val="20"/>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7"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jc w:val="both"/>
        <w:ind w:left="200" w:right="180" w:firstLine="443"/>
        <w:spacing w:after="0" w:line="323" w:lineRule="auto"/>
        <w:rPr>
          <w:sz w:val="20"/>
          <w:szCs w:val="20"/>
          <w:color w:val="auto"/>
        </w:rPr>
      </w:pPr>
      <w:r>
        <w:rPr>
          <w:rFonts w:ascii="Arial" w:cs="Arial" w:eastAsia="Arial" w:hAnsi="Arial"/>
          <w:sz w:val="15"/>
          <w:szCs w:val="15"/>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will be highly selective in deploying our capital. We believe our approach will enable us to build an attractive investment portfolio that meets our return and value criteria over the long-term.</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 Investment Selection Criteria” for more information.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9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financial needs of a company while also generating attractive risk-adjusted returns. We can invest in any part of a capital structure and the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160" w:firstLine="443"/>
        <w:spacing w:after="0" w:line="318"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00"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w:t>
      </w:r>
    </w:p>
    <w:p>
      <w:pPr>
        <w:spacing w:after="0" w:line="143"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We currently anticipate utilizing leverage. The use of leverage is generally considered a speculative investment technique. The Credit Facility is expected to be entered into shortly after completing this offering, and we expect it to provide up to $200.0 million in available borrowing capacity. We intend to form a wholly owned subsidiary to make borrowings under the Credit Facility and to hold our portfolio investments that will serve as collateral under the Credit Facility. We may seek to securitize such loans to generate cash for funding new investments. This could include the sale of interests in the subsidiary on a non-recourse basis to purchasers whom we would expect to be willing to accept a lower interest rate to invest in investment grade loan pools, and we would retain a portion of the equity in the securitized pool of loans. To the extent that we securitize loans in connection with the Credit Facility, we intend to consolidate any indebtedness incurred by any subsidiary in connection with its contemplated securitization facility for financial reporting purposes and, in addition, any such indebtedness will be included in our determination of our compliance with the asset coverage test under the 1940 Act. In order to make additional investments, we may incur leverage in an aggregate amount of up to 50% of our Managed Assets at the time such leverage is incurred (which would be equivalent to 100% of our net assets). We may also issue preferred stock and/or notes, enter into total return swaps or other derivatives, and borrow funds from banks and other financial institutions.</w:t>
      </w:r>
    </w:p>
    <w:p>
      <w:pPr>
        <w:spacing w:after="0" w:line="127" w:lineRule="exact"/>
        <w:rPr>
          <w:sz w:val="20"/>
          <w:szCs w:val="20"/>
          <w:color w:val="auto"/>
        </w:rPr>
      </w:pPr>
    </w:p>
    <w:p>
      <w:pPr>
        <w:ind w:left="200" w:right="100" w:firstLine="443"/>
        <w:spacing w:after="0" w:line="289" w:lineRule="auto"/>
        <w:rPr>
          <w:sz w:val="20"/>
          <w:szCs w:val="20"/>
          <w:color w:val="auto"/>
        </w:rPr>
      </w:pPr>
      <w:r>
        <w:rPr>
          <w:rFonts w:ascii="Arial" w:cs="Arial" w:eastAsia="Arial" w:hAnsi="Arial"/>
          <w:sz w:val="16"/>
          <w:szCs w:val="16"/>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includes assets purchased using leverage. As such, the Investment Adviser may have a financial incentive to increase the use of leverage, which constitutes an inherent conflict of interest. In addition, the fees we pay to the Investment Adviser are borne exclusively by our common stockholders. It is expected that preferred stockholders, noteholders and any lenders will not bear any of our expenses. Our leveraging strategy, if utilized, may not be successful.</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180" w:firstLine="443"/>
        <w:spacing w:after="0" w:line="298" w:lineRule="auto"/>
        <w:rPr>
          <w:sz w:val="20"/>
          <w:szCs w:val="20"/>
          <w:color w:val="auto"/>
        </w:rPr>
      </w:pPr>
      <w:r>
        <w:rPr>
          <w:rFonts w:ascii="Arial" w:cs="Arial" w:eastAsia="Arial" w:hAnsi="Arial"/>
          <w:sz w:val="16"/>
          <w:szCs w:val="16"/>
          <w:color w:val="auto"/>
        </w:rPr>
        <w:t>Our investment activities will be managed by PennantPark Investment Advisers and supervised by our board of directors, a majority of whom are independent of the Investment Adviser. Under our investment management agreement (the “Investment Management Agreement”), we have agreed to pay the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We will also enter into an administration agreement (the “Administration Agreement”) with the Administrator. Under the Administration Agreement, we will agree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Also, while we will be permitted to finance investments using debt, our ability to use debt will be limited in certain significant respects. See “Regulation” for more information. We intend to elect to be treated, and intend to qualify annually, as a RIC for federal income tax purposes under the Code, commencing with our first taxable year ending after completion of this offering. See “Material U.S. Federal Income Tax Considerations”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140" w:firstLine="443"/>
        <w:spacing w:after="0" w:line="291" w:lineRule="auto"/>
        <w:rPr>
          <w:sz w:val="20"/>
          <w:szCs w:val="20"/>
          <w:color w:val="auto"/>
        </w:rPr>
      </w:pPr>
      <w:r>
        <w:rPr>
          <w:rFonts w:ascii="Arial" w:cs="Arial" w:eastAsia="Arial" w:hAnsi="Arial"/>
          <w:sz w:val="16"/>
          <w:szCs w:val="16"/>
          <w:color w:val="auto"/>
        </w:rPr>
        <w:t>We plan to use the net proceeds of this offering for investments in portfolio companies in accordance with our investment objectives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invested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2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We intend to distribute monthly dividends to our common stockholders to the extent permitted under the 1940 Act. Our monthly dividends, if any, will be determined by our board of directors. See “Distributions”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05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2705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spacing w:after="0" w:line="298" w:lineRule="auto"/>
        <w:rPr>
          <w:sz w:val="20"/>
          <w:szCs w:val="20"/>
          <w:color w:val="auto"/>
        </w:rPr>
      </w:pPr>
      <w:r>
        <w:rPr>
          <w:rFonts w:ascii="Arial" w:cs="Arial" w:eastAsia="Arial" w:hAnsi="Arial"/>
          <w:sz w:val="16"/>
          <w:szCs w:val="16"/>
          <w:color w:val="auto"/>
        </w:rPr>
        <w:t>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may range from weekly to quarterly and could be subject to extension. We expect the dividend rate to be variable and determined for each dividend period. See “Risk Factors—Risks Relating to Our Business Structure”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common stockholders unless a stockholder elects to receive cash. As a result, if our board of directors authorizes, and we declare, a cash dividend, then our common stockholders who have not ‘opted out’ of our dividend reinvestment plan will have their cash dividends automatically reinvested in additional shares of our common stock rather than receiving the cash dividends. Registered common stockholders must notify our transfer agent in writing if they wish to ‘opt-out’ of the dividend reinvestment plan. See “Dividend Reinvestment Plan”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has been approved for listing on the NASDAQ Global Select Market under the symbol “PFLT”.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and you should not consider information contained on our website to be part of this prospectus.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00" w:type="dxa"/>
            <w:vAlign w:val="bottom"/>
            <w:tcBorders>
              <w:top w:val="single" w:sz="8" w:color="auto"/>
              <w:left w:val="single" w:sz="8" w:color="auto"/>
            </w:tcBorders>
          </w:tcPr>
          <w:p>
            <w:pPr>
              <w:spacing w:after="0"/>
              <w:rPr>
                <w:sz w:val="24"/>
                <w:szCs w:val="24"/>
                <w:color w:val="auto"/>
              </w:rPr>
            </w:pPr>
          </w:p>
        </w:tc>
        <w:tc>
          <w:tcPr>
            <w:tcW w:w="736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THE OFFERING</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10,000,000, excluding 1,500,000 shares of common stock issuable pursuant to the over-allotment</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option granted to the underwriters.</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Common stock to be outstanding after this offering</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10,000,667, excluding 1,500,000 shares of common stock issuable pursuant to the over-allotment</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option granted to the underwriters.</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We plan to use the net proceeds of this offering for investments primarily in Floating Rate Loans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in accordance with our investment objective and strategies described in this prospectus and for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general working capital purposes. We will also pay operating expenses, including management</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and administrative fees, and may pay other expenses such as due diligence expenses of potential</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new investments, from the net proceeds of this offering. We anticipate that substantially all of the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net proceeds of this offering will be used for the above purposes within three to six months from</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the consummation of this offering, depending on the availability of appropriate investment</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opportunities consistent with our investment objective and market conditions. We cannot assure</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you that we will achieve our targeted investment pace.</w:t>
            </w:r>
          </w:p>
        </w:tc>
      </w:tr>
      <w:tr>
        <w:trPr>
          <w:trHeight w:val="291"/>
        </w:trPr>
        <w:tc>
          <w:tcPr>
            <w:tcW w:w="410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Pending such investments, we will invest the net proceeds primarily in cash, cash equivalents,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U.S. government securities and other high-quality investments that mature in one year or less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from the date of investment. The Investment Adviser has agreed to waive the portion of the base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management fee payable on any net proceeds of this offering that have not yet been invested in</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portfolio investments, inclusive of any temporary investments in cash, cash equivalents, U.S.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government securities and other high-quality investment grade debt investments that mature in</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12 months or less from the date of investment. See “Regulation—Temporary Investments” for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additional information about temporary investments we may make while waiting to make longer-</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term investments in pursuit of our investment objective.</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Adviser portion of Sales Load</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The Investment Adviser has agreed to pay the underwriters a portion of the sales load in the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amount of $3,000,000 ($3,450,000 if the underwriters exercise their overallotment option in full).</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We (and indirectly our stockholders) will be obligated to repay this amount (a) if during any four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consecutive calendar quarter-periods ending on or after the one year anniversary of the closing of</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the offering, our Pre-Incentive Fee Net Investment Income equals or exceeds 1.75% (7.0%</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annualized) of our net assets at the beginning of such period (as adjusted for any issuances 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repurchases of shares of our common stock) or (b) upon our liquidation. If one or more of these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events does not occur on or before April 6, 2014, we will not be obligated to repay this amount.</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We will repay such amount to the Investment Adviser in cash, and the Investment Adviser has</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agreed to use such payment to purchase shares of our common stock in the secondary market.</w:t>
            </w:r>
          </w:p>
        </w:tc>
      </w:tr>
      <w:tr>
        <w:trPr>
          <w:trHeight w:val="419"/>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NASDAQ Global Market symbol</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“PFLT”</w:t>
            </w:r>
          </w:p>
        </w:tc>
      </w:tr>
      <w:tr>
        <w:trPr>
          <w:trHeight w:val="174"/>
        </w:trPr>
        <w:tc>
          <w:tcPr>
            <w:tcW w:w="4100" w:type="dxa"/>
            <w:vAlign w:val="bottom"/>
            <w:tcBorders>
              <w:left w:val="single" w:sz="8" w:color="auto"/>
              <w:bottom w:val="single" w:sz="8" w:color="auto"/>
            </w:tcBorders>
          </w:tcPr>
          <w:p>
            <w:pPr>
              <w:spacing w:after="0"/>
              <w:rPr>
                <w:sz w:val="15"/>
                <w:szCs w:val="15"/>
                <w:color w:val="auto"/>
              </w:rPr>
            </w:pPr>
          </w:p>
        </w:tc>
        <w:tc>
          <w:tcPr>
            <w:tcW w:w="7360" w:type="dxa"/>
            <w:vAlign w:val="bottom"/>
            <w:tcBorders>
              <w:bottom w:val="single" w:sz="8" w:color="auto"/>
              <w:right w:val="single" w:sz="8" w:color="auto"/>
            </w:tcBorders>
          </w:tcPr>
          <w:p>
            <w:pPr>
              <w:spacing w:after="0"/>
              <w:rPr>
                <w:sz w:val="15"/>
                <w:szCs w:val="15"/>
                <w:color w:val="auto"/>
              </w:rPr>
            </w:pPr>
          </w:p>
        </w:tc>
      </w:tr>
      <w:tr>
        <w:trPr>
          <w:trHeight w:val="359"/>
        </w:trPr>
        <w:tc>
          <w:tcPr>
            <w:tcW w:w="4100" w:type="dxa"/>
            <w:vAlign w:val="bottom"/>
          </w:tcPr>
          <w:p>
            <w:pPr>
              <w:spacing w:after="0"/>
              <w:rPr>
                <w:sz w:val="24"/>
                <w:szCs w:val="24"/>
                <w:color w:val="auto"/>
              </w:rPr>
            </w:pPr>
          </w:p>
        </w:tc>
        <w:tc>
          <w:tcPr>
            <w:tcW w:w="7360" w:type="dxa"/>
            <w:vAlign w:val="bottom"/>
          </w:tcPr>
          <w:p>
            <w:pPr>
              <w:ind w:left="15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2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81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w w:val="89"/>
              </w:rPr>
              <w:t>Shares of closed-end investment companies frequently trade at a discount to their net asset value.</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See “Risks relating to an investment in our common stock.”</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Distributions</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We intend to distribute monthly dividends to our common stockholders to the extent permitted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under the 1940 Act. Our monthly dividends, if any, will be determined by our board of directors.</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See “Distributions” for more information.</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We intend to elect to be treated, and intend to qualify annually, for federal income tax purposes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as a RIC commencing with our first taxable year ending after completion of this offering.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RIC, we generally will not have to pay corporate-level federal income taxes on any ordinary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income or capital gains that we distribute to our stockholders as distributions. To obtain and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maintain RIC status and the associated tax benefits, we must meet specified source-of-income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and asset diversification requirements and distribute annually at least 90% of our ordinary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89"/>
              </w:rPr>
              <w:t>income and realized net short-term capital gains in excess of realized net long-term capital losses,</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if any, to our stockholders. See “Material U.S. Federal Income Tax Considerations.”</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We currently anticipate utilizing leverage. The use of leverage is generally considered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speculative investment technique. We have received a commitment to arrange a Credit Facility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by STRH, which is expected to be provided by SunTrust Bank, an affiliate of STRH and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become effective shortly after this offering is completed. The Credit Facility is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initially provide for borrowings up to $200.0 million and is expected to expire in 2016. The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Credit Facility is expected to include an accordion feature whereby we will be allowed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increase the amount of the Credit Facility up to $600.0 million with the consent of the SunTrust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Bank and/or add new committed lenders with such parties’ consent. See “Business—Leverage”</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for more information.</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We have adopted a dividend reinvestment plan for our stockholders. This will be an “opt out”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dividend reinvestment plan. As a result, if we declare a dividend or other distribution, then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stockholders’ cash distributions will be reinvested automatically in additional shares of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common stock, unless our stockholders specifically “opt out” of the dividend reinvestment plan,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so as to receive cash dividends or other distributions. Stockholders who receive distributions in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the form of shares of common stock will be subject to the same federal, state and local tax</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consequences as stockholders who elect to receive their distributions in cash. See “Dividend</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Reinvestment Plan.”</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We will pay PennantPark Investment Advisers a fee for its services under the Investment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Management Agreement consisting of two components—a base management fee and an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incentive fee. The base management fee will be calculated at an annual rate of 1.00 percent of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0"/>
              </w:rPr>
              <w:t>our gross assets. PennantPark Investment Advisers, however, has agreed to waive the portion of</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the base management fee payable on</w:t>
            </w:r>
          </w:p>
        </w:tc>
      </w:tr>
      <w:tr>
        <w:trPr>
          <w:trHeight w:val="161"/>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59"/>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240" w:type="dxa"/>
            <w:vAlign w:val="bottom"/>
            <w:tcBorders>
              <w:top w:val="single" w:sz="8" w:color="auto"/>
              <w:left w:val="single" w:sz="8" w:color="auto"/>
            </w:tcBorders>
          </w:tcPr>
          <w:p>
            <w:pPr>
              <w:spacing w:after="0"/>
              <w:rPr>
                <w:sz w:val="24"/>
                <w:szCs w:val="24"/>
                <w:color w:val="auto"/>
              </w:rPr>
            </w:pPr>
          </w:p>
        </w:tc>
        <w:tc>
          <w:tcPr>
            <w:tcW w:w="822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w w:val="99"/>
              </w:rPr>
              <w:t>any net proceeds of this offering that have not yet been invested in portfolio investments,</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inclusive of any temporary investments in cash, cash equivalents, U.S. government securities and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other high-quality investment grade debt investments that mature in 12 months or less from the</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date of investment.</w:t>
            </w:r>
          </w:p>
        </w:tc>
      </w:tr>
      <w:tr>
        <w:trPr>
          <w:trHeight w:val="304"/>
        </w:trPr>
        <w:tc>
          <w:tcPr>
            <w:tcW w:w="324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The incentive fee will consist of two parts. The first part will be calculated and payable quarterly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in arrears based upon our “Pre-Incentive Fee Net Investment Income” for the immediately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preceding quarter, and will be subject to a Hurdle (as defined under “Fees and Expenses”) and a</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“catch-up” feature. The second part will be determined and payable in arrears as of the end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each calendar year (or upon termination of the Investment Management Agreement, as of the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termination date) and will equal 20% of our realized capital gains on a cumulative basis from</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inception through the end of each calendar year, computed net of all realized capital losses and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net unrealized capital depreciation on a cumulative basis, less the aggregate amount of any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previously paid capital gain incentive fees. See “Certain Relationships and Transactions—</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Investment Management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Administration Agreement</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We will reimburse PennantPark Administration for the allocable portion of overhead and other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expenses incurred by PennantPark Administration in performing its obligations under the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Administration Agreement, including furnishing us with office facilities, equipment and clerical,</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bookkeeping and record keeping services at such facilities, as well as providing us with other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administrative services. To the extent that our administrator outsources any of its functions, we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will pay the fees associated with such functions on a direct basis without profit to the</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administrator. See “Management—Administration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We have entered into a license agreement with PennantPark Investment Advisers, which we refer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to as the “License Agreement,” pursuant to which PennantPark Investment Advisers has agreed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to grant us a non-exclusive license to use the name “PennantPark.” For a description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PennantPark Investment Advisers, PennantPark Administration and our contractual arrangements</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with these companies, see “Certain Relationships and Transactions—Investment Management</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Agreement,” “—Administration Agreement” and “—License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Anti-takeover provisions</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Our board of directors is divided into three classes of directors serving staggered three-year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terms. This structure is intended to increase the likelihood of continuity of management, which</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may be necessary for us to realize the full value of our investments. A staggered board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directors also may serve to deter hostile takeovers or proxy contests, as may certain other</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measures adopted by us. See “Description of Our Capital Stock.”</w:t>
            </w:r>
          </w:p>
        </w:tc>
      </w:tr>
      <w:tr>
        <w:trPr>
          <w:trHeight w:val="161"/>
        </w:trPr>
        <w:tc>
          <w:tcPr>
            <w:tcW w:w="3240" w:type="dxa"/>
            <w:vAlign w:val="bottom"/>
            <w:tcBorders>
              <w:left w:val="single" w:sz="8" w:color="auto"/>
              <w:bottom w:val="single" w:sz="8" w:color="auto"/>
            </w:tcBorders>
          </w:tcPr>
          <w:p>
            <w:pPr>
              <w:spacing w:after="0"/>
              <w:rPr>
                <w:sz w:val="13"/>
                <w:szCs w:val="13"/>
                <w:color w:val="auto"/>
              </w:rPr>
            </w:pPr>
          </w:p>
        </w:tc>
        <w:tc>
          <w:tcPr>
            <w:tcW w:w="8220" w:type="dxa"/>
            <w:vAlign w:val="bottom"/>
            <w:tcBorders>
              <w:bottom w:val="single" w:sz="8" w:color="auto"/>
              <w:right w:val="single" w:sz="8" w:color="auto"/>
            </w:tcBorders>
          </w:tcPr>
          <w:p>
            <w:pPr>
              <w:spacing w:after="0"/>
              <w:rPr>
                <w:sz w:val="13"/>
                <w:szCs w:val="13"/>
                <w:color w:val="auto"/>
              </w:rPr>
            </w:pPr>
          </w:p>
        </w:tc>
      </w:tr>
      <w:tr>
        <w:trPr>
          <w:trHeight w:val="359"/>
        </w:trPr>
        <w:tc>
          <w:tcPr>
            <w:tcW w:w="3240" w:type="dxa"/>
            <w:vAlign w:val="bottom"/>
          </w:tcPr>
          <w:p>
            <w:pPr>
              <w:spacing w:after="0"/>
              <w:rPr>
                <w:sz w:val="24"/>
                <w:szCs w:val="24"/>
                <w:color w:val="auto"/>
              </w:rPr>
            </w:pPr>
          </w:p>
        </w:tc>
        <w:tc>
          <w:tcPr>
            <w:tcW w:w="8220" w:type="dxa"/>
            <w:vAlign w:val="bottom"/>
          </w:tcPr>
          <w:p>
            <w:pPr>
              <w:ind w:left="238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58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45846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value of our assets, as well as the market price of our shares, will fluctuate. You may lose all or part of your investment. Investing in PennantPark Floating Rate Capital involves other risks, including the following:</w:t>
      </w:r>
    </w:p>
    <w:p>
      <w:pPr>
        <w:spacing w:after="0" w:line="59"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are a new company with a limited operating history.</w:t>
      </w:r>
    </w:p>
    <w:p>
      <w:pPr>
        <w:spacing w:after="0" w:line="124"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Arial" w:cs="Arial" w:eastAsia="Arial" w:hAnsi="Arial"/>
          <w:sz w:val="18"/>
          <w:szCs w:val="18"/>
          <w:color w:val="auto"/>
        </w:rPr>
        <w:t>We are dependent upon the Investment Adviser’s key personnel for our future success, and if the Investment Adviser is unable to hire and retain qualified personnel or if we lose any member of our management team, our ability to achieve our investment objective could be significantly harmed.</w:t>
      </w:r>
    </w:p>
    <w:p>
      <w:pPr>
        <w:spacing w:after="0" w:line="62"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will operate in a highly competitive market for investment opportunities.</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40"/>
        <w:spacing w:after="0" w:line="268" w:lineRule="auto"/>
        <w:rPr>
          <w:sz w:val="20"/>
          <w:szCs w:val="20"/>
          <w:color w:val="auto"/>
        </w:rPr>
      </w:pPr>
      <w:r>
        <w:rPr>
          <w:rFonts w:ascii="Arial" w:cs="Arial" w:eastAsia="Arial" w:hAnsi="Arial"/>
          <w:sz w:val="18"/>
          <w:szCs w:val="18"/>
          <w:color w:val="auto"/>
        </w:rPr>
        <w:t>We intend to elect to be treated as a RIC, and we will be subject to corporate-level income tax if we are unable to qualify as a RIC.</w:t>
      </w:r>
    </w:p>
    <w:p>
      <w:pPr>
        <w:spacing w:after="0" w:line="51"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are a non-diversified fund.</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lack of liquidity in our investments may adversely affect our business.</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Investing in our shares may involve an above average degree of risk.</w:t>
      </w:r>
    </w:p>
    <w:p>
      <w:pPr>
        <w:spacing w:after="0" w:line="124"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We will need to raise additional capital to grow because we must distribute most of our income.</w:t>
      </w:r>
    </w:p>
    <w:p>
      <w:pPr>
        <w:spacing w:after="0" w:line="51"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the market price of our shares will not decline following the offering.</w:t>
      </w:r>
    </w:p>
    <w:p>
      <w:pPr>
        <w:spacing w:after="0" w:line="59"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400" w:right="440"/>
        <w:spacing w:after="0" w:line="332" w:lineRule="auto"/>
        <w:rPr>
          <w:sz w:val="20"/>
          <w:szCs w:val="20"/>
          <w:color w:val="auto"/>
        </w:rPr>
      </w:pPr>
      <w:r>
        <w:rPr>
          <w:rFonts w:ascii="Arial" w:cs="Arial" w:eastAsia="Arial" w:hAnsi="Arial"/>
          <w:sz w:val="16"/>
          <w:szCs w:val="16"/>
          <w:color w:val="auto"/>
        </w:rPr>
        <w:t>See “Risk Factors” beginning on page 11 for more information on these and other risks you should carefully consider before deciding to invest in shares of our common stock.</w:t>
      </w:r>
    </w:p>
    <w:p>
      <w:pPr>
        <w:sectPr>
          <w:pgSz w:w="11900" w:h="16838" w:orient="portrait"/>
          <w:cols w:equalWidth="0" w:num="1">
            <w:col w:w="11260"/>
          </w:cols>
          <w:pgMar w:left="240" w:top="459" w:right="399" w:bottom="1440" w:gutter="0" w:footer="0" w:header="0"/>
          <w:type w:val="continuous"/>
        </w:sectPr>
      </w:pPr>
    </w:p>
    <w:p>
      <w:pPr>
        <w:spacing w:after="0" w:line="1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Available information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have filed with the SEC a registration statement on Form N-2 under the Securities Act of 1933, as amended, or the “Securities Act,” which contains additional information about us and the shares of our common stock being offered by this prospectus. After completion of this offering, we will be required to file periodic reports, proxy statements and other information with the Securities and Exchange Commission, or the SEC. This information will be available at the SEC’s public reference room in Washington, D.C. and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66"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spacing w:after="0" w:line="284"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xml:space="preserve"> and intend to make all of our annual, quarterly and current reports, proxy statements and other information available, free of charge, on or through our website. You may also obtain such information by contacting us, in writing at:</w:t>
      </w:r>
    </w:p>
    <w:p>
      <w:pPr>
        <w:spacing w:after="0" w:line="1" w:lineRule="exact"/>
        <w:rPr>
          <w:sz w:val="20"/>
          <w:szCs w:val="20"/>
          <w:color w:val="auto"/>
        </w:rPr>
      </w:pPr>
    </w:p>
    <w:p>
      <w:pPr>
        <w:ind w:left="4400" w:right="100"/>
        <w:spacing w:after="0" w:line="261" w:lineRule="auto"/>
        <w:rPr>
          <w:sz w:val="20"/>
          <w:szCs w:val="20"/>
          <w:color w:val="auto"/>
        </w:rPr>
      </w:pPr>
      <w:r>
        <w:rPr>
          <w:rFonts w:ascii="Arial" w:cs="Arial" w:eastAsia="Arial" w:hAnsi="Arial"/>
          <w:sz w:val="18"/>
          <w:szCs w:val="18"/>
          <w:color w:val="auto"/>
        </w:rPr>
        <w:t>590 Madison Avenue, 15th Floor, New York, New York 10022, Attn: Chief Financial Officer, or by telephone at (212) 905-1000.</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is intended to assist you in understanding the costs and expenses that an investor in our common stock will bear directly or indirectly. Stockholders should understand that some of the percentages indicated in the table below are estimates and may vary. The expenses shown in the table under “Other Expenses” and “Total Annual Expenses” are based on estimated amounts for our annual operations and assume that the company issues approximately 10,000,000 shares of common stock in this offering. If we issue fewer common shares, all other things being equal, these expenses would increase as a percentage of net assets attributable to common stock. The following tables do not include the underwriters’ overallotment option of 1,500,000 shares of our common stock.</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Stockholder Transaction Expenses (as a percentage of common share offering price)</w:t>
            </w:r>
          </w:p>
        </w:tc>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load</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7.00%</w:t>
            </w:r>
            <w:r>
              <w:rPr>
                <w:rFonts w:ascii="Arial" w:cs="Arial" w:eastAsia="Arial" w:hAnsi="Arial"/>
                <w:sz w:val="11"/>
                <w:szCs w:val="11"/>
                <w:color w:val="auto"/>
                <w:w w:val="92"/>
              </w:rPr>
              <w:t>(1)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Offering Expenses</w:t>
            </w:r>
          </w:p>
        </w:tc>
        <w:tc>
          <w:tcPr>
            <w:tcW w:w="4420" w:type="dxa"/>
            <w:vAlign w:val="bottom"/>
            <w:gridSpan w:val="4"/>
          </w:tcPr>
          <w:p>
            <w:pPr>
              <w:ind w:left="3800"/>
              <w:spacing w:after="0"/>
              <w:rPr>
                <w:sz w:val="20"/>
                <w:szCs w:val="20"/>
                <w:color w:val="auto"/>
              </w:rPr>
            </w:pPr>
            <w:r>
              <w:rPr>
                <w:rFonts w:ascii="Arial" w:cs="Arial" w:eastAsia="Arial" w:hAnsi="Arial"/>
                <w:sz w:val="18"/>
                <w:szCs w:val="18"/>
                <w:color w:val="auto"/>
                <w:w w:val="92"/>
              </w:rPr>
              <w:t>0.67%</w:t>
            </w:r>
            <w:r>
              <w:rPr>
                <w:rFonts w:ascii="Arial" w:cs="Arial" w:eastAsia="Arial" w:hAnsi="Arial"/>
                <w:sz w:val="11"/>
                <w:szCs w:val="11"/>
                <w:color w:val="auto"/>
                <w:w w:val="92"/>
              </w:rPr>
              <w:t>(2)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 fees</w:t>
            </w:r>
          </w:p>
        </w:tc>
        <w:tc>
          <w:tcPr>
            <w:tcW w:w="3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Total stockholder transaction expenses</w:t>
            </w: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3660" w:type="dxa"/>
            <w:vAlign w:val="bottom"/>
            <w:gridSpan w:val="2"/>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367"/>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Estimated Annual Expenses (as a percentage of net assets attributable to common stock):</w:t>
            </w:r>
          </w:p>
        </w:tc>
        <w:tc>
          <w:tcPr>
            <w:tcW w:w="30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1.80%</w:t>
            </w:r>
            <w:r>
              <w:rPr>
                <w:rFonts w:ascii="Arial" w:cs="Arial" w:eastAsia="Arial" w:hAnsi="Arial"/>
                <w:sz w:val="11"/>
                <w:szCs w:val="11"/>
                <w:color w:val="auto"/>
                <w:w w:val="92"/>
              </w:rPr>
              <w:t>(4)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2"/>
              </w:rPr>
              <w:t>Incentive fees payable under the Investment Management Agreement</w:t>
            </w:r>
          </w:p>
        </w:tc>
        <w:tc>
          <w:tcPr>
            <w:tcW w:w="4420" w:type="dxa"/>
            <w:vAlign w:val="bottom"/>
            <w:gridSpan w:val="4"/>
          </w:tcPr>
          <w:p>
            <w:pPr>
              <w:ind w:left="3800"/>
              <w:spacing w:after="0"/>
              <w:rPr>
                <w:sz w:val="20"/>
                <w:szCs w:val="20"/>
                <w:color w:val="auto"/>
              </w:rPr>
            </w:pPr>
            <w:r>
              <w:rPr>
                <w:rFonts w:ascii="Arial" w:cs="Arial" w:eastAsia="Arial" w:hAnsi="Arial"/>
                <w:sz w:val="18"/>
                <w:szCs w:val="18"/>
                <w:color w:val="auto"/>
                <w:w w:val="92"/>
              </w:rPr>
              <w:t>0.00%</w:t>
            </w:r>
            <w:r>
              <w:rPr>
                <w:rFonts w:ascii="Arial" w:cs="Arial" w:eastAsia="Arial" w:hAnsi="Arial"/>
                <w:sz w:val="11"/>
                <w:szCs w:val="11"/>
                <w:color w:val="auto"/>
                <w:w w:val="92"/>
              </w:rPr>
              <w:t>(5)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borrowed funds</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2.05%</w:t>
            </w:r>
            <w:r>
              <w:rPr>
                <w:rFonts w:ascii="Arial" w:cs="Arial" w:eastAsia="Arial" w:hAnsi="Arial"/>
                <w:sz w:val="11"/>
                <w:szCs w:val="11"/>
                <w:color w:val="auto"/>
                <w:w w:val="92"/>
              </w:rPr>
              <w:t>(6)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expenses</w:t>
            </w:r>
          </w:p>
        </w:tc>
        <w:tc>
          <w:tcPr>
            <w:tcW w:w="3660" w:type="dxa"/>
            <w:vAlign w:val="bottom"/>
            <w:gridSpan w:val="2"/>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w w:val="92"/>
              </w:rPr>
              <w:t>1.77%</w:t>
            </w:r>
            <w:r>
              <w:rPr>
                <w:rFonts w:ascii="Arial" w:cs="Arial" w:eastAsia="Arial" w:hAnsi="Arial"/>
                <w:sz w:val="11"/>
                <w:szCs w:val="11"/>
                <w:color w:val="auto"/>
                <w:w w:val="92"/>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annual expenses</w:t>
            </w:r>
          </w:p>
        </w:tc>
        <w:tc>
          <w:tcPr>
            <w:tcW w:w="366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our common stock, assuming (1) a 7.00% sales load (underwriting discounts and commissions) and offering expenses totaling 0.67%, (2) total estimated annual expenses of 5.62% of net assets attributable to our common stock as set forth in the table above (other than performance-based incentive fees) and (3) a 5% annual return.</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5"/>
              </w:rPr>
              <w:t>1 Year</w:t>
            </w:r>
          </w:p>
        </w:tc>
        <w:tc>
          <w:tcPr>
            <w:tcW w:w="6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0"/>
              </w:rPr>
              <w:t>3 Years</w:t>
            </w:r>
          </w:p>
        </w:tc>
        <w:tc>
          <w:tcPr>
            <w:tcW w:w="6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0"/>
              </w:rPr>
              <w:t>5 Years</w:t>
            </w: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$ 128</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$ 231</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$ 332</w:t>
            </w:r>
          </w:p>
        </w:tc>
        <w:tc>
          <w:tcPr>
            <w:tcW w:w="6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581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The incentive fee under the Investment Management Agreement, which, assuming a 5% annual return, would either not be payable or would have an insignificant impact on the expense amounts shown above, is not included in the example. This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In addition, we may be obligated in the future to repay the portion of the sales load paid by the Investment Adviser. See “Obligations and Indebtedness” for more information. Because we may be required to repay this portion of the sales load in the future, the example assumes inclusion of the sales load of 7.00% in the first year and reinvestment of all dividends and other distributions at net asset value. Participants in our dividend reinvestment plan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more information.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This example and the expenses in the table above should not be considered a representation of our future expenses; actual expenses may be greater or less than those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line="289"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underwriting discount and commission (the sales load) with respect to shares to be sold in this offering, which is a one-time fee, is the only sales load payable in connection with this offering. The Investment Adviser has agreed to pay the underwriters $3,000,000 of this sales load ($3,450,000 if the underwriters exercise their overallotment option in full). We (and indirectly our stockholders) will be obligated to repay this amount (a) if during any four consecutive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6, 2014, we will not be obligated to repay this amount. We will repay such amount to the Investment Adviser in cash, and the Investment Adviser has agreed to use such payment to purchase shares of our common stock in the secondary market.</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$1,000,000.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w:t>
      </w:r>
    </w:p>
    <w:p>
      <w:pPr>
        <w:spacing w:after="0" w:line="90"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management fee under the Investment Management Agreement is based on our adjusted average gross assets, including those assets acquired using borrowings for investment purposes. 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“Certain Relationships and Transactions—Investment Management Agreement” for more information.</w:t>
      </w:r>
    </w:p>
    <w:p>
      <w:pPr>
        <w:spacing w:after="0" w:line="34" w:lineRule="exact"/>
        <w:rPr>
          <w:rFonts w:ascii="Arial" w:cs="Arial" w:eastAsia="Arial" w:hAnsi="Arial"/>
          <w:sz w:val="16"/>
          <w:szCs w:val="16"/>
          <w:color w:val="auto"/>
        </w:rPr>
      </w:pPr>
    </w:p>
    <w:p>
      <w:pPr>
        <w:ind w:left="460" w:right="60" w:hanging="452"/>
        <w:spacing w:after="0" w:line="29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aggregate amount of incentive fees we estimate will be payable under the Investment Management Agreement during our first year of operations following consummation of this offering up to one year. During our first year of operations following consummation of this offering, we expect that we will not have any capital gains and will only have interest income that exceeds our quarterly hurdle rate discussed below during the second half of our first year of operations following consummation of this offering. The incentive fee consists of two parts:</w:t>
      </w:r>
    </w:p>
    <w:p>
      <w:pPr>
        <w:spacing w:after="0" w:line="112" w:lineRule="exact"/>
        <w:rPr>
          <w:rFonts w:ascii="Arial" w:cs="Arial" w:eastAsia="Arial" w:hAnsi="Arial"/>
          <w:sz w:val="16"/>
          <w:szCs w:val="16"/>
          <w:color w:val="auto"/>
        </w:rPr>
      </w:pPr>
    </w:p>
    <w:p>
      <w:pPr>
        <w:ind w:left="460" w:right="100"/>
        <w:spacing w:after="0" w:line="323" w:lineRule="auto"/>
        <w:rPr>
          <w:rFonts w:ascii="Arial" w:cs="Arial" w:eastAsia="Arial" w:hAnsi="Arial"/>
          <w:sz w:val="16"/>
          <w:szCs w:val="16"/>
          <w:color w:val="auto"/>
        </w:rPr>
      </w:pPr>
      <w:r>
        <w:rPr>
          <w:rFonts w:ascii="Arial" w:cs="Arial" w:eastAsia="Arial" w:hAnsi="Arial"/>
          <w:sz w:val="15"/>
          <w:szCs w:val="15"/>
          <w:color w:val="auto"/>
        </w:rPr>
        <w:t>The first part, which will be payable quarterly in arrears, commencing with the period ending June 30, 2011, will equal 20% of the excess, if any, of our “Pre-Incentive Fee Net Investment Income” (as defined below) that exceeds a 1.75% quarterly (7.00% annualized) hurdle rate, which we refer to as the Hurdle, subject to a “catch-up” provision, measured at the end of each calendar quarter. The first part of the incentive fee is computed and paid on income that may include interest that is accrued but not yet received in cash. The operation of the first part of the incentive fee for each quarter is as follows:</w:t>
      </w:r>
    </w:p>
    <w:p>
      <w:pPr>
        <w:spacing w:after="0" w:line="16" w:lineRule="exact"/>
        <w:rPr>
          <w:rFonts w:ascii="Arial" w:cs="Arial" w:eastAsia="Arial" w:hAnsi="Arial"/>
          <w:sz w:val="16"/>
          <w:szCs w:val="16"/>
          <w:color w:val="auto"/>
        </w:rPr>
      </w:pPr>
    </w:p>
    <w:p>
      <w:pPr>
        <w:ind w:left="900" w:right="20" w:hanging="325"/>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incentive fee is payable to the Investment Adviser in any calendar quarter in which our Pre-Incentive Fee Net Investment Income does not exceed the Hurdle of 1.75%;</w:t>
      </w:r>
    </w:p>
    <w:p>
      <w:pPr>
        <w:spacing w:after="0" w:line="50" w:lineRule="exact"/>
        <w:rPr>
          <w:rFonts w:ascii="Arial" w:cs="Arial" w:eastAsia="Arial" w:hAnsi="Arial"/>
          <w:sz w:val="18"/>
          <w:szCs w:val="18"/>
          <w:color w:val="auto"/>
        </w:rPr>
      </w:pPr>
    </w:p>
    <w:p>
      <w:pPr>
        <w:ind w:left="900" w:right="220" w:hanging="325"/>
        <w:spacing w:after="0" w:line="294"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50.0% of our Pre-Incentive Fee Net Investment Income with respect to that portion of such Pre-Incentive Fee Net Investment Income, if any, that exceeds the Hurdle but is less than 2.9167% in any calendar quarter (11.67% annualized) is payable to the Investment Adviser. We refer to this portion of our Pre-Incentive Fee Net Investment Income (which exceeds the Hurdle but is less than 2.9167%) as the “catch-up.” The “catch-up” is meant to provide the Investment Adviser with 20% of our Pre-Incentive Fee Net Investment Income, as if a Hurdle did not apply when our Pre-Incentive Fee Net Investment Income exceeds 2.9167% in any calendar quarter; and</w:t>
      </w:r>
    </w:p>
    <w:p>
      <w:pPr>
        <w:spacing w:after="0" w:line="34" w:lineRule="exact"/>
        <w:rPr>
          <w:rFonts w:ascii="Arial" w:cs="Arial" w:eastAsia="Arial" w:hAnsi="Arial"/>
          <w:sz w:val="16"/>
          <w:szCs w:val="16"/>
          <w:color w:val="auto"/>
        </w:rPr>
      </w:pPr>
    </w:p>
    <w:p>
      <w:pPr>
        <w:ind w:left="900" w:right="140" w:hanging="325"/>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2.9167% in any calendar quarter (11.67% annualized) is payable to the Investment Adviser (once the Hurdle is reached and the catch-up is achieved, 20.0% of all Pre-Incentive Fee Investment Income thereafter is allocated to the Investment Adviser).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second part of the incentive fee will equal 20% of our “Incentive Fee Capital Gains,” if any, which will equal our realized capital gains on a cumulative basis from inception through the end of each calendar year, computed net of all realized capital losses and net unrealized capital depreciation on a cumulative basis, less the aggregate amount of any previously paid capital gain incentive fees. The second part of the incentive fee will be payable, in arrears, at the end of each calendar year (or upon termination of the Investment Management Agreement, as of the termination date), commencing with the period ending December 31, 2011. See “Certain Relationships and Transactions–Investment Management Agreement” for more information.</w:t>
      </w:r>
    </w:p>
    <w:p>
      <w:pPr>
        <w:spacing w:after="0" w:line="116" w:lineRule="exact"/>
        <w:rPr>
          <w:sz w:val="20"/>
          <w:szCs w:val="20"/>
          <w:color w:val="auto"/>
        </w:rPr>
      </w:pPr>
    </w:p>
    <w:p>
      <w:pPr>
        <w:ind w:left="460" w:right="20" w:hanging="452"/>
        <w:spacing w:after="0" w:line="290"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borrow funds from time to time to make investments to the extent we determine that the economic situation is conducive to doing so. The costs associated with our outstanding borrowings will be indirectly borne by our investors. We have a commitment for up to $200.0 million available to us under the Credit Facility, which we expect to become effective shortly after the completion of this offering. For purposes of this section, we have estimated that our wholly owned subsidiary will borrow an amount equal to 80% of our net assets under the Credit Facility at an assumed interest rate of 2.56%, which is calculated based upon the LIBOR rate as of March 24, 2011 and the expected base lending rate under the Credit Facility of LIBOR plus (i) 2.25% while the Credit Facility is in its revolving period and (ii) 4.25% thereafter. Although we do not presently expect to do so during the 12 months following completion of this offering, we may also issue preferred stock subject to our compliance with applicable requirements under the 1940 Act.</w:t>
      </w:r>
    </w:p>
    <w:p>
      <w:pPr>
        <w:spacing w:after="0" w:line="37" w:lineRule="exact"/>
        <w:rPr>
          <w:rFonts w:ascii="Arial" w:cs="Arial" w:eastAsia="Arial" w:hAnsi="Arial"/>
          <w:sz w:val="16"/>
          <w:szCs w:val="16"/>
          <w:color w:val="auto"/>
        </w:rPr>
      </w:pPr>
    </w:p>
    <w:p>
      <w:pPr>
        <w:ind w:left="460" w:right="5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expenses” includes estimated costs and expenses associated with our formation and organization and estimated costs for our first full year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Before you invest in our shares you should be aware of various risks,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currently known to us or that we currently deem to be immaterial also may materially adversely affect our business, financial condition and/or results of operations.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9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were incorporated in October 2010. We are subject to all of the business risks and uncertainties associated with any new business, including the risk that we will not achieve our investment objective and that the value of your investment could decline substantially. It could take us three to six months to invest substantially all of the net proceeds of this offering in accordance with our investment objective, depending on the availability of appropriate investment opportunities consistent with our investment objective and market conditions. We expect that it may take up to one year to invest all of the net proceeds of this offering, in part because privately negotiated investments in illiquid securities or private middle-market companies require substantial due diligence and structuring. During this period, we will invest the net proceeds of this offering in short-term investments, such as cash and cash equivalents, and we expect we will earn yields substantially lower than the interest income that we anticipate receiving in respect of investments in Floating Rate Loans. As a result, any distributions we make during this period may be substantially lower than the distributions that we expect to pay when our portfolio is fully invested.</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even materially worsen in the future. While current conditions have improved, we may have difficulty accessing debt and equity capital in order to grow. A return of severe disruption and instability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business development company, we will generally not be able to issue additional shares of our common stock at a price less than our net asset value without first obtaining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approval for such issuance from our stockholders and our independent directors. Additionally, our ability to incur indebtedness will be limited by applicable regulations, such that our asset coverage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if at all, may be at a higher cost and on less favorable terms and conditions than those estimated within this prospectus. A prolonged inability to raise capital will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are required to repay in cash the amount paid to the underwriters by the Investment Adviser, we may have to realize losses, and the amount that we have available for investment may be reduced.</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Investment Adviser has agreed to pay to the underwriters 2% of the sales load, or $3,000,000 ($3,450,000 if the underwriters exercise their overallotment option in full) in the aggregate, with respect to this offering of shares of our common stock. We (and indirectly our stockholders) will be obligated to repay this amount (a) if during any four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We will repay such amount to the Investment Adviser in cash, and the Investment Adviser has agreed to use such payment to purchase shares of our common stock in the secondary market. If we are obligated to repay this amount to the Investment Adviser in cash while making distributions to our stockholders necessary to maintain our RIC status and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will incur credit risk when it loans money or commits to loan money to a portfolio company.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primary business will expose us to credit risk, and the quality of our portfolio will have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21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a business development company, we will be required to carry our investments at market value or, if no market value is ascertainable or if market value does not reflect the fair value of such investment in the bona fide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determination of our board of directors, then,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18"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invest in Floating Rate Loans, which may involve a high degree of repayment risk. We intend to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ind w:right="180"/>
        <w:spacing w:after="0" w:line="361" w:lineRule="auto"/>
        <w:rPr>
          <w:sz w:val="20"/>
          <w:szCs w:val="20"/>
          <w:color w:val="auto"/>
        </w:rPr>
      </w:pPr>
      <w:r>
        <w:rPr>
          <w:rFonts w:ascii="Arial" w:cs="Arial" w:eastAsia="Arial" w:hAnsi="Arial"/>
          <w:sz w:val="15"/>
          <w:szCs w:val="15"/>
          <w:b w:val="1"/>
          <w:bCs w:val="1"/>
          <w:color w:val="auto"/>
        </w:rPr>
        <w:t>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will depend on the diligence, skill and network of business contacts of the investment professionals of the Investment Adviser. We will also depend, to a significant extent, on PennantPark Investment Advisers’ access to the investment information and deal flow generated by these investment professionals and any others that may be hired by the Investment Adviser. Managers of the Investment Adviser will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the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ability to achieve our investment objectives will depend on our ability to grow, which will depend, in turn, on the Investment Adviser’s ability to identify, invest in and monitor companies that meet our investment criteria. Accomplishing this result on a cost-effective basis will be largely a function of the Investment Adviser’s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structuring of the investment process, its ability to provide competent, attentive and efficient services to us and our access to financing on acceptable terms. The management team of PennantPark Investment Advisers will have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business development companies,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operate in a highly competitive market for investment opportunities.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 number of entities will compete with us to make the types of investments that we will make in middle-market companies. We will compete with public and private funds, including other business development companies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While PennantPark Investment Advisers has identified an initial group of potential investments for our portfolio, we have not identified the entire portfolio that we will acquire with the proceeds of the offering. Also, the Investment Adviser will evaluate investments consistent with its selection process and may take up to one year to fully deploy such proceeds from an offering. As a result, we will invest our funds in temporary investments such as cash, cash equivalents, U.S. government securities and other high-quality investment grade securities that mature in one year or less from the date of investment. The income earned on such investments will be significantly less than what we would earn on investments in Floating Rate Loans and other investments contemplated within this prospectus.</w:t>
      </w:r>
    </w:p>
    <w:p>
      <w:pPr>
        <w:spacing w:after="0" w:line="175"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b w:val="1"/>
          <w:bCs w:val="1"/>
          <w:color w:val="auto"/>
        </w:rPr>
        <w:t>PennantPark Floating Rate Capital may not replicate the historical performance of other investment companies with which our investment professionals have been affiliated.</w:t>
      </w:r>
    </w:p>
    <w:p>
      <w:pPr>
        <w:spacing w:after="0" w:line="4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 which could have a material adverse effect on our business, financial condition and results of operations.</w:t>
      </w:r>
    </w:p>
    <w:p>
      <w:pPr>
        <w:spacing w:after="0" w:line="4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elected to be treated as a business development company. If we do not remain a business development company,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we will have to pay corporate-level taxes on all of our income whether or not we distribute it, which would substantially reduce our net assets and the amount of income available for debt service as well as reduce and/or affect the character and amount of our distributions to our stockholders. Such a failure would have a material adverse effect on us and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stockholders in the next year equal to 4% of the undistributed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“OID,”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62" w:lineRule="exact"/>
        <w:rPr>
          <w:sz w:val="20"/>
          <w:szCs w:val="20"/>
          <w:color w:val="auto"/>
        </w:rPr>
      </w:pPr>
    </w:p>
    <w:p>
      <w:pPr>
        <w:ind w:left="460" w:right="40"/>
        <w:spacing w:after="0" w:line="306" w:lineRule="auto"/>
        <w:rPr>
          <w:sz w:val="20"/>
          <w:szCs w:val="20"/>
          <w:color w:val="auto"/>
        </w:rPr>
      </w:pPr>
      <w:r>
        <w:rPr>
          <w:rFonts w:ascii="Arial" w:cs="Arial" w:eastAsia="Arial" w:hAnsi="Arial"/>
          <w:sz w:val="15"/>
          <w:szCs w:val="15"/>
          <w:i w:val="1"/>
          <w:iCs w:val="1"/>
          <w:color w:val="auto"/>
        </w:rPr>
        <w:t>Additional Common Stock</w:t>
      </w:r>
      <w:r>
        <w:rPr>
          <w:rFonts w:ascii="Arial" w:cs="Arial" w:eastAsia="Arial" w:hAnsi="Arial"/>
          <w:sz w:val="15"/>
          <w:szCs w:val="15"/>
          <w:color w:val="auto"/>
        </w:rPr>
        <w:t>. Our board of directors may decide to issue additional common stock to finance our operations rather than issuing debt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senior securities. As a business development company, we will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registration statement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significant dilution.</w:t>
      </w:r>
    </w:p>
    <w:p>
      <w:pPr>
        <w:spacing w:after="0" w:line="35"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 may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An inability to successfully securitize our loan portfolio could limit our ability to grow our business and fully execute our business strategy and materially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that may be formed in the future. The Investment Adviser and Administrator may be engaged by such funds at any time and without the prior approval of our stockholders or our board of directors. Our board of directors will monitor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directors of PennantPark Investment Corp., a publicly-traded business development company.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PennantPark Investment Corp.,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Investment Adviser has agreed to pay to the underwriters 2% of the sales load, or $3,000,000 ($3,450,000 if the underwriters exercise their overallotment option in full) in the aggregate, with respect to this offering of shares of our common stock. We (and indirectly our stockholders) must reimburse this amount under certain circumstances. See “Obligations and Indebtedness.”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use borrowed funds to make investments and will be exposed to the typical risks associated with 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borrow funds to make investments we will be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will be restricted when our asset coverage ratio is not at least 200%, and any amounts that we use to service our indebtedness will not be available for distribution to our common stockholders.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use of debt would be governed by the terms of a credit facility or an indenture or other instrument containing covenants restricting our operating flexibility. We, and indirectly our stockholders, will bear the cost of issuing and servicing debt. Any convertible or exchangeable securities that we issue in the future may have rights, preferences and privileges more favorable than those of our common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intend to enter into the Credit Facility shortly after completing this offering, which we expect to initially provide us with up to $200.0 million in available borrowings.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business development company, we will be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is designed to illustrate the effect of leverage on the return an investor in our common stock would experience, assuming a debt to gross asset ratio of 44% and a weighted average annual interest rate of 2.56% and investment portfolio total returns (comprised of income and changes in the value of securities held in our portfolio) of –10%, –5%, 0%, 5% and 10%. These assumed investment portfolio returns are hypothetical figures and are not necessarily indicative of the investment portfolio returns that we may experience. The table assumes that we will maintain a constant level and weighted average rate of leverage. The amount of leverage that we use will vary from time to time. As can be seen, leverage generally increases the return of stockholders when the portfolio return is positive and decreases when the portfolio return is negative. Actual returns may be greater or less than those appearing in the table.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Assumed return on portfolio (net of expenses)</w:t>
            </w:r>
            <w:r>
              <w:rPr>
                <w:rFonts w:ascii="Arial" w:cs="Arial" w:eastAsia="Arial" w:hAnsi="Arial"/>
                <w:sz w:val="22"/>
                <w:szCs w:val="22"/>
                <w:b w:val="1"/>
                <w:bCs w:val="1"/>
                <w:color w:val="auto"/>
                <w:vertAlign w:val="superscript"/>
              </w:rPr>
              <w:t>(1)</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-10%</w:t>
            </w:r>
          </w:p>
        </w:tc>
        <w:tc>
          <w:tcPr>
            <w:tcW w:w="460" w:type="dxa"/>
            <w:vAlign w:val="bottom"/>
          </w:tcPr>
          <w:p>
            <w:pPr>
              <w:spacing w:after="0"/>
              <w:rPr>
                <w:sz w:val="21"/>
                <w:szCs w:val="21"/>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0%</w:t>
            </w:r>
          </w:p>
        </w:tc>
        <w:tc>
          <w:tcPr>
            <w:tcW w:w="4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5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-11.0%</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will be exposed to risks associated with changes in interest rates that may materially adversely affect our cost of capital and net investment income.</w:t>
      </w:r>
    </w:p>
    <w:p>
      <w:pPr>
        <w:spacing w:after="0" w:line="13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Since we will borrow money to make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materially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particularly since we intend to invest in Floating Rate Loans. Accordingly, an increase in interest rates would make it easier for us to meet or exceed the incentive fee hurdle and may result in a substantial increase of the amount of incentive fees payable to the Investment Adviser with respect to Pre-Incentive Fee Net Investment Income.</w:t>
      </w:r>
    </w:p>
    <w:p>
      <w:pPr>
        <w:spacing w:after="0" w:line="10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 material adverse impact on our net interest income. An increase in interest rates could decrease the value of any investments we will hold which earn fixed interest rates and will increase our interest expense on any variable rate borrowings, thereby decreasing our net income. Also, an increase in interest rates available to investors could make investment in our common stock less attractive if we are not able to increase our dividend rate, which could materially reduce the value of our common stock.</w:t>
      </w:r>
    </w:p>
    <w:p>
      <w:pPr>
        <w:spacing w:after="0" w:line="17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Preferred stock, which is another form of leverage, has similar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will ultimately be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which could have a material adverse effect on our business, financial condition on results of operations.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under the 1940 Act certain matters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materially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will be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materially adversely affect our business and impact our ability to make distributions.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intend to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that most, if not all, of our investments will be recorded using broker/dealers quotes or at fair value as determined in good faith by our board of directors. We expect that primarily most, if not all, of our investments (other than cash and cash equivalents) and, if we elect to fair value the Credit Facility, such borrowings, will be classified as Level 3 under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4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will generally obtain financial and other information from portfolio companies, which may represent unaudited, projected or pro forma financial information. Unlike banks, we will not be permitted to provide a general reserve for anticipated loan losses; we will instead be required by the 1940 Act to specifically fairly value each individual investment on a quarterly basis. We will record unrealized appreciation if we believe that the underlying portfolio company has appreciated in value. Likewise, we will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adjust the valuation of our portfolio quarterly to reflect our board of directors’ determination of the fair value of each investment in our portfolio.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will be recorded in the statement of operations as net change in unrealized appreciation or depreciation.</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expects to use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materially adversely affected if our determinations regarding the fair value of our investments were materially higher than the values that we ultimately realize upon the disposal of such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materially adversely affect our business.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may exit such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a credit facility would be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on the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 of middle-market companies.</w:t>
      </w:r>
    </w:p>
    <w:p>
      <w:pPr>
        <w:spacing w:after="0" w:line="90" w:lineRule="exact"/>
        <w:rPr>
          <w:sz w:val="20"/>
          <w:szCs w:val="20"/>
          <w:color w:val="auto"/>
        </w:rPr>
      </w:pPr>
    </w:p>
    <w:p>
      <w:pPr>
        <w:ind w:left="900" w:right="160" w:hanging="325"/>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Floating Rate Loans. </w:t>
      </w:r>
      <w:r>
        <w:rPr>
          <w:rFonts w:ascii="Arial" w:cs="Arial" w:eastAsia="Arial" w:hAnsi="Arial"/>
          <w:sz w:val="16"/>
          <w:szCs w:val="16"/>
          <w:color w:val="auto"/>
        </w:rPr>
        <w:t>The Floating Rate Loans we intend to invest in will usually be rated below investment grade or may also be unrated.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described elsewhere in this prospectus, including liquidity risk and the risk of investing in below investment-grade, variable rate securities.</w:t>
      </w:r>
    </w:p>
    <w:p>
      <w:pPr>
        <w:spacing w:after="0" w:line="37"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Floating Rate Loans are subject to the risk of non-payment of scheduled interest or principal. Such non-payment would result in a reduction of income to us, a reduction in the value of the investment and a potential decrease in the net asset value of the Floating Rate Loan. There can be no assurance that the liquidation of any collateral securing a Floating Rate Loan would satisfy the borrower’s obligation in the event of non-payment of scheduled interest or principal payments, or that the collateral could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14" w:lineRule="auto"/>
        <w:rPr>
          <w:sz w:val="20"/>
          <w:szCs w:val="20"/>
          <w:color w:val="auto"/>
        </w:rPr>
      </w:pPr>
      <w:r>
        <w:rPr>
          <w:rFonts w:ascii="Arial" w:cs="Arial" w:eastAsia="Arial" w:hAnsi="Arial"/>
          <w:sz w:val="15"/>
          <w:szCs w:val="15"/>
          <w:color w:val="auto"/>
        </w:rPr>
        <w:t>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Floating Rate Loans are subject to the risk that a court, pursuant to fraudulent conveyance or other similar laws, could subordinate the rights in collateral of such Floating Rate Loans to presently existing or future indebtedness of the borrower or take other action detrimental to the holders of Floating Rate Loans including, in certain circumstances, invalidating such Floating Rate Loans or causing interest previously paid to be refunded to the borrower. Either such step could materially negatively affect our performance.</w:t>
      </w:r>
    </w:p>
    <w:p>
      <w:pPr>
        <w:spacing w:after="0" w:line="24"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a Floating Rate Loan.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PennantPark Floating Rate Capital being exposed to greater credit or fraud risk with respect to such Floating Rate Loans than we expected when initially purchasing the participation.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 but not limited to:</w:t>
      </w:r>
    </w:p>
    <w:p>
      <w:pPr>
        <w:spacing w:after="0" w:line="90" w:lineRule="exact"/>
        <w:rPr>
          <w:sz w:val="20"/>
          <w:szCs w:val="20"/>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the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yet identified all of the portfolio companies we will invest in using the proceeds of this offering.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the Investment Adviser’s investment team has identified an initial group of potential investments for our portfolio, we have not yet identified all of the additional potential investments for our portfolio that we will acquire with the proceeds of the offering. Additionally, the Investment Adviser will select our investments subsequent to the closing of this offering, and our stockholders will have no input with respect to such investment decisions. These factors increase the uncertainty, and thus the risk, of investing in our common stock. In addition, pending such investments, we will invest the net proceeds primarily in cash, cash equivalents, U.S. government securities and other high-quality investment grade investments that mature in one year or less from the date of investment. The income we earn on such temporary investments will generally be significantly less than what we would expect to receive from investments in the types of senior loans we intend to target for investment, and if we are not able to identify or gain access to suitable investments, our income may be limited.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 the 1940 Act we will be allowed invest up to 30% of our assets in investments that are not qualifying assets for business development companies.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do not invest a sufficient portion of our assets in qualifying assets, we could be precluded from investing in assets that we deem to be attractive.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business development company, we will not be allowed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will not be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will not be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loans during these periods. Therefore, our non-performing assets are likely to increase,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96"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When we invest in mezzanine loans or senior secured loans, we may also invest in the equity securities of the borrower or acquire warrants or other equity securities as well. In addition, we may invest directly in the equity securities of portfolio companies. Our goal is ultimately to dispose of such equity interests and realize gains upon our disposition of such interests. However, the equity interests we receive may not appreciate in value and, in fact, may decline in value.</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Accordingly, we may not be able to realize gains from our equity interests, and any gains that we do realize on the disposition of any equity interests may not be sufficient to offset any other losses we experience.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61" w:lineRule="auto"/>
        <w:rPr>
          <w:sz w:val="20"/>
          <w:szCs w:val="20"/>
          <w:color w:val="auto"/>
        </w:rPr>
      </w:pPr>
      <w:r>
        <w:rPr>
          <w:rFonts w:ascii="Arial" w:cs="Arial" w:eastAsia="Arial" w:hAnsi="Arial"/>
          <w:sz w:val="15"/>
          <w:szCs w:val="15"/>
          <w:b w:val="1"/>
          <w:bCs w:val="1"/>
          <w:color w:val="auto"/>
        </w:rPr>
        <w:t>Because we will not generally hold controlling equity interests in our portfolio companies, we will not be in a position to exercise control over our portfolio companies or to prevent decisions by management of our portfolio companies that could materially decrease the value of our investments.</w:t>
      </w:r>
    </w:p>
    <w:p>
      <w:pPr>
        <w:jc w:val="both"/>
        <w:ind w:right="80" w:firstLine="456"/>
        <w:spacing w:after="0" w:line="323" w:lineRule="auto"/>
        <w:rPr>
          <w:sz w:val="20"/>
          <w:szCs w:val="20"/>
          <w:color w:val="auto"/>
        </w:rPr>
      </w:pPr>
      <w:r>
        <w:rPr>
          <w:rFonts w:ascii="Arial" w:cs="Arial" w:eastAsia="Arial" w:hAnsi="Arial"/>
          <w:sz w:val="15"/>
          <w:szCs w:val="15"/>
          <w:color w:val="auto"/>
        </w:rPr>
        <w:t>Because we will not, generally, have controlling equity positions in our portfolio companies, we will be subject to the risk that a portfolio company may make business decisions with which we disagree, and the stockholders and management of a portfolio company may take risks or otherwise act in ways that are adverse to our interests. Due to the lack of liquidity for the Floating Rate Loans that we expect to hold in our portfolio companies, we may not be able to dispose of our investments in the event we disagree with the actions of a portfolio company, and may therefore suffer a material decrease in the value of our investments.</w:t>
      </w:r>
    </w:p>
    <w:p>
      <w:pPr>
        <w:spacing w:after="0" w:line="1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invest primarily in privately held companies. Generally, little public information exists about these companies, and we will rely on the ability of the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intend to invest primarily in Floating Rate Loans issued by our portfolio companies. The portfolio companies usually will have, or may be permitted to incur, other debt that ranks equally with, or senior to, the Floating Rate Loans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the Investment Adviser is calculated based on a percentage of our return on invested capital. This may encourage the Investment Adviser to use leverage to increase the return on our investments. Under certain circumstances, the use of leverage may increase the likelihood of default, which would disfavor the holders of our common stock. In addition, the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part of our incentive fee payable by us to PennantPark Investment Advisers that relates to our investment income is computed and paid on income that may include interest that has been accrued but that has not yet been received in cash. If a portfolio company defaults on a loan structured to provide accrued interest, it is possible that the accrued interest previously used in the calculation of the incentive fee will become uncollectible.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stockholders to bear investment advisory fees and other expenses on such investments in addition to our management fees and expenses.</w:t>
      </w:r>
    </w:p>
    <w:p>
      <w:pPr>
        <w:spacing w:after="0" w:line="4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the Investment Adviser incentive compensation even if we incur a loss.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Investment Adviser is entitled to incentive compensation for each fiscal quarter in an amount equal to a percentage of the excess of our income for that quarter minus our operating expenses for the quarter above a threshold return for that quarter. Our Pre-Incentive Fee Net Investment Income for incentive compensation purposes excludes realized capital losses and unrealized capital depreciation that we may incur in the fiscal quarter, even if such capital losses result in a net loss on our statement of operations for that quarter. Thus, we may be required to pay the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securities may involve significant risks in addition to the risks inherent in U.S. investments.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investment strategy contemplates potential investments in debt securities of companies located outside of the United States. Investing in companies located outside of the United States may expose us to additional risks not typically associated with investing in U.S. companies. These risks include changes in exchange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Floating Rate Capital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were formed in October 2010 and have not yet commenced investment operations. As a result of a lack of operating history, we are subject to many of the business risks and uncertainties associated with recently formed businesses, including the risk that we will not achieve our investment objective and that the value of your investment could decline substantially.</w:t>
      </w:r>
    </w:p>
    <w:p>
      <w:pPr>
        <w:spacing w:after="0" w:line="2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materially decline.</w:t>
      </w:r>
    </w:p>
    <w:p>
      <w:pPr>
        <w:spacing w:after="0" w:line="5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will be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that will be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stockholder may elect to receive his or her entire distribution in either cash or stock of the RIC subject to a limitation on the aggregate amount of cash to be distributed to all stockholders, which must be at least 10%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10% of his or her entire distribution in cash. We currently do not intend to distribute stock as a dividend but reserve the right to do so.</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a substantial discount from net asset value and may continue to do so over the long term.</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Shares of business development companies have frequently traded at a market price that is less than the net asset value that is attributable to those shares. The possibility that our shares of common stock will trade at a discount from net asset value over the long term is separate and distinct from the risk that our net asset value will decrease. It is not possible to predict whether our shares will trade at, above or below net asset value in the future. If our common stock trades below its net asset value, we will generally not be able to issue additional shares or sell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obtain qualification as a RIC or 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the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We cannot assure you that we will be able to find enough appropriate investments that meet our investment criteria or that any investment we complete using the proceeds from an offering will produce a sufficient return.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 material adverse effect on the market price of our securities.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materially impair our ability to raise additional capital through the sale of securities should we desire to do so.</w:t>
      </w:r>
    </w:p>
    <w:p>
      <w:pPr>
        <w:spacing w:after="0" w:line="160" w:lineRule="exact"/>
        <w:rPr>
          <w:sz w:val="20"/>
          <w:szCs w:val="20"/>
          <w:color w:val="auto"/>
        </w:rPr>
      </w:pPr>
    </w:p>
    <w:p>
      <w:pPr>
        <w:ind w:right="280"/>
        <w:spacing w:after="0" w:line="338" w:lineRule="auto"/>
        <w:rPr>
          <w:sz w:val="20"/>
          <w:szCs w:val="20"/>
          <w:color w:val="auto"/>
        </w:rPr>
      </w:pPr>
      <w:r>
        <w:rPr>
          <w:rFonts w:ascii="Arial" w:cs="Arial" w:eastAsia="Arial" w:hAnsi="Arial"/>
          <w:sz w:val="16"/>
          <w:szCs w:val="16"/>
          <w:b w:val="1"/>
          <w:bCs w:val="1"/>
          <w:color w:val="auto"/>
        </w:rPr>
        <w:t>We may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w:t>
      </w:r>
    </w:p>
    <w:p>
      <w:pPr>
        <w:spacing w:after="0" w:line="195" w:lineRule="exact"/>
        <w:rPr>
          <w:sz w:val="20"/>
          <w:szCs w:val="20"/>
          <w:color w:val="auto"/>
        </w:rPr>
      </w:pPr>
    </w:p>
    <w:p>
      <w:pPr>
        <w:ind w:right="800"/>
        <w:spacing w:after="0" w:line="338" w:lineRule="auto"/>
        <w:rPr>
          <w:sz w:val="20"/>
          <w:szCs w:val="20"/>
          <w:color w:val="auto"/>
        </w:rPr>
      </w:pPr>
      <w:r>
        <w:rPr>
          <w:rFonts w:ascii="Arial" w:cs="Arial" w:eastAsia="Arial" w:hAnsi="Arial"/>
          <w:sz w:val="16"/>
          <w:szCs w:val="16"/>
          <w:b w:val="1"/>
          <w:bCs w:val="1"/>
          <w:color w:val="auto"/>
        </w:rPr>
        <w:t>The Investment Adviser can resign upon 60 days’ notice, and we may not be able to find a suitable replacement within that time, resulting in a disruption in our operations that could materially adversely affect our financial condition, business and results of operations.</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Investment Adviser has the right, under the Investment Management Agreement, to resign at any time upon 60 days’ written notice, whether we have found a replacement or not. If the Investment Adviser resigns, we may not be able to find a new investment adviser or hire internal management with similar expertise and 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common stock may decline. In addition, the coordination of our internal management and investment activities is likely to suffer if we are unable to identify and reach an agreement with a single institution or group of executives having the expertise possessed by the Investment Adviser and its affiliates. Even if we are able to retain comparable management, whether internal or external, the integration of such management and their lack of familiarity with our investment objective may result in additional costs and time delays that may materially adversely affect our financial condition,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significant costs as a result of being a publicly traded company.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publicly traded company, we will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of 2002, and other rules implemented by the SEC and the listing standards of the NASDAQ.</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This prospectus contains statements that constitute forward-looking statements,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or in the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estimate that the net proceeds we will receive from the sale of 10,000,000 shares of our common stock in this offering will be approximately $141.5 million, or approximately $162.9 million if the underwriters fully exercise their over-allotment option, in each case assuming an initial public offering price of $15.00 per share after deducting the underwriting discounts and commissions of $7,500,000 payable by us ($8,625,000 if the underwriters fully exercise their over-allotment option) (excluding a portion of the sales load in the amount of $3,000,000 ($3,450,000 if the underwriters fully exercise their over-allotment option) that the Investment Adviser has agreed to pay to the underwriters) and estimated offering expenses of approximately $1,000,000 payable by us.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plan to use the net proceeds of this offering for investments primarily in Floating Rate Loans in accordance with our investment objective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used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actual capitalization of PennantPark Floating Rate Capital at March 4, 2011; and</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capitalization of PennantPark Floating Rate Capital as-adjusted to reflect the sale of 10,000,000 shares of our common stock in this offering at a public offering price of $15.00 per share, after deducting the underwriting discounts and commissions and estimated offering expenses of approximately $1,000,000 payable by us.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ind w:left="440"/>
              <w:spacing w:after="0"/>
              <w:rPr>
                <w:sz w:val="20"/>
                <w:szCs w:val="20"/>
                <w:color w:val="auto"/>
              </w:rPr>
            </w:pPr>
            <w:r>
              <w:rPr>
                <w:rFonts w:ascii="Arial" w:cs="Arial" w:eastAsia="Arial" w:hAnsi="Arial"/>
                <w:sz w:val="14"/>
                <w:szCs w:val="14"/>
                <w:b w:val="1"/>
                <w:bCs w:val="1"/>
                <w:color w:val="auto"/>
              </w:rPr>
              <w:t>As of March 4,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8"/>
              </w:rPr>
              <w:t>Actual</w:t>
            </w: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As-Adjusted</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141,510,000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141,510,000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par value $0.001 per share; 100,000,000 shares authorized; 667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actual; 10,000,667 shares outstanding, as adjusted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141,499,999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141,510,000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3920" w:hanging="5612"/>
        <w:spacing w:after="0" w:line="440" w:lineRule="auto"/>
        <w:tabs>
          <w:tab w:leader="none" w:pos="4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include the underwriters’ overallotment option of 1,500,000 shares of our common stock. 41</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potential dilution to investors in this offering is represented by the difference between the offering price per share and the pro forma net asset value per share after this offering. Net asset value per share is determined by dividing our net asset value, which is our total tangible assets less total liabilities, by the number of outstanding shares of common stock.</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of March 28, 2011, our net asset value was $10,000, or approximately $15.00 per share. After giving effect to the sale of the shares to be sold in this offering, and the deduction of discounts and estimated offering expenses, our as-adjusted net asset value would be approximately $141.5 million, or $14.15 per share, representing an immediate dilution of $0.85 per share, or 5.67%, to shares sold in this offering. The following illustration assumes no exercise of the underwriters’ over-allotment option. If the underwriters’ over-allotment is exercised in full, there would be an immediate dilution to the net asset value of $0.84 per share, or 5.58%, to the shares sold in this offering.</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March 28, 2011 net asset value per share immediately prior to this offering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38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As-adjusted net asset value per share immediately after this offering</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1380"/>
              <w:spacing w:after="0"/>
              <w:rPr>
                <w:sz w:val="20"/>
                <w:szCs w:val="20"/>
                <w:color w:val="auto"/>
              </w:rPr>
            </w:pPr>
            <w:r>
              <w:rPr>
                <w:rFonts w:ascii="Arial" w:cs="Arial" w:eastAsia="Arial" w:hAnsi="Arial"/>
                <w:sz w:val="18"/>
                <w:szCs w:val="18"/>
                <w:color w:val="auto"/>
                <w:w w:val="94"/>
              </w:rPr>
              <w:t>Dilution per share to stockholders participating in this offering (without exercise of the over-</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allotment option)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220" w:type="dxa"/>
            <w:vAlign w:val="bottom"/>
            <w:gridSpan w:val="2"/>
          </w:tcPr>
          <w:p>
            <w:pPr>
              <w:jc w:val="right"/>
              <w:ind w:right="27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DISCUSSION OF MANAGEMENT’S EXPECTED OPERATING PLANS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appearing elsewhere in the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a newly organized externally managed finance company. We were formed on October 28, 2010 as a Maryland corporation structured as an externally managed, non-diversified closed-end management investment company. We have elected to be treated as a business development company under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investment objective is to seek high current income. We will seek to achieve our investment objective by investing primarily in Floating Rate Loans made to private middle-market companies whose debt is rated below investment grade. We may also invest in thinly traded or small market-cap public middle-market U.S. companies. 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we expect that at least 80% of the value of our Managed Assets, which means our net assets plus any borrowings for investment purposes, will be invested in Floating Rate Loans. We expect that senior secured loans will represent approximately 65% of our overall portfolio. We expect to invest up to 35% of our overall portfolio opportunistically in other types of investments, including second-lien, high yield, mezzanine and distressed debt securities and private equity investments.</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expect to invest in Floating Rate Loans made primarily to leveraged private middle-market companies. We may also invest in thinly traded or small market-cap public middle-market U.S. companies. Our investments will initially generally range between $2 million and $20 million on average, although we expect that this investment size will vary proportionately with the size of our capital base. In addition, we may invest a portion of our portfolio in other types of investments, which we refer to as opportunistic investments, which are not our primary focus but are intended to enhance our overall returns. These investments may include, but are not limited to, direct investments in public companies that are not thinly traded and securities of leveraged companies located in select countries outside of the United States.</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will be managed by PennantPark Investment Advisers. PennantPark Investment Administration will provide the administrative services necessary for us to operate. We believe that our ability to leverage the existing investment management and administrative support platforms of the Investment Adviser and Administrator, respectively, will enable us to operate more efficiently and with lower overhead costs than other newly-formed funds of comparable size.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consummation of each investment will, however, depend upon obtaining mutually satisfactory pricing terms, the execution and delivery of final binding agreements and the completion of final due diligence.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 if we do not wish to make an investment, we will not be obligated to do so. Similarly, prospective portfolio companies are not obligated to obtain Floating Rate Loan financing from us. We can offer no assurance that in the course of completing the prospective investments the Investment Adviser’s team has identified for us, we will not discover facts that would cause us to change the terms and amounts of these investments or render these investments unattractive or that any of these investments will actually be made.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intend to generate revenue in the form of interest income on our portfolio investments and capital gains and distributions, if any, on our debt investments that we may acquire in portfolio companies. Our Floating Rate Loans typically will have a term of three to ten years and bear interest at a floating rate. Interest on debt investments is generally payable quarterly or semiannually. In some cases, some of our investments may provide for deferred interest payments or PIK. The principal amount of our debt investments and any accrued but unpaid interest generally will become due at the maturity date. We expect to originate portfolio investments to a greater extent over time and may generate revenue from origination or structuring fees. In addition, we may generate revenue in the form of commitment or diligence fees, fees for providing managerial assistance and possibly consulting fees. Loan origination fees, OID and market discount or premium are capitalized, and we will accrete or amortize such amounts as income. We will record prepayment premiums on loans and debt securities as income. Dividend income, if any, will be recognized on an accrual basis on the ex-dividend date to the extent that we expect to collect such amounts.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expenses will include the payment of management fees to the Investment Adviser, our allocable portion of overhead under the Administration Agreement and other operating costs as detailed below. Our management fee will compensate the Investment Adviser for its work in identifying, evaluating, negotiating, consummating and monitoring our investments. Additionally, we would pay interest expense on any outstanding debt we may accrue under a credit facility. We will bear all other direct or indirect costs and expenses of our operations and transactions, including:</w:t>
      </w:r>
    </w:p>
    <w:p>
      <w:pPr>
        <w:spacing w:after="0" w:line="3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may enter into interest rate hedging agreements. To the extent that any of our investments are denominated in a currency other than U.S. dollars, we may enter into currency hedging contracts to reduce our exposure to fluctuations in currency exchange rates. Such hedging activities, which will be subject to compliance with applicable legal requirements, may include the use of futures, options, swaps and forward contracts. Costs incurred in entering into such contracts or in settling them will be borne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discussion of our expected operating plans is based upon our expected financial statements, which will be prepared in accordance with U.S. generally accepted accounting principles,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will generally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expect that there will not be readily available market values for most, if not all, of the investments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include,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1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board of directors will also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our investments are trading, in determining fair value.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 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will record interest income on an accrual basis to the extent that we expect to collect such amounts. For Floating Rate Loans with contractual PIK interest, which represents contractual interest accrued and added to the loan balance that generally becomes due at maturity, we will generally not accrue PIK interest if the portfolio company valuation indicates that such PIK interest is not collectible. We will not accrue as a receivable interest on our investments if we determine that it is probable that we will not be able to collect such interest. Loan origination fees, OID, market discount or premium and deferred financing costs on our debt will be capitalized, and we then amortize such amounts as interest income or expense as applicable. We will record prepayment premiums on our investments as income. Dividend income, if any, will be recognized on an accrual basis on the ex-dividend date to the extent that we expect to collect such amounts.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have investments in our portfolio which contain a PIK interest provision. PIK interest will be added to the principal balance of the investment and recorded as income. For us to obtain and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operate so as to qualify to obtain and maintain annually our election to be taxed as a RIC under Subchapter M of the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will be reclassified among capital accounts in our future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We intend to borrow funds subsequent to this offering under the Credit Facility,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us and our stockholders, though we have not decided the extent to which we will finance portfolio investment using debt. See “Business—Leverage” and “Material U.S. Federal Income Tax Considerations.” In the future, we may also securitize a portion of our investments. In the future, we may also obtain additional borrowings from banks and issue senior securities. Our primary use of funds will be investments in portfolio companies and repayment of amounts owing to the advances under any borrowings we may obtain in the future, cash distributions to holders of our common stock and the payment of operating expenses, including debt service if we borrow additional amounts after completion of this offering to fund our investments. Immediately after this offering and the consummation of the related transactions, we expect to have cash resources of approximately $141.5 million or $162.9 million if the underwriters’ over-allotment option is fully exercised and no indebtedness. See “Use of Proceeds.”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will enter into certain contracts under which we will have material future commitments. Under the Investment Management Agreement, PennantPark Investment Advisers will serve as our investment adviser in accordance with the terms of the Investment Management Agreement. Payments under the Investment Management Agreement in each reporting period will be equal to (1) a management fee equal to 1% of the value of our gross assets and (2) an incentive fee based on our performance. See “Certain Relationships and Transactions—Investment Management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Administration Agreement, PennantPark Investment Administration will furnish us with office facilities and administrative services necessary to conduct our day-to-day operations.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 See “Certain Relationships and Transactions—Administration Agreement.”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Investment Adviser has agreed to pay to the underwriters 2% of the sales load, or $3,000,000 ($3,450,000 if the underwriters exercise their overallotment option in full) in the aggregate, with respect to this offering of shares of our common stock. We will be obligated to repay this amount under certain circumstances. See “Obligations and Indebtedness.”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the Investment Management Agreement and the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OBLIGATIONS AND INDEBTEDNESS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Investment Adviser has agreed to pay to the underwriters 2% of the sales load, or $3,000,000 ($3,450,000 if the underwriters exercise their overallotment option in full) in the aggregate, with respect to this offering of shares of our common stock. We (and indirectly our stockholders) will be obligated to repay this amount (a) if during any four consecutive calendar quarter-periods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6, 2014, we will not be obligated to repay this amount. We will repay such amount to the Investment Adviser in cash, and the Investment Adviser has agreed to use such payment to purchase shares of our common stock in the secondary market.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Subsequent to the completion of this offering, and to the extent we have income available, we intend to make monthly distributions to our stockholders. Our monthly distributions, if any, will be determined by our board of directors. Any distributions to our stockholders will be declared out of assets legally available for distribution.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intend to elect to be treated, and intend to qualify annually thereafter, as a RIC under the Code, beginning with our first taxable year ending after completion of this offering. To obtain and maintain RIC tax treatment, we must distribute at least 90% of our net ordinary income and net short-term capital gains in excess of our net long-term capital losses, if any. In order to avoid certain excise taxes imposed on RICs, we currently intend to distribute during each calendar year an amount at least equal to the sum of: (a) 98% of our net ordinary income for such calendar year; (b) 98.2% of our net capital gains in excess of capital losses for the one-year period ending on October 31 of the calendar year; and (c) any net ordinary income and net capital gains for preceding years that were not distributed during such years and on which we previously paid no U.S. federal income tax.</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currently intend to distribute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out of the assets legally available for such distributions. However, we may decide in the future to retain such capital gains for investment and elect to treat such gains as deemed distributions to you. If this happens, you will be treated for U.S. federal income tax purposes as if you had received an actual distribution of the capital gains that we retain and you had reinvested the net after 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and, if we issue senior securities, we will be prohibited from making distributions if doing so would cause us to fail to maintain the asset coverage ratios stipulated by the 1940 Act or if such distributions are limited by the terms of any of our borrowings.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base management fee and the incentive fee are determined and paid to PennantPark Investment Advisers. See “Dividend Reinvestment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has filed an election to be treated as a business development company under the Investment Company Act of 1940, as amended, or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portfolio. We expect to invest up to 35% of our overall portfolio opportunistically in other types of investments, including second-lien, high yield, mezzanine and distressed debt securities and private equity investments. In focusing on Floating Rate Loans, our primary investment focus differs from that of PennantPark Investment Corporation, a business development company for which the Investment Adviser also acts as investment adviser, although there may be overlap in terms of targeted investments for us and such other entity. Floating Rate Loans are typically made to U.S. and, to a limited extent, non-U.S. corporations, partnerships and other business entities which operate in various industries and geographical regions. Portfolio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to the types of securities and investments listed above, we also may invest in: (1) 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We may also invest in CLOs or collateralized debt obligations, or “CDOs” (including synthetic CLOs or CDOs), asset-backed securities, repurchase agreements, reverse repurchase agreements, cash and cash equivalents, swaps options, futures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We may also seek to gain exposure to Floating Rate Loans by investing in swaps, including single-name credit default swaps, single-name loan credit default swaps and total return swaps and other similar transactions.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expect to use derivative instruments, if at all, generally to hedge our exposure (i.e., limit downside risk) through the use of interest rate swaps, currency swaps and credit default swaps. We may also use options, futures and forward contracts or options on futures contracts for the same purpose. Likewise, we may make judicious use of these instruments, as well as investments in collateralized debt and loan obligations and total return swaps, to obtain exposure to classes of assets which may not be easily obtained through direct market purchases of the underlying instruments, as well as to boost expected returns on investments in specific asset classes. In addition, we may from time to time enter into total return swaps, securitization transactions and other forms of derivative securities to finance its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seeking to achieve our investment objectives,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borrower’s indebtedness on a timely basis. The Investment Adviser expects to gain exposure to portfolio companies across a broad range of industries and of varying characteristics and return profiles.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Administrator has experienced professionals with substantial backgrounds in finance and administration of registered investment companies and BDCs. In addition to furnishing us with clerical, bookkeeping and record keeping services, the Administrator will also oversee our financial records as well as the preparation of our reports to stockholders and reports filed with the SEC. The Administrator will oversee the determination and publication of our net asset value, oversee the preparation and filing of our tax returns, and monitor the payment of our expenses as well as the performance of administrative and professional services rendered to us by others. Furthermore, the Administrator will provide, on our behalf, managerial assistance to those portfolio companies to which we are required to offer such assistance. See “Risk Factors—Risks Relating to our Business and Structure.”</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executive officers and directors, as well as the current and future senior professionals of the Investment Adviser and Administrator, may serve as officers, directors or principals of entities that operate in the same or a related line of business as we do. Currently, the executive officers and directors, as well as the current senior professionals of the Investment Adviser and Administrator, serve as officers and directors of PennantPark Investment Corporation, a publicly-traded BDC. Accordingly, they may have obligations to investors in those entities, including to investors of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may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be forced to choose which investment fund should receive the allocation.</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co-invest on a concurrent basis with PennantPark Investment Corporation,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460" w:right="12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 CLO funds</w:t>
      </w:r>
      <w:r>
        <w:rPr>
          <w:rFonts w:ascii="Arial" w:cs="Arial" w:eastAsia="Arial" w:hAnsi="Arial"/>
          <w:sz w:val="18"/>
          <w:szCs w:val="18"/>
          <w:b w:val="1"/>
          <w:bCs w:val="1"/>
          <w:color w:val="auto"/>
        </w:rPr>
        <w:t xml:space="preserve"> </w:t>
      </w:r>
      <w:r>
        <w:rPr>
          <w:rFonts w:ascii="Arial" w:cs="Arial" w:eastAsia="Arial" w:hAnsi="Arial"/>
          <w:sz w:val="18"/>
          <w:szCs w:val="18"/>
          <w:color w:val="auto"/>
        </w:rPr>
        <w:t>have withdrawn capital from the middle-market resulting in opportunities for alternative funding sources.</w:t>
      </w:r>
    </w:p>
    <w:p>
      <w:pPr>
        <w:spacing w:after="0" w:line="39" w:lineRule="exact"/>
        <w:rPr>
          <w:sz w:val="20"/>
          <w:szCs w:val="20"/>
          <w:color w:val="auto"/>
        </w:rPr>
      </w:pPr>
    </w:p>
    <w:p>
      <w:pPr>
        <w:jc w:val="both"/>
        <w:ind w:left="46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 equity funds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8" w:lineRule="exact"/>
        <w:rPr>
          <w:sz w:val="20"/>
          <w:szCs w:val="20"/>
          <w:color w:val="auto"/>
        </w:rPr>
      </w:pPr>
    </w:p>
    <w:p>
      <w:pPr>
        <w:jc w:val="both"/>
        <w:ind w:left="460" w:right="2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will be highly selective in deploying our capital. We believe our approach will enable us to build an attractive investment portfolio that meets our return and value criteria over the long-term.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needs of a company while also generating attractive risk-adjusted returns. We can invest in any part of a capital structure and the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Furthermore, many of our competitors are not subject to the regulatory restrictions that the 1940 Act will impose on us as a business development company.</w:t>
      </w:r>
    </w:p>
    <w:p>
      <w:pPr>
        <w:spacing w:after="0" w:line="18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currently anticipate utilizing leverage. We have received a commitment to arrange the Credit Facility, which is expected to become effective shortly after this offering is completed. We intend to use borrowings under the Credit Facility to invest in portfolio companies. The Credit Facility is expected to initially provide us up to $200.0 million in available borrowings and is expected to expire in 2016. The Credit Facility is expected to include an accordion feature whereby we will be allowed to increase the amount of the Credit Facility up to $600.0 million. The Credit Facility is expected to have a revolving period of 36 months. The base lending rate for borrowings under the Credit Facility is expected to be LIBOR plus (i) 2.25% while the Credit Facility is in its revolving period and</w:t>
      </w:r>
    </w:p>
    <w:p>
      <w:pPr>
        <w:spacing w:after="0" w:line="2" w:lineRule="exact"/>
        <w:rPr>
          <w:sz w:val="20"/>
          <w:szCs w:val="20"/>
          <w:color w:val="auto"/>
        </w:rPr>
      </w:pPr>
    </w:p>
    <w:p>
      <w:pPr>
        <w:ind w:right="260" w:firstLine="8"/>
        <w:spacing w:after="0" w:line="261"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4.25% thereafter. We may also issue preferred stock and/or notes, enter into total return swaps, or other derivatives and borrow funds from banks and other financial institutions.</w:t>
      </w:r>
    </w:p>
    <w:p>
      <w:pPr>
        <w:spacing w:after="0" w:line="13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 assets purchased using leverage. As such, the Investment Adviser may have a financial incentive to increase the use of leverage, which constitutes an inherent conflict of interest. In addition, the fees we pay to the Investment Adviser will be borne exclusively by our common stockholders. It is expected that preferred stockholders, noteholders and any lenders will not bear any of our expenses. Our leveraging strategy, if utilized, may not be successful.</w:t>
      </w:r>
    </w:p>
    <w:p>
      <w:pPr>
        <w:spacing w:after="0" w:line="10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expect that under the Credit Facility, we would be entitled to borrow an amount, initially up to $200.0 million, equal to approximately 50% of the company’s Managed Assets less any amounts of existing leverage, including from the issuance of preferred stock and/or notes. Any such borrowings would constitute financial leverage.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seek to create a diversified portfolio primarily of Floating Rate Loans, by initially targeting an investment size of $2 to $20 million, on average, in Floating Rate Loans of middle-market companies. We expect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this investment size to vary proportionately with the size of our capital base. The companies in which we invest will typically be highly leveraged, and, in most cases, not rated by national rating agencies. If such companies were rated, we believe that they would typically receive a rating below investment grade (between</w:t>
      </w:r>
    </w:p>
    <w:p>
      <w:pPr>
        <w:ind w:right="40" w:firstLine="8"/>
        <w:spacing w:after="0" w:line="261" w:lineRule="auto"/>
        <w:tabs>
          <w:tab w:leader="none" w:pos="2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CCC under the Standard &amp; Poor’s system) from the national rating agencies. In addition, we expect our debt investments to range in maturity from three to ten years.</w:t>
      </w:r>
    </w:p>
    <w:p>
      <w:pPr>
        <w:spacing w:after="0" w:line="13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Over time, we expect that our portfolio will continue to consist primarily of Floating Rate Loans in qualifying assets such as private or thinly traded or small market-cap, public middle-market U.S. companies. In addition, we may invest up to 30% of our portfolio in non-qualifying assets. See “Regulation— 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0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will seek to minimize the risk of capital loss without foregoing potential for capital appreciation.</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Generally, we will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defensible market positions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Investment Adviser intends to invest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Investment Adviser intends to invest in portfolio companies believed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Investment Adviser intends to focus on investments in which the portfolio company has an experienced management team with an established track record of success. The Investment Adviser typically will require that portfolio companies have in place proper incentives to align management’s goals with our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financial or with significant investments at risk may have an ability, and a strong incentive, to contribute additional capital in difficult economic times should financial or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Investment Adviser will seek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will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will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The Investment Adviser will conduct a rigorous due diligence process that is applied to prospective portfolio companies and draws from the Investment Adviser’s experience, industry expertise and network of contacts. In conducting due diligence, the Investment Adviser will use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will include:</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will present the investment opportunity to the Investment Adviser’s investment committee. This committee will determine whether to pursue the potential investment. All new investments are required to be reviewed by the investment committee of our Investment Adviser. The members of the investment committee receive no compensation from us. These members are employees of the Investment Adviser and receive compensation from the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Investment Adviser intends to monitor credit risk of each portfolio company regularly and periodically with a goal toward identifying early, and selling, Floating Rate Loans and other investments with potential credit problems. This monitoring process may include reviewing:(1)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In this prospectus, “Managed Assets” means net assets plus any borrowings for investment purposes to the extent such a change would not affect our ability to maintain our election as a business development company.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While our investment objective is to seek high current income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structured relative to the other capital in the portfolio company’s capital structure.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Certain Floating Rate Loans may have interest-only payments in the early years, payable in cash or PIK interest, with amortization of principal deferred to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case of our Floating Rate Loans, we will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will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Floating Rate Loans generally will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4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Investment Adviser will monitor our portfolio companies on an ongoing basis. The Investment Adviser will monitor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Assessment of success in adhering to the portfolio company’s business plan and compliance with covenants;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Comparisons to other PennantPark Floating Rate Capital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First lien secured debt, subordinated debt and other debt investments with maturities greater than 60 days generally will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will be in our portfolio, and we will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will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will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2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80" w:hanging="446"/>
        <w:spacing w:after="0" w:line="29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board of directors also will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will be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will offer managerial assistance to our portfolio companies. As a business development company, we will be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currently have any employees. Our day-to-day investment operations will be managed by the Investment Adviser. The Investment Adviser and Administrator have hired and expect to continue to hire professionals with skills applicable to our business plan, including experience in middle-market investing, leveraged finance and capital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principal executive offices are located in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The Administrator furnishes us office space and we reimburse it for such costs on an allocated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None of us, the Investment Adviser or Administrator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We will generally seek to target companies that generate positive cash flows from the broad variety of industries in which the Investment Adviser has direct expertise. We may invest in other industries if we are presented with attractive opportunities. The following is a list of the industries in which we may invest:</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Environmental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Financial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Grocery</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Education and Childcare</w:t>
            </w:r>
          </w:p>
        </w:tc>
      </w:tr>
      <w:tr>
        <w:trPr>
          <w:trHeight w:val="31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w w:val="89"/>
              </w:rPr>
              <w:t>Home &amp; Office Furnishings, Housewares &amp; Durable Consumer</w:t>
            </w:r>
          </w:p>
        </w:tc>
      </w:tr>
      <w:tr>
        <w:trPr>
          <w:trHeight w:val="222"/>
        </w:trPr>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Products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Hotels, Motels, Inns and Gaming</w:t>
            </w:r>
          </w:p>
        </w:tc>
      </w:tr>
      <w:tr>
        <w:trPr>
          <w:trHeight w:val="365"/>
        </w:trPr>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0" w:type="dxa"/>
            <w:vAlign w:val="bottom"/>
          </w:tcPr>
          <w:p>
            <w:pPr>
              <w:ind w:left="1280"/>
              <w:spacing w:after="0"/>
              <w:rPr>
                <w:sz w:val="20"/>
                <w:szCs w:val="20"/>
                <w:color w:val="auto"/>
              </w:rPr>
            </w:pPr>
            <w:r>
              <w:rPr>
                <w:rFonts w:ascii="Arial" w:cs="Arial" w:eastAsia="Arial" w:hAnsi="Arial"/>
                <w:sz w:val="18"/>
                <w:szCs w:val="18"/>
                <w:color w:val="auto"/>
              </w:rPr>
              <w:t>63</w:t>
            </w:r>
          </w:p>
        </w:tc>
        <w:tc>
          <w:tcPr>
            <w:tcW w:w="46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Cargo Transportation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w w:val="89"/>
              </w:rPr>
              <w:t>Leisure, Amusement, Motion Picture, Entertainment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Manufacturing / Basic Industries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Containers Packaging &amp; Glass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Diversified/Conglomerate Services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Diversified/Conglomerate Manufacturing</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Telecommunications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Energy / Utilities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Retail Store</w:t>
            </w:r>
          </w:p>
        </w:tc>
      </w:tr>
      <w:tr>
        <w:trPr>
          <w:trHeight w:val="365"/>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64</w:t>
            </w:r>
          </w:p>
        </w:tc>
        <w:tc>
          <w:tcPr>
            <w:tcW w:w="38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Our board of directors is responsible for the overall supervision of our operations and will perform the various duties imposed on the directors of investment companies by the 1940 Act and applicable Maryland law.</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Biographical Information</w:t>
      </w:r>
      <w:r>
        <w:rPr>
          <w:rFonts w:ascii="Arial" w:cs="Arial" w:eastAsia="Arial" w:hAnsi="Arial"/>
          <w:sz w:val="18"/>
          <w:szCs w:val="18"/>
          <w:color w:val="auto"/>
        </w:rPr>
        <w:t>. Certain biographical and other information relating to our directors is set out below, including their ages, their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occupations for at least the last five years, the length of time served, and other public directorships, including both public operating companies and registered funds.</w:t>
      </w:r>
    </w:p>
    <w:p>
      <w:pPr>
        <w:sectPr>
          <w:pgSz w:w="11900" w:h="16838" w:orient="portrait"/>
          <w:cols w:equalWidth="0" w:num="1">
            <w:col w:w="11380"/>
          </w:cols>
          <w:pgMar w:left="240" w:top="459" w:right="279" w:bottom="1440" w:gutter="0" w:footer="0" w:header="0"/>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3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56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Interested Director</w:t>
            </w:r>
          </w:p>
        </w:tc>
        <w:tc>
          <w:tcPr>
            <w:tcW w:w="320" w:type="dxa"/>
            <w:vAlign w:val="bottom"/>
          </w:tcPr>
          <w:p>
            <w:pPr>
              <w:spacing w:after="0"/>
              <w:rPr>
                <w:sz w:val="17"/>
                <w:szCs w:val="17"/>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1"/>
              </w:rPr>
              <w:t>Chief Executive Officer</w:t>
            </w:r>
          </w:p>
        </w:tc>
        <w:tc>
          <w:tcPr>
            <w:tcW w:w="320" w:type="dxa"/>
            <w:vAlign w:val="bottom"/>
          </w:tcPr>
          <w:p>
            <w:pPr>
              <w:spacing w:after="0"/>
              <w:rPr>
                <w:sz w:val="17"/>
                <w:szCs w:val="17"/>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vMerge w:val="restart"/>
          </w:tcPr>
          <w:p>
            <w:pPr>
              <w:ind w:left="300"/>
              <w:spacing w:after="0"/>
              <w:rPr>
                <w:sz w:val="20"/>
                <w:szCs w:val="20"/>
                <w:color w:val="auto"/>
              </w:rPr>
            </w:pPr>
            <w:r>
              <w:rPr>
                <w:rFonts w:ascii="Arial" w:cs="Arial" w:eastAsia="Arial" w:hAnsi="Arial"/>
                <w:sz w:val="18"/>
                <w:szCs w:val="18"/>
                <w:color w:val="auto"/>
              </w:rPr>
              <w:t>Founder, Chairman and Chief Executive</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Arthur H. Penn (47)</w:t>
            </w:r>
            <w:r>
              <w:rPr>
                <w:rFonts w:ascii="Arial" w:cs="Arial" w:eastAsia="Arial" w:hAnsi="Arial"/>
                <w:sz w:val="11"/>
                <w:szCs w:val="11"/>
                <w:color w:val="auto"/>
              </w:rPr>
              <w:t>(2)</w:t>
            </w: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and Chairman of the</w:t>
            </w: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Officer of PennantPark Investment Corporation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Board of Directors</w:t>
            </w: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2014</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since its inception in 2007. Mr. Penn also is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founder and Managing Member of PennantPark</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Investment Advisers, LLC. Before founding</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PennantPark, Mr. Penn was the co-founder 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Apollo Investment Management, where he was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a Managing Partner from 2004 to 2007. He also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served as Chief Operating Officer of Apollo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Investment Corporation from inception in 2004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to 2006 and served as President and Chief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Operating Officer in 2006. He formerly was a</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Managing Partner of Apollo Value Fund L.P.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(formerly Apollo Distressed Investment Fund,</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L.P.) from 2003 to 2006.</w:t>
            </w:r>
          </w:p>
        </w:tc>
        <w:tc>
          <w:tcPr>
            <w:tcW w:w="0" w:type="dxa"/>
            <w:vAlign w:val="bottom"/>
          </w:tcPr>
          <w:p>
            <w:pPr>
              <w:spacing w:after="0"/>
              <w:rPr>
                <w:sz w:val="1"/>
                <w:szCs w:val="1"/>
                <w:color w:val="auto"/>
              </w:rPr>
            </w:pPr>
          </w:p>
        </w:tc>
      </w:tr>
      <w:tr>
        <w:trPr>
          <w:trHeight w:val="291"/>
        </w:trPr>
        <w:tc>
          <w:tcPr>
            <w:tcW w:w="2560" w:type="dxa"/>
            <w:vAlign w:val="bottom"/>
          </w:tcPr>
          <w:p>
            <w:pPr>
              <w:spacing w:after="0"/>
              <w:rPr>
                <w:sz w:val="20"/>
                <w:szCs w:val="20"/>
                <w:color w:val="auto"/>
              </w:rPr>
            </w:pPr>
            <w:r>
              <w:rPr>
                <w:rFonts w:ascii="Arial" w:cs="Arial" w:eastAsia="Arial" w:hAnsi="Arial"/>
                <w:sz w:val="18"/>
                <w:szCs w:val="18"/>
                <w:b w:val="1"/>
                <w:bCs w:val="1"/>
                <w:color w:val="auto"/>
              </w:rPr>
              <w:t>Independent Directors</w:t>
            </w:r>
          </w:p>
        </w:tc>
        <w:tc>
          <w:tcPr>
            <w:tcW w:w="320" w:type="dxa"/>
            <w:vAlign w:val="bottom"/>
          </w:tcPr>
          <w:p>
            <w:pPr>
              <w:spacing w:after="0"/>
              <w:rPr>
                <w:sz w:val="24"/>
                <w:szCs w:val="24"/>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vMerge w:val="restart"/>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Marshall Brozost (43)</w:t>
            </w: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Corporation. A Partner at the international law</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2012</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firm of Dewey &amp; LeBoeuf LLP since 2007,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7"/>
              </w:rPr>
              <w:t>where he practices in the real estate and private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equity groups. Prior to his tenure at Dewey &amp;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LeBoeuf LLP, which began in 2005,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Mr. Brozost practiced law at O’Melveny &amp;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Myers LLP and at Solomon &amp; Weinberg LLP</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from 2001 to 2005.</w:t>
            </w:r>
          </w:p>
        </w:tc>
        <w:tc>
          <w:tcPr>
            <w:tcW w:w="0" w:type="dxa"/>
            <w:vAlign w:val="bottom"/>
          </w:tcPr>
          <w:p>
            <w:pPr>
              <w:spacing w:after="0"/>
              <w:rPr>
                <w:sz w:val="1"/>
                <w:szCs w:val="1"/>
                <w:color w:val="auto"/>
              </w:rPr>
            </w:pPr>
          </w:p>
        </w:tc>
      </w:tr>
      <w:tr>
        <w:trPr>
          <w:trHeight w:val="378"/>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gridSpan w:val="2"/>
          </w:tcPr>
          <w:p>
            <w:pPr>
              <w:jc w:val="right"/>
              <w:ind w:right="722"/>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ind w:right="272"/>
              <w:spacing w:after="0"/>
              <w:rPr>
                <w:sz w:val="20"/>
                <w:szCs w:val="20"/>
                <w:color w:val="auto"/>
              </w:rPr>
            </w:pPr>
            <w:r>
              <w:rPr>
                <w:rFonts w:ascii="Arial" w:cs="Arial" w:eastAsia="Arial" w:hAnsi="Arial"/>
                <w:sz w:val="14"/>
                <w:szCs w:val="14"/>
                <w:b w:val="1"/>
                <w:bCs w:val="1"/>
                <w:color w:val="auto"/>
                <w:w w:val="89"/>
              </w:rPr>
              <w:t>Term of</w:t>
            </w: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Office and</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Length of</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8"/>
              </w:rPr>
              <w:t>Time Served</w:t>
            </w:r>
          </w:p>
        </w:tc>
        <w:tc>
          <w:tcPr>
            <w:tcW w:w="3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580" w:type="dxa"/>
            <w:vAlign w:val="bottom"/>
          </w:tcPr>
          <w:p>
            <w:pPr>
              <w:spacing w:after="0" w:line="201" w:lineRule="exact"/>
              <w:rPr>
                <w:sz w:val="20"/>
                <w:szCs w:val="20"/>
                <w:color w:val="auto"/>
              </w:rPr>
            </w:pPr>
            <w:r>
              <w:rPr>
                <w:rFonts w:ascii="Arial" w:cs="Arial" w:eastAsia="Arial" w:hAnsi="Arial"/>
                <w:sz w:val="18"/>
                <w:szCs w:val="18"/>
                <w:color w:val="auto"/>
              </w:rPr>
              <w:t>Samuel L. Katz (45)</w:t>
            </w:r>
          </w:p>
        </w:tc>
        <w:tc>
          <w:tcPr>
            <w:tcW w:w="30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17"/>
                <w:szCs w:val="17"/>
                <w:color w:val="auto"/>
              </w:rPr>
            </w:pPr>
          </w:p>
        </w:tc>
        <w:tc>
          <w:tcPr>
            <w:tcW w:w="1700" w:type="dxa"/>
            <w:vAlign w:val="bottom"/>
            <w:gridSpan w:val="2"/>
          </w:tcPr>
          <w:p>
            <w:pPr>
              <w:spacing w:after="0" w:line="201" w:lineRule="exact"/>
              <w:rPr>
                <w:sz w:val="20"/>
                <w:szCs w:val="20"/>
                <w:color w:val="auto"/>
              </w:rPr>
            </w:pPr>
            <w:r>
              <w:rPr>
                <w:rFonts w:ascii="Arial" w:cs="Arial" w:eastAsia="Arial" w:hAnsi="Arial"/>
                <w:sz w:val="18"/>
                <w:szCs w:val="18"/>
                <w:color w:val="auto"/>
                <w:w w:val="93"/>
              </w:rPr>
              <w:t>Director since October</w:t>
            </w:r>
          </w:p>
        </w:tc>
        <w:tc>
          <w:tcPr>
            <w:tcW w:w="30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Corporation. The Managing Partner since 2007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w w:val="79"/>
              </w:rPr>
              <w:t>2012</w:t>
            </w: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of TZP Group LLC, a private equity fund.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2"/>
              </w:rPr>
              <w:t>Before joining TZP Group, Mr. Katz was Chief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7"/>
              </w:rPr>
              <w:t>Executive Officer of MacAndrews &amp; Forbes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Acquisition Holdings, Inc. from 2006 to 2007.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Prior to that position, Mr. Katz was Chairman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and Chief Executive Officer of the Cendant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Travel Distribution Services Division from</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2001 to 2005.</w:t>
            </w:r>
          </w:p>
        </w:tc>
        <w:tc>
          <w:tcPr>
            <w:tcW w:w="0" w:type="dxa"/>
            <w:vAlign w:val="bottom"/>
          </w:tcPr>
          <w:p>
            <w:pPr>
              <w:spacing w:after="0"/>
              <w:rPr>
                <w:sz w:val="1"/>
                <w:szCs w:val="1"/>
                <w:color w:val="auto"/>
              </w:rPr>
            </w:pPr>
          </w:p>
        </w:tc>
      </w:tr>
      <w:tr>
        <w:trPr>
          <w:trHeight w:val="318"/>
        </w:trPr>
        <w:tc>
          <w:tcPr>
            <w:tcW w:w="2580" w:type="dxa"/>
            <w:vAlign w:val="bottom"/>
          </w:tcPr>
          <w:p>
            <w:pPr>
              <w:spacing w:after="0"/>
              <w:rPr>
                <w:sz w:val="20"/>
                <w:szCs w:val="20"/>
                <w:color w:val="auto"/>
              </w:rPr>
            </w:pPr>
            <w:r>
              <w:rPr>
                <w:rFonts w:ascii="Arial" w:cs="Arial" w:eastAsia="Arial" w:hAnsi="Arial"/>
                <w:sz w:val="18"/>
                <w:szCs w:val="18"/>
                <w:color w:val="auto"/>
              </w:rPr>
              <w:t>Adam K. Bernstein (47)</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Corporation. President of The Bernstein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w w:val="79"/>
              </w:rPr>
              <w:t>2013</w:t>
            </w: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6"/>
              </w:rPr>
              <w:t>Companies, a Washington, D.C.-based real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estate firm that he joined in 1986. Mr. Bernstein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also serves as the President and Chief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Executive Officer of Consortium Atlantic</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Realty Trust, Inc., a private real estate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investment trust operating in the Mid-Atlantic</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region since its formation in 2000.</w:t>
            </w:r>
          </w:p>
        </w:tc>
        <w:tc>
          <w:tcPr>
            <w:tcW w:w="0" w:type="dxa"/>
            <w:vAlign w:val="bottom"/>
          </w:tcPr>
          <w:p>
            <w:pPr>
              <w:spacing w:after="0"/>
              <w:rPr>
                <w:sz w:val="1"/>
                <w:szCs w:val="1"/>
                <w:color w:val="auto"/>
              </w:rPr>
            </w:pPr>
          </w:p>
        </w:tc>
      </w:tr>
      <w:tr>
        <w:trPr>
          <w:trHeight w:val="318"/>
        </w:trPr>
        <w:tc>
          <w:tcPr>
            <w:tcW w:w="2580" w:type="dxa"/>
            <w:vAlign w:val="bottom"/>
          </w:tcPr>
          <w:p>
            <w:pPr>
              <w:spacing w:after="0"/>
              <w:rPr>
                <w:sz w:val="20"/>
                <w:szCs w:val="20"/>
                <w:color w:val="auto"/>
              </w:rPr>
            </w:pPr>
            <w:r>
              <w:rPr>
                <w:rFonts w:ascii="Arial" w:cs="Arial" w:eastAsia="Arial" w:hAnsi="Arial"/>
                <w:sz w:val="18"/>
                <w:szCs w:val="18"/>
                <w:color w:val="auto"/>
              </w:rPr>
              <w:t>Jeffrey Flug (48)</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Corporation. Since 2009, Mr. Flug has held a</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60" w:type="dxa"/>
            <w:vAlign w:val="bottom"/>
            <w:gridSpan w:val="2"/>
          </w:tcPr>
          <w:p>
            <w:pPr>
              <w:ind w:left="320"/>
              <w:spacing w:after="0" w:line="184" w:lineRule="exact"/>
              <w:rPr>
                <w:sz w:val="20"/>
                <w:szCs w:val="20"/>
                <w:color w:val="auto"/>
              </w:rPr>
            </w:pPr>
            <w:r>
              <w:rPr>
                <w:rFonts w:ascii="Arial" w:cs="Arial" w:eastAsia="Arial" w:hAnsi="Arial"/>
                <w:sz w:val="18"/>
                <w:szCs w:val="18"/>
                <w:color w:val="auto"/>
                <w:w w:val="79"/>
              </w:rPr>
              <w:t>2013</w:t>
            </w:r>
          </w:p>
        </w:tc>
        <w:tc>
          <w:tcPr>
            <w:tcW w:w="1360" w:type="dxa"/>
            <w:vAlign w:val="bottom"/>
          </w:tcPr>
          <w:p>
            <w:pPr>
              <w:spacing w:after="0"/>
              <w:rPr>
                <w:sz w:val="15"/>
                <w:szCs w:val="15"/>
                <w:color w:val="auto"/>
              </w:rPr>
            </w:pPr>
          </w:p>
        </w:tc>
        <w:tc>
          <w:tcPr>
            <w:tcW w:w="3680" w:type="dxa"/>
            <w:vAlign w:val="bottom"/>
            <w:gridSpan w:val="2"/>
          </w:tcPr>
          <w:p>
            <w:pPr>
              <w:ind w:left="300"/>
              <w:spacing w:after="0" w:line="184" w:lineRule="exact"/>
              <w:rPr>
                <w:sz w:val="20"/>
                <w:szCs w:val="20"/>
                <w:color w:val="auto"/>
              </w:rPr>
            </w:pPr>
            <w:r>
              <w:rPr>
                <w:rFonts w:ascii="Arial" w:cs="Arial" w:eastAsia="Arial" w:hAnsi="Arial"/>
                <w:sz w:val="18"/>
                <w:szCs w:val="18"/>
                <w:color w:val="auto"/>
              </w:rPr>
              <w:t>variety of senior positions, including, most</w:t>
            </w:r>
          </w:p>
        </w:tc>
        <w:tc>
          <w:tcPr>
            <w:tcW w:w="0" w:type="dxa"/>
            <w:vAlign w:val="bottom"/>
          </w:tcPr>
          <w:p>
            <w:pPr>
              <w:spacing w:after="0"/>
              <w:rPr>
                <w:sz w:val="1"/>
                <w:szCs w:val="1"/>
                <w:color w:val="auto"/>
              </w:rPr>
            </w:pPr>
          </w:p>
        </w:tc>
      </w:tr>
      <w:tr>
        <w:trPr>
          <w:trHeight w:val="228"/>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0"/>
              </w:rPr>
              <w:t>recently, President of Union Square Hospitality</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Group, an exclusive chain of restaurants. Mr.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Flug also has served as Chief Executive Officer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and Executive Director from 2006 to 2008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2"/>
              </w:rPr>
              <w:t>Millennium Promise Alliance, Inc., a non-profit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9"/>
              </w:rPr>
              <w:t>organization whose mission is to eradicate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extreme global poverty. From 2000 to 2006 Mr.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Flug was a Managing Director and Head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North American Institutional Sales at JP</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Morgan’s Investment Bank.</w:t>
            </w:r>
          </w:p>
        </w:tc>
        <w:tc>
          <w:tcPr>
            <w:tcW w:w="0" w:type="dxa"/>
            <w:vAlign w:val="bottom"/>
          </w:tcPr>
          <w:p>
            <w:pPr>
              <w:spacing w:after="0"/>
              <w:rPr>
                <w:sz w:val="1"/>
                <w:szCs w:val="1"/>
                <w:color w:val="auto"/>
              </w:rPr>
            </w:pPr>
          </w:p>
        </w:tc>
      </w:tr>
      <w:tr>
        <w:trPr>
          <w:trHeight w:val="365"/>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gridSpan w:val="3"/>
          </w:tcPr>
          <w:p>
            <w:pPr>
              <w:jc w:val="right"/>
              <w:ind w:right="732"/>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address of each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Penn is an interested director due to his positions as an officer of PennantPark Floating Rate Capital and of PennantPark Investment Advisers, LLC.</w:t>
      </w:r>
    </w:p>
    <w:p>
      <w:pPr>
        <w:spacing w:after="0" w:line="1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Biographical Information of our Executive Officers</w:t>
      </w:r>
      <w:r>
        <w:rPr>
          <w:rFonts w:ascii="Arial" w:cs="Arial" w:eastAsia="Arial" w:hAnsi="Arial"/>
          <w:sz w:val="18"/>
          <w:szCs w:val="18"/>
          <w:color w:val="auto"/>
        </w:rPr>
        <w:t>. Certain biographical and other information relating to the executive officers of the company is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120" w:type="dxa"/>
            <w:vAlign w:val="bottom"/>
          </w:tcPr>
          <w:p>
            <w:pPr>
              <w:spacing w:after="0"/>
              <w:rPr>
                <w:sz w:val="12"/>
                <w:szCs w:val="12"/>
                <w:color w:val="auto"/>
              </w:rPr>
            </w:pP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120" w:type="dxa"/>
            <w:vAlign w:val="bottom"/>
          </w:tcPr>
          <w:p>
            <w:pPr>
              <w:spacing w:after="0"/>
              <w:rPr>
                <w:sz w:val="12"/>
                <w:szCs w:val="12"/>
                <w:color w:val="auto"/>
              </w:rPr>
            </w:pP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Officer</w:t>
            </w: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1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2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Arthur H. Penn (47)</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Aviv Efrat (46)</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Chief Financial Officer and Treasurer of PennantPark</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Treasurer</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 Corporation since inception in 2007.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Managing Director of PennantPark Investment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Administration, LLC since inception in 2007. A Director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9"/>
              </w:rPr>
              <w:t>at BlackRock, Inc. from 1997 to 2007 where he was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responsible for a variety of administrative, operational,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and financial aspects of closed-end and open-end</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registered 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address of each officer is c/o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of the date of this prospectus, none of our Directors and officers owned any of our outstanding shares. As of the date of this prospectus, none of our Independent Directors or their immediate family members owned beneficially or of record any securities in the Investment Adviser, and none of the Directors owned directly or indirectly any securities in any of the Underwriters.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Compensation of Directors</w:t>
      </w:r>
      <w:r>
        <w:rPr>
          <w:rFonts w:ascii="Arial" w:cs="Arial" w:eastAsia="Arial" w:hAnsi="Arial"/>
          <w:sz w:val="18"/>
          <w:szCs w:val="18"/>
          <w:color w:val="auto"/>
        </w:rPr>
        <w:t>. Each Independent Director receives an annual payment of $50,000 for services performed on behalf of us as a director.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 also receive $1,250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90"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We believe that maintaining the highest standards of corporate governance is a crucial part of our business, and we are committed to having in place the necessary controls and procedures designed to ensure compliance with applicable laws, rules and regulations, as well as our own ethical standards of conduct.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our board of directors must determine that the individual does not have a relationship that would interfere with the director’s exercise of independent judgment in carrying out his or her responsibilities. On an annual basis, each member of our board of directors will be required to complete an independence questionnaire designed to provide information to assist our board of directors in determining whether the director is independent under NASDAQ corporate governance rules, the 1940 Act and our corporate governance guidelines. Our board of directors has determined that each of our directors, other than Mr. Penn, is independent under the listing standards of the NASDAQ and the 1940 Act. Our governance guidelines require any director who has previously been determined to be independent to inform the Chairman of our board of directors, the Chairman of the Nominating and Corporate Governance Committee and our Corporate Secretary of any change in circumstance that may cause his or her status as an independent director to change. Our board of directors limits membership on the Audit Committee and the Nominating and Corporate Governance Committee to independent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 of directors will perform its risk oversight function primarily through (1) its two standing committees,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Audit Committee and the Nominating and Corporate Governance Committee will assist our board of directors in fulfilling its risk oversight responsibilities. The Audit Committee’s risk oversight responsibilities include overseeing our accounting and financial reporting processes, including the annual audit of our financial statements, our systems of internal controls regarding finance and accounting, and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common stockholders, developing and recommending to our board of directors a set of corporate governance principles and overseeing the evaluation of our board of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Our board of directors will also perform its risk oversight responsibilities with the assistance of the Chief Compliance Officer. Our Chief Compliance Officer will prepare a written report annually discussing the adequacy and effectiveness of our compliance policies and procedures and certain of our service providers. The Chief Compliance Officer’s report, which will be reviewed by our board of directors, will address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220" w:firstLine="8"/>
        <w:spacing w:after="0" w:line="255"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our board of directors would reasonably need to know to oversee our compliance activities and risks. In addition, the Chief Compliance Officer will meet separately in executive session with our independent directors at least once each year.</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that our board of director’s role in risk oversight will be effective and appropriate given the extensive regulation to which we will be subject as a closed-end management investment company. Specifically, as a closed-end management investment company, we must comply with certain regulatory requirements that control the levels of risk in our business and operations. In addition, we intend to elect to be treated, and intend to qualify annually, as a RIC under Subchapter M of the Code, commencing with our first taxable year ending after completion of this offering. As a RIC we must meet certain income source, asset diversification and annual distribution requirements.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extent of our board of director’s and its committees’ roles in risk oversight will complement our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will establish direct communication and oversight channels that our board of directors believes will foster open communication and early detection of issues of concern.</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that our board of director’s role in risk oversight must be evaluated on a case by case basis and that the current configuration and allocation of responsibilities among our board of directors and its committees with respect to the oversight of risk is appropriate. However, our board of directors and its committees will continually re-examine the manner in which they administer their respective risk oversight functions, including through formal annual assessments of performance, to ensure that they meet our needs.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1940 Act will require that at least a majority of our directors not be “interested persons” (as defined in the 1940 Act) of us. Currently, four of our five directors are independent directors; however the Chairman of our board of directors is an interested person of us. The independent directors believe that the combined position of Chief Executive Officer and Chairman of our board of directors will result in greater efficiencies in managing us by eliminating the need to transfer substantial information quickly and repeatedly between a separate Chief Executive Officer and Chairman, and the ability to capitalize on the specialized knowledge acquired from the duties of these roles. Our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will provide to us and the potential conflicts of interest that could arise from these relationships.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our board of directors believes has prepared each director to be an effective board member. Our board of directors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our board of directors believes that directors need to have the ability to review, evaluate, question and discuss critical information provided to them, and to interact effectively with our management, service providers and counsel, in order to exercise effective business judgment in the performance of their duties. Our board of directors believes that its members satisfy this standard. Experience relevant to having this ability may be achieved through a director’s educational background, business,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on our board of directors) or as an executive of investment funds, public companies or significant private or not-for-profit entities or other organizations, and/or other life experiences. To assist them in evaluating matters under federal and state law, the independent directors will be counseled by their own independent legal counsel, who will participate in board of directors meetings and interacts with the Investment Adviser, and also may benefit from information provided by our counsel. Both independent directors’ counsel and our counsel have significant experience advising funds and fund board members. Our board of directors and its committees will have the ability to engage other experts as appropriate. Our board of directors will evaluate its performance on an annual basis.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Chairman of our board of directors and Chief Executive Officer, Mr. Penn will assume a leading role in strategic planning and executing our initiatives. Mr. Penn will also manage our day-to-day operations, with the support of the other investment professionals and officers. As Chief Executive Officer, Mr. Penn will have general responsibility for the implementation of our policies, as determined by our board of directors, and for the management of our business and affairs.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Company</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board of directors believes that, collectively, the directors have balanced and diverse experience, qualifications, attributes and skills, which will allow our board of directors to operate effectively in governing us and protecting the interests of our stockholders. Below is a description of the various experiences, qualifications, attributes and/or skills with respect to each director considered by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Our board of directors will benefit from Mr. Penn’s business leadership and experience and knowledge of senior loan, mezzanine lending, leveraged finance, distressed debt and private equity businesses, as well as a diverse knowledge of management practices. Mr. Penn is our Founder, Chairman and Chief Executive Officer and the Managing Member of PennantPark Investment Advisers, LLC and PennantPark Investment Administration, LLC.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Mr. Penn’s longstanding service as Chairman and Chief Executive Officer of PennantPark Investment Corp. and Managing Member of PennantPark Investment Advisers, LLC and PennantPark Investment Administration, LLC provide him with a specific and valuable understanding of us, our operations, and the business and regulatory issues facing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Bernstein brings to our board of directors 25 years of experience in leading a real estate development, investment and management business in the Mid-Atlantic region of the United States. Mr. Bernstein affords our board of directors his vast experience in the area of strategic and financial planning and capital and risk management. Mr. Bernstein is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also is the President of the Mid-Atlantic Regional Advisory Board of the University of Pennsylvania.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Brozost brings 17 years of experience in the areas of finance, private equity, mergers and acquisitions and restructurings. Since 2007, Mr. Brozost has been Partner at the international law firm of Dewey &amp; LeBoeuf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Flug brings to our board of directors expertise in fixed income, investment banking, accounting and business operations. Since 2009, Mr. Flug has held a variety of senior positions including, most recently,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Katz brings to our board of directors a diverse knowledge of business and finance as a result of his career over the past 25 years. Mr. Katz is the Managing Partner of TZP Group, LLP a private equity fund he formed in 2007. Prior to joining TZP Group, he was CEO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he was an Associate and Vice President at The Blackstone Group, where he worked on numerous private equity transactions, including the initial LBOs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Aviv Efrat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Efrat became PennantPark Floating Rate Capital Ltd.’s Chief Financial Officer and Treasurer in October 2010. Mr. Efrat is also a Managing Director of PennantPark Investment Administration, LLC and the Chief Financial Officer and Treasurer of PennantPark Investment Corp.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Guy F. Talarico</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Mr. Talarico became PennantPark Floating Rate Capital’s Chief Compliance Officer in 2011.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We will require each director to make a diligent effort to attend all board and committee meetings, and encourage directors to attend our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our board of directors. Our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our board of directors whether the audited financial statements should be included in our annual report; reviewing and discussing with management and the independent auditors our financial statements prior to the filings;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Our board of directors and Audit Committee will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our board of directors or a committee of our board of directors, developing and recommending to our board of directors a set of corporate governance principles and overseeing the evaluation of our board of directors and our management.</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our stockholders’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our board of directors will include compliance with the independence and other applicable requirements of the NASDAQ corporate governance rules and the 1940 Act, and all other applicable laws, rules, regulations and listing standards; the criteria, policies and principles set forth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our board of directors, but the Committee will consider such factors as it may deem are in our best interests and those of our stockholders. Those factors may include a person’s differences of viewpoint, professional experience, education and skills, as well as his or her race, gender and national origin. In addition, as part of our board of director’s annual-self assessment, the members of the Nominating and Corporate Governance Committee will evaluate the membership of our board of directors and whether our board of directors maintains satisfactory policies regarding membership selection.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Below is a summary of their biographical information.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December 31, 2010, our portfolio managers also managed investments on behalf of the following entities: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Entity</w:t>
            </w:r>
          </w:p>
        </w:tc>
        <w:tc>
          <w:tcPr>
            <w:tcW w:w="4260" w:type="dxa"/>
            <w:vAlign w:val="bottom"/>
            <w:gridSpan w:val="3"/>
          </w:tcPr>
          <w:p>
            <w:pPr>
              <w:ind w:left="580"/>
              <w:spacing w:after="0"/>
              <w:rPr>
                <w:sz w:val="20"/>
                <w:szCs w:val="20"/>
                <w:color w:val="auto"/>
              </w:rPr>
            </w:pPr>
            <w:r>
              <w:rPr>
                <w:rFonts w:ascii="Arial" w:cs="Arial" w:eastAsia="Arial" w:hAnsi="Arial"/>
                <w:sz w:val="14"/>
                <w:szCs w:val="14"/>
                <w:b w:val="1"/>
                <w:bCs w:val="1"/>
                <w:color w:val="auto"/>
              </w:rPr>
              <w:t>Investment Focus</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1"/>
              </w:rPr>
              <w:t>Gross Assets</w:t>
            </w:r>
            <w:r>
              <w:rPr>
                <w:rFonts w:ascii="Arial" w:cs="Arial" w:eastAsia="Arial" w:hAnsi="Arial"/>
                <w:sz w:val="22"/>
                <w:szCs w:val="22"/>
                <w:b w:val="1"/>
                <w:bCs w:val="1"/>
                <w:color w:val="auto"/>
                <w:w w:val="81"/>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PennantPark Investment</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Business development</w:t>
            </w:r>
          </w:p>
        </w:tc>
        <w:tc>
          <w:tcPr>
            <w:tcW w:w="426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Primarily mezzanine debt and equity</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4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investments in middle-market leveraged</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companies</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4460" w:hanging="5612"/>
        <w:spacing w:after="0" w:line="525" w:lineRule="auto"/>
        <w:tabs>
          <w:tab w:leader="none" w:pos="4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Gross assets are calculated as of December 31, 2010, and are rounded to the nearest million. 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table below shows the dollar range of shares of common stock we estimate will be beneficially owned by each of our portfolio managers and each of our officers subsequent to completion of this offering.</w:t>
      </w:r>
    </w:p>
    <w:p>
      <w:pPr>
        <w:spacing w:after="0" w:line="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Dollar</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Range of Equity</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Securities in</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PennantPark</w:t>
            </w: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Floating Rate</w:t>
            </w:r>
          </w:p>
        </w:tc>
      </w:tr>
      <w:tr>
        <w:trPr>
          <w:trHeight w:val="176"/>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 of Portfolio Manager</w:t>
            </w:r>
          </w:p>
        </w:tc>
        <w:tc>
          <w:tcPr>
            <w:tcW w:w="134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6"/>
              </w:rPr>
              <w:t>Capital Ltd.</w:t>
            </w:r>
            <w:r>
              <w:rPr>
                <w:rFonts w:ascii="Arial" w:cs="Arial" w:eastAsia="Arial" w:hAnsi="Arial"/>
                <w:sz w:val="20"/>
                <w:szCs w:val="20"/>
                <w:b w:val="1"/>
                <w:bCs w:val="1"/>
                <w:color w:val="auto"/>
                <w:w w:val="96"/>
                <w:vertAlign w:val="superscript"/>
              </w:rPr>
              <w:t>(1)</w:t>
            </w: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7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 $10,000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Salvatore Giannetti III</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 Whitridge Williams, Jr.</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Jose A. Briones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r>
        <w:trPr>
          <w:trHeight w:val="358"/>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 of officer</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54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Guy F. Talarico</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our Board of Directors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Stockholders with questions about us are encouraged to contact our Investor Relations Department at 590 Madison Avenue, 15th Floor, New York, New York 10022 or by visiting the investor relations web page on our website at www.pennantpark.com. However, if stockholders believe that their questions have not been addressed, they may communicate with our board of directors by sending their communications to: Thomas Friedmann, Secretary, c/o PennantPark Floating Rate Capital Ltd., 590 Madison Avenue, 15th Floor, New York, New York 10022. All stockholder communications received in this manner will be delivered to one or more members of our board of directors.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Immediately prior to the completion of this offering, there will be 667 shares of common stock outstanding and one stockholder of record. At that time, we will have no other shares of capital stock outstanding. The following table sets out certain ownership information with respect to our common stock for those persons who directly or indirectly own, control or hold with the power to vote 5% or more of our outstanding common stock and all officers and directors as a group.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Immediately Prior to</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Immediately After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Type of</w:t>
            </w:r>
          </w:p>
        </w:tc>
        <w:tc>
          <w:tcPr>
            <w:tcW w:w="420" w:type="dxa"/>
            <w:vAlign w:val="bottom"/>
          </w:tcPr>
          <w:p>
            <w:pPr>
              <w:spacing w:after="0"/>
              <w:rPr>
                <w:sz w:val="15"/>
                <w:szCs w:val="15"/>
                <w:color w:val="auto"/>
              </w:rPr>
            </w:pPr>
          </w:p>
        </w:tc>
        <w:tc>
          <w:tcPr>
            <w:tcW w:w="188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87"/>
              </w:rPr>
              <w:t>This Offering</w:t>
            </w:r>
          </w:p>
        </w:tc>
        <w:tc>
          <w:tcPr>
            <w:tcW w:w="1720" w:type="dxa"/>
            <w:vAlign w:val="bottom"/>
            <w:gridSpan w:val="4"/>
          </w:tcPr>
          <w:p>
            <w:pPr>
              <w:jc w:val="center"/>
              <w:ind w:right="100"/>
              <w:spacing w:after="0" w:line="176" w:lineRule="exact"/>
              <w:rPr>
                <w:sz w:val="20"/>
                <w:szCs w:val="20"/>
                <w:color w:val="auto"/>
              </w:rPr>
            </w:pPr>
            <w:r>
              <w:rPr>
                <w:rFonts w:ascii="Arial" w:cs="Arial" w:eastAsia="Arial" w:hAnsi="Arial"/>
                <w:sz w:val="13"/>
                <w:szCs w:val="13"/>
                <w:b w:val="1"/>
                <w:bCs w:val="1"/>
                <w:color w:val="auto"/>
                <w:w w:val="92"/>
              </w:rPr>
              <w:t>This Offering</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Ownership</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Percentage</w:t>
            </w: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Owned</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Investment Advisers LLC</w:t>
            </w:r>
            <w:r>
              <w:rPr>
                <w:rFonts w:ascii="Arial" w:cs="Arial" w:eastAsia="Arial" w:hAnsi="Arial"/>
                <w:sz w:val="11"/>
                <w:szCs w:val="11"/>
                <w:color w:val="auto"/>
              </w:rPr>
              <w:t>(2)</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Direct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Indirect</w:t>
            </w:r>
          </w:p>
        </w:tc>
        <w:tc>
          <w:tcPr>
            <w:tcW w:w="420" w:type="dxa"/>
            <w:vAlign w:val="bottom"/>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w:t>
            </w:r>
            <w:r>
              <w:rPr>
                <w:rFonts w:ascii="Arial" w:cs="Arial" w:eastAsia="Arial" w:hAnsi="Arial"/>
                <w:sz w:val="11"/>
                <w:szCs w:val="11"/>
                <w:color w:val="auto"/>
              </w:rPr>
              <w:t>(4)</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Indirect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reflect shares of common stock reserved for issuance upon exercise of the underwriters’ overallotment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address for PennantPark Investment Advisers LLC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beneficially own the 667 shares owned by PennantPark Investment Advisers LLC.</w:t>
      </w: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address for all officers and directors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sz w:val="20"/>
          <w:szCs w:val="20"/>
          <w:color w:val="auto"/>
        </w:rPr>
      </w:pPr>
    </w:p>
    <w:p>
      <w:pPr>
        <w:ind w:left="460" w:hanging="408"/>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we expect will be beneficially owned by each of our Directors immediately after this offering.</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20" w:type="dxa"/>
            <w:vAlign w:val="bottom"/>
            <w:gridSpan w:val="2"/>
          </w:tcPr>
          <w:p>
            <w:pPr>
              <w:ind w:left="780"/>
              <w:spacing w:after="0"/>
              <w:rPr>
                <w:sz w:val="20"/>
                <w:szCs w:val="20"/>
                <w:color w:val="auto"/>
              </w:rPr>
            </w:pPr>
            <w:r>
              <w:rPr>
                <w:rFonts w:ascii="Arial" w:cs="Arial" w:eastAsia="Arial" w:hAnsi="Arial"/>
                <w:sz w:val="14"/>
                <w:szCs w:val="14"/>
                <w:b w:val="1"/>
                <w:bCs w:val="1"/>
                <w:color w:val="auto"/>
              </w:rPr>
              <w:t>Dollar Range of Equity</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 of Director</w:t>
            </w:r>
          </w:p>
        </w:tc>
        <w:tc>
          <w:tcPr>
            <w:tcW w:w="4560" w:type="dxa"/>
            <w:vAlign w:val="bottom"/>
            <w:gridSpan w:val="3"/>
          </w:tcPr>
          <w:p>
            <w:pPr>
              <w:jc w:val="right"/>
              <w:ind w:right="120"/>
              <w:spacing w:after="0" w:line="176" w:lineRule="exact"/>
              <w:rPr>
                <w:sz w:val="20"/>
                <w:szCs w:val="20"/>
                <w:color w:val="auto"/>
              </w:rPr>
            </w:pPr>
            <w:r>
              <w:rPr>
                <w:rFonts w:ascii="Arial" w:cs="Arial" w:eastAsia="Arial" w:hAnsi="Arial"/>
                <w:sz w:val="13"/>
                <w:szCs w:val="13"/>
                <w:b w:val="1"/>
                <w:bCs w:val="1"/>
                <w:color w:val="auto"/>
              </w:rPr>
              <w:t>Securities in PennantPark Floating Rate Capital</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5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1540" w:type="dxa"/>
            <w:vAlign w:val="bottom"/>
          </w:tcPr>
          <w:p>
            <w:pPr>
              <w:spacing w:after="0"/>
              <w:rPr>
                <w:sz w:val="19"/>
                <w:szCs w:val="19"/>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$1 – $10,000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5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540" w:type="dxa"/>
            <w:vAlign w:val="bottom"/>
          </w:tcPr>
          <w:p>
            <w:pPr>
              <w:spacing w:after="0"/>
              <w:rPr>
                <w:sz w:val="18"/>
                <w:szCs w:val="18"/>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5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540" w:type="dxa"/>
            <w:vAlign w:val="bottom"/>
          </w:tcPr>
          <w:p>
            <w:pPr>
              <w:spacing w:after="0"/>
              <w:rPr>
                <w:sz w:val="18"/>
                <w:szCs w:val="18"/>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5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3520" w:hanging="5612"/>
        <w:spacing w:after="0" w:line="440" w:lineRule="auto"/>
        <w:tabs>
          <w:tab w:leader="none" w:pos="4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 75</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We will enter into the Investment Management Agreement with the Investment Adviser under which the Investment Adviser, subject to the overall supervision of our board of directors, will manage the day-to-day operations of and provides investment advisory services to us. Under the terms of the Investment Management Agreement, the Investment Adviser will:</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we will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close and monitor the investments we will make.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Investment Adviser’s services under the Investment Management Agreement are not exclusive, and it is free to furnish similar services, without the prior approval of our stockholders or our board of directors, to other entities so long as its services to us are not impaired. Our board of directors will monitor any potential conflicts that may arise upon such a development. For providing these services, the Investment Adviser will receive a fee from us, consisting of two components—a base management fee and an incentive fee, which we refer to collectively as the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Investment Management Agreement, we will agree to pay PennantPark Investment Advisers a fee for investment advisory and management services consisting of two components—a base management fee and an incentive fee.</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base management fee will be calculated at an annual rate of 1.00% of our gross assets. 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For services rendered under the Investment Management Agreement, the base management fee will be payable quarterly in arrears. The base management fee will be calculated based on the average value of our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incentive fee will have two parts, as follows: one part will be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will be compared to a hurdle of 1.75% per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quarter (7.00% annualized). Our net investment income used to calculate this part of the incentive fee is also included in the amount of our gross assets used to calculate the 1.00% base management fee. We will pay PennantPark Investment Advisers an incentive fee with respect to our Pre-Incentive Fee Net Investment Income in each calendar quarter as follows:</w:t>
      </w:r>
    </w:p>
    <w:p>
      <w:pPr>
        <w:spacing w:after="0" w:line="59"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 of our Pre-Incentive Fee Net Investment Income with respect to that portion of such Pre-Incentive Fee Net Investment Income, if any, that exceeds the hurdle but is less than 2.9167% in any calendar quarter (11.67% annualized). We refer to this portion of our Pre-Incentive Fee Net Investment Income (which exceeds the hurdle but is less than 2.9167%) as the “catch-up.” The “catch-up” is meant to provide the Investment Adviser with approximately 20% of our Pre-Incentive Fee Net Investment Income as if a hurdle did not apply if this net investment income exceeds 2.9167% in any calendar quarter; and</w:t>
      </w:r>
    </w:p>
    <w:p>
      <w:pPr>
        <w:spacing w:after="0" w:line="61"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2.9167% in any calendar quarter (11.67% annualized) will be payable to PennantPark Investment Advisers (once the hurdle is reached and the catch-up is achieved, 20% of all Pre-Incentive Fee Investment Income thereafter is allocated to PennantPark Investment Advisers).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109855</wp:posOffset>
            </wp:positionV>
            <wp:extent cx="2924175" cy="514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241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allocated to PennantPark Investment Advisers</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net unrealized capital depreciation on a cumulative basis, less the aggregate amount of any previously paid capital gain incentive fees with respect to each of the investments in our portfolio,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0.80%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Pre-Incentive Fee Net Investment Income, subject to the “catch-up”</w:t>
      </w:r>
      <w:r>
        <w:rPr>
          <w:rFonts w:ascii="Arial" w:cs="Arial" w:eastAsia="Arial" w:hAnsi="Arial"/>
          <w:sz w:val="11"/>
          <w:szCs w:val="11"/>
          <w:color w:val="auto"/>
        </w:rPr>
        <w:t>(4)</w:t>
      </w:r>
    </w:p>
    <w:p>
      <w:pPr>
        <w:spacing w:after="0" w:line="84" w:lineRule="exact"/>
        <w:rPr>
          <w:sz w:val="20"/>
          <w:szCs w:val="20"/>
          <w:color w:val="auto"/>
        </w:rPr>
      </w:pPr>
    </w:p>
    <w:p>
      <w:pPr>
        <w:ind w:left="2040" w:hanging="151"/>
        <w:spacing w:after="0"/>
        <w:tabs>
          <w:tab w:leader="none" w:pos="2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50% × (2.25% – 1.75%)</w:t>
      </w:r>
    </w:p>
    <w:p>
      <w:pPr>
        <w:spacing w:after="0" w:line="15" w:lineRule="exact"/>
        <w:rPr>
          <w:rFonts w:ascii="Arial" w:cs="Arial" w:eastAsia="Arial" w:hAnsi="Arial"/>
          <w:sz w:val="18"/>
          <w:szCs w:val="18"/>
          <w:color w:val="auto"/>
        </w:rPr>
      </w:pPr>
    </w:p>
    <w:p>
      <w:pPr>
        <w:ind w:left="2040" w:hanging="151"/>
        <w:spacing w:after="0"/>
        <w:tabs>
          <w:tab w:leader="none" w:pos="2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3.55%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20% × Pre-Incentive Fee Net Investment Income, subject to “catch-up”</w:t>
      </w:r>
      <w:r>
        <w:rPr>
          <w:rFonts w:ascii="Arial" w:cs="Arial" w:eastAsia="Arial" w:hAnsi="Arial"/>
          <w:sz w:val="11"/>
          <w:szCs w:val="11"/>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“catch-up” + (20% × (Pre-Incentive Fee Net Investment Income – 2.9167%))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2.9167% – 1.75%</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1.1667%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1.1667%) + (20% × (3.55% – 2.9167%))</w:t>
      </w:r>
    </w:p>
    <w:p>
      <w:pPr>
        <w:spacing w:after="0" w:line="9" w:lineRule="exact"/>
        <w:rPr>
          <w:sz w:val="20"/>
          <w:szCs w:val="20"/>
          <w:color w:val="auto"/>
        </w:rPr>
      </w:pPr>
    </w:p>
    <w:p>
      <w:pPr>
        <w:ind w:left="2040" w:hanging="151"/>
        <w:spacing w:after="0"/>
        <w:tabs>
          <w:tab w:leader="none" w:pos="2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0.58334% + (20% × 0.6333%)</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0.58334% + 0.12667%</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0.71001%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1.00%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240" w:top="459" w:right="5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Year 1: $20 million investment made in Company A (“Investment A”), and $30 million investment made in Company B (“Investment B”)</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2: $6 million capital gains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$30 million realized capital gains on sale of Investment A multiplied by 20%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$6.2 million cumulative fee ($31 million cumulative realized capital gains multiplied by 20%) less $6 million (previous capital gains fee paid in Year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5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4: FMV of Investment B determined to be $35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920" w:right="660"/>
        <w:spacing w:after="0" w:line="268"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118" w:lineRule="exact"/>
        <w:rPr>
          <w:sz w:val="20"/>
          <w:szCs w:val="20"/>
          <w:color w:val="auto"/>
        </w:rPr>
      </w:pPr>
    </w:p>
    <w:p>
      <w:pPr>
        <w:ind w:left="460" w:right="100" w:hanging="452"/>
        <w:spacing w:after="0" w:line="235" w:lineRule="auto"/>
        <w:tabs>
          <w:tab w:leader="none" w:pos="46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As illustrated in Year 3 of Alternative 1 above, if PennantPark Floating Rate Capital were to be wound up on a date other than December 31 of any year, PennantPark Floating Rate Capital may have paid aggregate capital gain incentive fees that are more than the amount of such fees that would be payable if PennantPark Floating Rate Capital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 million cumulative fee (20% multiplied by $25 million ($35 million cumulative realized capital gains less $10 million realized capital losses))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less $6.4 million (previous cumulative capital gains fee paid in Year 2 and Year 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us, on March 10, 2011 and is scheduled to be executed on the date of this prospectus. Unless terminated earlier as described below, the Investment Management Agreement 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will furnish us with office facilities, equipment and clerical, bookkeeping and record keeping services at such facilities. Under the Administration Agreement, the Administrator will perform,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will assist us in determining and publishing our net asset value, oversee the preparation 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the Administrator’s overhead in performing its obligations under the Administration Agreement, including rent and our allocable portion of the cost of compensation and related expenses of our Chief Compliance Officer and Chief Financial Officer and their respective staffs. Under the Administration Agreement, the Administrator will offer, on our behalf, managerial assistance to those portfolio companies to which we are required to offer such assistance. To the extent that the Administrator outsources any of its functions, we will pay the fees associated with such functions on a direct basis without profit to the Administrator.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Administration Agreement was approved by our board of directors, including a majority of our directors who are not interested persons of PennantPark Investment, on March 10, 2011 and is scheduled to be executed on the date of this prospectus. Unless terminated earlier as described below, the Administration Agreement will continue in effect for a period of two years from its execution date. It will remain in effect if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approved annually by our board of directors, including approval by a majority of our directors who are not interested persons. The Administration Agreement may not be assigned by either party without the consent of the other party. The Administration Agreement may be terminated by either party without penalty upon 60 days’ written notice to the other.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the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entered into a license agreement with PennantPark Investment Advisers pursuant to which PennantPark Investment Advisers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 advance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Investment Adviser has agreed to pay to the underwriters 2% of the sales load, or $3,000,000 ($3,450,000 if the underwriters exercise their overallotment option in full) in the aggregate, with respect to this offering of shares of our common stock. We (and indirectly our stockholders) will be obligated to repay this amount (a) if during any four consecutive calendar quarter-periods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6, 2014, we will not be obligated to repay this amount. We will repay such amount to the Investment Adviser in cash, and the Investment Adviser has agreed to use such payment to purchase shares of our common stock in the secondary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investments will generally consist of illiquid securities including Floating Rate Loans and, to a lesser extent equity investments in middle-market companies. The net asset value per share of our outstanding shares of common stock will be determined quarterly by dividing the value of total assets minus liabilities by the total number of shares outstanding.</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investments of middle-market companies. All of our investments will be recorded using broker/dealers quotes or using fair value as determined in good faith by our board of directors in consultation with our independent third party valuation firms. Our board of directors will generally use market quotations to assess the value of our investments for which market quotations are readily available. We will obtain these market values from an independent pricing service or at the bid prices, if available, obtained from at least two broker/dealers, or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Debt and equity investments that are not publicly traded or whose market prices are not readily available will be valued at fair value as determined in good faith by or under the direction of our board of directors. Such determination of fair values will involve subjective judgments and estimates. Investments, of sufficient credit quality, purchased within 60 days of maturity will be valued at cost plus accreted discount, or minus amortized premium, which approximates value. With respect to unquoted securities, our board of directors, in consultation with independent third party valuation firms, will value each investment considering, among other measures, discounted cash flow models, comparisons of financial ratios of peer companies that are public and other factors.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our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net asset value and our board of directors decides that such an offering is in the best interest of our common stockholders, we may undertake such an offering.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our board of directors or a committee thereof will elect, in the case of clause (i) above, either to postpone the offering until such time that there is no longer the possibility of the occurrence of such event or to undertake to determine our net asset value within two days prior to any such sale to ensure that such sale will not be below our then current net asset value, and, in the case of clause (ii) above, to comply with such undertaking or to undertake to determine our net asset value to ensure that such undertaking has not been triggered.</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our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80"/>
          </w:cols>
          <w:pgMar w:left="24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dividend distributions on behalf of stockholders, unless a stockholder elects to receive cash as provided below. As a result, if our board of directors authorizes, and we declare, a cash dividend, then stockholders who have not “opted out” of the dividend reinvestment plan will have their cash dividends automatically reinvested in additional shares of common stock, rather than receiving the cash dividends.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No action is required on the part of a registered stockholder to have the stockholder’s cash dividend reinvested in shares of common stock. A registered stockholder may elect to receive a dividend in cash by notifying American Stock Transfer and Trust Company, the plan administrator and transfer agent and registrar, in writing so that the notice is received by the plan administrator no later than the record date for distribution to stockholders. The plan administrator will set up an account for shares acquired through the plan for each stockholder who has not elected to receive dividends in cash.</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in cash by notifying their broker or other financial intermediary of their election.</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Generally, we intend to issue new shares to implement the plan, subject to the provisions of the 1940 Act. We reserve the right to purchase shares in the open market in connection with the implementation of the plan. The number of shares to be issued to a stockholders will be determined by dividing the total dollar amount of the dividend payable to the stockholder by the market price per share of common stock at the close of regular trading on NASDAQ Global Select Market on the valuation date for such distribution. Market price per share on that date will be the closing price for the shares on NASDAQ Global Select Market or, if no sale is reported for such day, at the average of the reported bid and asked prices. The number of shares of common stock to be outstanding after giving effect to payment of the dividend cannot be established until the value per share at which additional shares will be issued has been determined and elections of stockholders have been tabulated.</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Except as described below, the plan administrator’s fees under the plan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Stockholders who receive dividends in the form of stock are subject to the same federal, state and local tax consequences as are stockholders who elect to receive their dividends in cash. A stockholder’s basis for determining gain or loss upon the sale of stock received in a dividend will be equal to the total dollar amount of the distribution payable to the stockholder. Any stock received in a dividend will have a new holding period for tax purposes commencing on the day following the day on which the shares are credited to the U.S. stockholder’s account.</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or by filling out the transaction request form located at the bottom of their statement and sending it to the plan administrator.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28, 2011 our authorized capital stock consisted of 100,000,000 shares of stock, par value $0.001 per share, all of which were classified as common stock. Our common stock has been approved for listing on the NASDAQ Global Select Market under the ticker symbol “PFLT”. On that date there were no outstanding options or warrants to purchase our capital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28, 2011, we had 1 stockholder of record.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March 28,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Amount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1"/>
              </w:rPr>
              <w:t>Shares</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Amount of</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Held by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Shares</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Us for Our</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Outstanding as of</w:t>
            </w:r>
          </w:p>
        </w:tc>
      </w:tr>
      <w:tr>
        <w:trPr>
          <w:trHeight w:val="16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40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6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28, 2011</w:t>
            </w:r>
          </w:p>
        </w:tc>
        <w:tc>
          <w:tcPr>
            <w:tcW w:w="100" w:type="dxa"/>
            <w:vAlign w:val="bottom"/>
          </w:tcPr>
          <w:p>
            <w:pPr>
              <w:spacing w:after="0"/>
              <w:rPr>
                <w:sz w:val="14"/>
                <w:szCs w:val="14"/>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100,000,000 Shares</w:t>
            </w:r>
          </w:p>
        </w:tc>
        <w:tc>
          <w:tcPr>
            <w:tcW w:w="1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667 Shares</w:t>
            </w:r>
          </w:p>
        </w:tc>
      </w:tr>
    </w:tbl>
    <w:p>
      <w:pPr>
        <w:spacing w:after="0" w:line="15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our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for payment.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(1) actual receipt of an improper benefit or profit in money, property or services or (2)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directors’ and officers’ rights to indemnification and advancement of expenses provided by our charter and bylaws vest immediately upon election of a director or officer.</w:t>
      </w:r>
    </w:p>
    <w:p>
      <w:pPr>
        <w:spacing w:after="0" w:line="12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such corporation and (b) a written undertaking by him or her or on his or her behalf to repay the amount paid or reimbursed by such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the negotiation of such proposals may improve their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in 2012, 2013 and 2014, respectively, and in each case,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those directors will serve until their successors are duly elected and qualified.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qualified.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charter provides that the number of directors will be set only by our board of directors in accordance with our bylaws. Our bylaws provide that a majority of our entire board of directors may at any time increase or decrease the number of directors. However, unless our bylaws are amended, the number of directors may never be less than the minimum number required by the Maryland General Corporation Law nor more than fifteen. We have elected to be subject to the provision of Subtitle 8 of Title 3 of the Maryland General Corporation Law regarding the filling of vacancies on our board of directors. Accordingly, at such time as we have three independent directors and our common stock is registered under the Exchange Act,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Our charter provides that a director may be removed only for cause, as defined in our charter, and then only by the affirmative vote of at least two-thirds of the votes entitled to be cast in the election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the chairman of the board, president or chief executive officer.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of at least two-thirds of the votes entitled to be cast on the matter. However, a Maryland corporation may provide in its charter for approval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matters by a lesser percentage, but not less than a majority of all of the votes entitled to be cast on the matter. Our charter generally provides for approval of charter amendments and extraordinary transactions by the stockholders of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of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our board of directors. Our charter and bylaws provide that our board of directors will have the exclusive power to adopt, alter or repeal any provision of our bylaws and to make new bylaws.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holders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our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After the five-year prohibition, any such business combination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provides various exemptions from its provisions, including for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our board of directors, including a majority of the directors who are not interested persons as defined in the 1940 Act. This resolution, however, may be altered or repealed in whole or in part at any time. If this resolution is repealed, or our board of directors does not otherwise approve a business combination, the statute may discourage others from trying to acquire control of us and increase the difficulty of consummating any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bylaws will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elected to be treated as a business development company under the 1940 Act, and we intend to elect to be treated, and intend to qualify annually, as a RIC under Subchapter M of the Code, commencing with our first taxable year ending after completion of this offering.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40" w:hanging="446"/>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9" w:lineRule="exact"/>
        <w:rPr>
          <w:rFonts w:ascii="Arial" w:cs="Arial" w:eastAsia="Arial" w:hAnsi="Arial"/>
          <w:sz w:val="18"/>
          <w:szCs w:val="18"/>
          <w:color w:val="auto"/>
        </w:rPr>
      </w:pPr>
    </w:p>
    <w:p>
      <w:pPr>
        <w:ind w:left="1480" w:right="520" w:hanging="567"/>
        <w:spacing w:after="0" w:line="259"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reorganization or if the issuer, immediately prior to the purchase of its securities was unable to meet its obligations as they came due without material assistance other than conventional lending or financing arrangements.</w:t>
      </w:r>
    </w:p>
    <w:p>
      <w:pPr>
        <w:spacing w:after="0" w:line="51" w:lineRule="exact"/>
        <w:rPr>
          <w:sz w:val="20"/>
          <w:szCs w:val="20"/>
          <w:color w:val="auto"/>
        </w:rPr>
      </w:pPr>
    </w:p>
    <w:p>
      <w:pPr>
        <w:ind w:left="900" w:right="16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business development company, we are required to make available managerial assistance to our portfolio companies that constitute a qualifying asset within the meaning of Section 55 of the 1940 Act.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 The Administrator may provide such assistance on our behalf to portfolio companies that request such assistance.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investment grade debt securities maturing in one year or less from the time of investment, which we refer to, collectively, as temporary investments, so that 70% of our assets are qualifying assets. The income we earn on such temporary investments will generally be significantly less than what we would expect to receive from investments in the types of Floating Rate Loans we intend to target for investment.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The Investment Adviser will monitor the creditworthiness of the counterparties with which we enter into repurchase agreement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See “Risk Factors—Risks relating to our business and structure—Regulations governing our operation as a business development company will affect our ability to, and the way in which we, raise additional capital”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jc w:val="both"/>
        <w:ind w:right="320" w:firstLine="456"/>
        <w:spacing w:after="0" w:line="323" w:lineRule="auto"/>
        <w:rPr>
          <w:sz w:val="20"/>
          <w:szCs w:val="20"/>
          <w:color w:val="auto"/>
        </w:rPr>
      </w:pPr>
      <w:r>
        <w:rPr>
          <w:rFonts w:ascii="Arial" w:cs="Arial" w:eastAsia="Arial" w:hAnsi="Arial"/>
          <w:sz w:val="15"/>
          <w:szCs w:val="15"/>
          <w:color w:val="auto"/>
        </w:rPr>
        <w:t>Our board of directors has adopted a code of ethics pursuant to Rule 17j-1 under the 1940 Act and has also approved the Investment Adviser’s code of ethics that was adopted by it in accordance with Rule 17j-1 and Rule 204A-1 under the Advisers Act. These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98"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Our board of directors has also adopted a code of conduct pursuant to the Sarbanes-Oxley Act and the NASDAQ listing standards. The code of conduct establishes procedures for the purpose of promoting honest and ethical conduct and compliance with applicable laws and governmental rules and regulations.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codes of ethics and conduct will be available for viewing and copying at the SEC’s Public Reference Room in Washington, D.C. Information about the SEC’s Public Reference Room may be obtained by calling the SEC at 1-800-SEC-0330. In the future, the codes of ethics and conduct also may be available on the EDGAR Database on the SEC’s website,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or be obtained, after paying a duplicating fee, by electronic request to </w:t>
      </w:r>
      <w:r>
        <w:rPr>
          <w:rFonts w:ascii="Arial" w:cs="Arial" w:eastAsia="Arial" w:hAnsi="Arial"/>
          <w:sz w:val="16"/>
          <w:szCs w:val="16"/>
          <w:i w:val="1"/>
          <w:iCs w:val="1"/>
          <w:color w:val="auto"/>
        </w:rPr>
        <w:t>publicinfo@sec.gov</w:t>
      </w:r>
      <w:r>
        <w:rPr>
          <w:rFonts w:ascii="Arial" w:cs="Arial" w:eastAsia="Arial" w:hAnsi="Arial"/>
          <w:sz w:val="16"/>
          <w:szCs w:val="16"/>
          <w:color w:val="auto"/>
        </w:rPr>
        <w:t>, or by writing to: SEC’s Public Reference Section, 100 F Street, N.E., Washington, D.C. 20549-0102.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delegated our proxy voting responsibility to the Investment Adviser. The Proxy Voting Policies and Procedures of the Investment Adviser are set forth below. The guidelines are reviewed periodically by the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the investments our clients.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15th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the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In addition, the privacy policy will be available on the EDGAR Database on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the future as an exhibit to the registration statement of which this prospectus forms a part. In the future,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Floating Rate Capital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1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consolidated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will generally acquire and dispose of our investments in privately negotiated transactions, we will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PennantPark Floating Rate Capital,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will generally seek reasonably competitive trade execution costs, PennantPark Floating Rate Capital will not necessarily pay the lowest spread or commission available. Subject to applicable legal requirements, the Investment Adviser may select a broker based partly upon brokerage or research services provided to the Investment Adviser and PennantPark Floating Rate Capital and any other clients. In return for such services, we may pay a higher commission than other brokers would charge if the Investment Adviser determines in good faith that such commission is reasonable in relation to the services provided.</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Securities may be held by, or be appropriate investments for, us as well as other funds or investment advisory clients of the Investment Adviser or its affiliates. Because of different investment objectives or other factors, a particular security may be bought for one or more clients of the Investment Adviser or its affiliates when one or more clients of the Investment Adviser or its affiliates are selling the same security. If purchases or sales of securities arise for consideration at or about the same time that would involve us or other clients or funds for which the Investment Adviser or its affiliates act as investment advisers, transactions in such securities will be made, insofar as feasible, for the respective funds and clients in a manner deemed equitable to all. To the extent that transactions on behalf of more than one client of the Investment Adviser or its affiliates during the same period may increase the demand for securities being purchased or the supply of securities being sold, there may be an adverse effect on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our common stock.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the activities of the partnership and certain determinations made at the partnership level. A prospective stockholder that is a partnership and a partner in such partnership should consult their tax advisors with respect to the purchase, ownership and disposition of shares of our common stock.</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intend to elect to be treated, and intend to qualify annually, as a RIC under Subchapter M of the Code, commencing with our first taxable year ending after completion of this offering. To qualify and maintain RIC tax benefits, we must, among other requirements, meet certain source-of-income and quarterly asset diversification requirements (as described below). We also must annually distribute dividends of at least 90% of the sum of our ordinary income plus realized net short-term capital gains in excess of realized net long-term capital losses out of the assets legally available for distribution (the “Annual Distribution Requirement”). Although not required for us to maintain our RIC tax status, in order to preclude the imposition of a 4% nondeductible federal excise tax imposed on RICs, we currently intend to distribute during each calendar year an amount at least equal to the sum of (1) 98% of our ordinary income for the calendar year,</w:t>
      </w:r>
    </w:p>
    <w:p>
      <w:pPr>
        <w:spacing w:after="0" w:line="1" w:lineRule="exact"/>
        <w:rPr>
          <w:sz w:val="20"/>
          <w:szCs w:val="20"/>
          <w:color w:val="auto"/>
        </w:rPr>
      </w:pPr>
    </w:p>
    <w:p>
      <w:pPr>
        <w:ind w:right="20" w:firstLine="8"/>
        <w:spacing w:after="0" w:line="261"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(the “Excise Tax Avoidance Requirement”).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 we currently intend to distribute realized net capital gains (i.e., net long-term capital gains in excess of short-term capital losses), if any, at least annually, out of the assets legally available for such distributions.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diversify our holdings so that at the end of each quarter of the taxable year:</w:t>
      </w:r>
    </w:p>
    <w:p>
      <w:pPr>
        <w:spacing w:after="0" w:line="90" w:lineRule="exact"/>
        <w:rPr>
          <w:sz w:val="20"/>
          <w:szCs w:val="20"/>
          <w:color w:val="auto"/>
        </w:rPr>
      </w:pPr>
    </w:p>
    <w:p>
      <w:pPr>
        <w:ind w:left="900" w:right="10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left="5620" w:right="5360" w:hanging="5612"/>
        <w:spacing w:after="0" w:line="517" w:lineRule="auto"/>
        <w:tabs>
          <w:tab w:leader="none" w:pos="25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Taxable stockholders receiving such dividends will be required to include the full amount of the dividend as ordinary income (or as long-term capital gain to the extent such distribution is properly designated as a capital gain dividend) to the extent of our current and accumulated earnings and profits. In situations where this revenue procedure is not applicable, the IRS has also issued private letter rulings on cash/stock dividends paid by RICs and real estate investment trusts using a 20% cash standard (instead of the 10% cash standard of the revenue procedure) if certain requirements are satisfied.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sale. We currently do not intend to distribute stock as a dividend but reserve the right to do so.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satisfy the 90% Income Test or the Diversification Tests for any taxable year or quarter of such taxable year, we may nevertheless continue to qualify as a RIC for such year if certain relief provisions of the Code apply (which may, among other things, require us to pay certain corporate-level federal taxes or to dispose of certain assets). If we fail to qualify for treatment as a RIC in any taxable year and such relief provisions do not apply to us,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are unable to obtain and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dividends to the extent of our current and accumulated earnings and profits, and, subject to certain limitations under the Code, distributions made in taxable years beginning before January 1, 2013 would be eligible for the 15% maximum rate applicable to non-corporate U.S. stockholders.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1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To requalify as a RIC in a subsequent taxable year, we would be required to satisfy the RIC qualification requirements of the Code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unless we made a special election to pay corporate-level tax on such built-in gain at the time of our requalification as a RIC.</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reported by us as “capital gain distributions” in written statements furnished to our stockholders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dividend reinvestment plan, if a U.S. stockholder owns shares of our common stock registered in the U.S. stockholder’s own name, the U.S. stockholder will have all cash distributions automatically reinvested in additional shares of our common stock unless the U.S. stockholder opts out of the dividend reinvestment plan by delivering a written notice to the plan administrator so that the plan administrator receives the notice not less than 10 days prior to the record date of the next dividend or distribution. See “Dividend Reinvestment Plan”. Any distributions reinvested under the plan will nevertheless remain taxable to the U.S. stockholder. The U.S. stockholder will have an adjusted tax basis in the additional shares of our common stock purchased through the plan equal to the amount of the reinvested distribution. The additional shares will have a new holding period commencing on the day following the day on which the shares are credited to the U.S. stockholder’s account.</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 For taxable years beginning after December 31, 2012, individuals with income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U.S. stockholders should consult their own tax advisors concerning the imposition of this tax.</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applicable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except as provided below, to be subject to withholding of federal tax at a 30% rate (or lower rate provided by an applicable treaty) to the extent of our current and accumulated earnings and profits. If the distributions are effectively connected with a U.S. trade or business of the Non-U.S. stockholder, and, if an income tax treaty applies, attributable to a permanent establishment of the Non-U.S. stockholder in the United States,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However, dividends with respect to any taxable year beginning on or before December 31, 2011 will not be subject to withholding of federal income tax to the extent the dividends are reported by us as ‘‘interest-related dividends’’ or ‘‘short-term capital gain dividends’’ in written statements furnished to our stockholders. Under this exemption, interest-related dividends and short-term capital gain dividends generally represent distributions of interest or short-term capital gains that would not have been subject to withholding of federal income tax at the source if they had been received directly by a non-U.S. person, and that satisfy certain other requirements. No assurance can be given as to whether any of our distributions will be eligible for this exemption from withholding tax or, if eligible, will be reported as such by us. In addition, no assurance can be given as to whether this exemption will be extended for taxable years after 2011.</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Except as provided below, actual or deemed distributions of our net long-term capital gains to a Non-U.S. stockholder, and gains realized by a Non-U.S. stockholder upon the sale of our common stock, will not be subject to federal income or withholding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the Non-U.S. stockholder is an individual who is present for more than 182 days in the United States and meets certain other conditions.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w:t>
      </w:r>
    </w:p>
    <w:p>
      <w:pPr>
        <w:spacing w:after="0" w:line="3" w:lineRule="exact"/>
        <w:rPr>
          <w:sz w:val="20"/>
          <w:szCs w:val="20"/>
          <w:color w:val="auto"/>
        </w:rPr>
      </w:pPr>
    </w:p>
    <w:p>
      <w:pPr>
        <w:ind w:right="280" w:firstLine="8"/>
        <w:spacing w:after="0" w:line="302" w:lineRule="auto"/>
        <w:tabs>
          <w:tab w:leader="none" w:pos="2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certifies to us that such entity does not have any “substantial United States owners” or (ii) provides certain information regarding the entity’s “substantial United States owners,” which we will in turn provide to the Secretary of the Treasury. Non-U.S. stockholders are encouraged to consult with their tax advisers regarding the possible implications of these requirements on their investment in our common stock.</w:t>
      </w:r>
    </w:p>
    <w:p>
      <w:pPr>
        <w:spacing w:after="0" w:line="10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dividend reinvestment plan, if a Non-U.S. stockholder owns shares of our common stock registered in the non-U.S. shareholder’s own name, the Non-U.S. shareholder will have all cash distributions automatically reinvested in additional shares of our common stock unless it opts out of the dividend reinvestment plan by delivering a written notice to the plan administrator so that the plan administrator receives the notice not less than 10 days prior to the record date of the next dividend or distribution. See “Dividend Reinvestment Plan”. If the distribution is a distribution of our investment company taxable income, is not designated by us as a short-term capital gain dividend or interest-related dividend, if applicable, and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federal income tax at a 30% rate (or lower rate provided by an applicable income tax treaty) and only the net after-tax amount will be reinvested in our common stock. If the distribution is effectively connected with a U.S. trade or business of the Non-U.S. stockholder (and, if required by an applicable income tax treaty, is attributable to a U.S. permanent establishment), the full amount of the distribution generally will be reinvested in our common stock and will nevertheless be subject to federal income tax at the ordinary income rates applicable to U.S. persons. The Non-U.S. stockholder will have an adjusted tax basis in the additional shares of our common stock equal to the amount of the reinvested distribution. The additional shares will have a new holding period commencing on the day following the day on which the shares are credited to the Non-U.S. stockholder’s account.</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and subject to the conditions contained in the underwriting agreement dated the date of this prospectus, the underwriters named below, for whom Morgan Stanley &amp; Co. Incorporated, SunTrust Robinson Humphrey, Inc. and UBS Securities LLC are acting as representatives and as joint book-running managers of this offering, have severally agreed to purchase, and we have agreed to sell to them, severally, the number of shares of common stock indicated below:</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Houlihan Lokey Capital, Inc.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our common stock offered by this prospectus are subject to the approval of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public offering price listed on the cover page of</w:t>
      </w:r>
    </w:p>
    <w:p>
      <w:pPr>
        <w:spacing w:after="0" w:line="38" w:lineRule="exact"/>
        <w:rPr>
          <w:sz w:val="20"/>
          <w:szCs w:val="20"/>
          <w:color w:val="auto"/>
        </w:rPr>
      </w:pPr>
    </w:p>
    <w:p>
      <w:pPr>
        <w:spacing w:after="0"/>
        <w:tabs>
          <w:tab w:leader="none" w:pos="7240" w:val="left"/>
        </w:tabs>
        <w:rPr>
          <w:sz w:val="20"/>
          <w:szCs w:val="20"/>
          <w:color w:val="auto"/>
        </w:rPr>
      </w:pPr>
      <w:r>
        <w:rPr>
          <w:rFonts w:ascii="Arial" w:cs="Arial" w:eastAsia="Arial" w:hAnsi="Arial"/>
          <w:sz w:val="18"/>
          <w:szCs w:val="18"/>
          <w:color w:val="auto"/>
        </w:rPr>
        <w:t>this prospectus and part to certain dealers at a price that represents a concession not in excess of $</w:t>
      </w:r>
      <w:r>
        <w:rPr>
          <w:sz w:val="20"/>
          <w:szCs w:val="20"/>
          <w:color w:val="auto"/>
        </w:rPr>
        <w:tab/>
      </w:r>
      <w:r>
        <w:rPr>
          <w:rFonts w:ascii="Arial" w:cs="Arial" w:eastAsia="Arial" w:hAnsi="Arial"/>
          <w:sz w:val="16"/>
          <w:szCs w:val="16"/>
          <w:color w:val="auto"/>
        </w:rPr>
        <w:t>a share under the public offering price. Any Underwriter</w:t>
      </w:r>
    </w:p>
    <w:p>
      <w:pPr>
        <w:spacing w:after="0" w:line="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may allow, and such dealers may reallow, a concession not in excess of $ a share to other underwriters or to certain dealers. After the initial offering of the shares of common stock, the offering price and other selling terms may from time to time be varied by the Representatives.</w:t>
      </w:r>
    </w:p>
    <w:p>
      <w:pPr>
        <w:spacing w:after="0" w:line="1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Underwriters have been granted an option, exercisable for 30 days from the date of this prospectus, to purchase up to an aggregate of 1,500,000 additional shares of our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our common stock offered by this prospectus. To the extent the option is exercised, each Underwriter will become obligated, subject to limited conditions, to purchase approximately the same percentage of the additional shares of our common stock as the number listed next to the Underwriter’s name in the preceding table bears to the total number of shares of our common stock listed next to the names of all Underwriters in the preceding table.</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and the selling stockholder including the amount that the Investment Adviser has agreed to pay to the underwriters as a portion of the sales load. The information assumes either no exercise or full exercise by the Underwriters of their over-allotment option.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Per Share</w:t>
            </w:r>
          </w:p>
        </w:tc>
        <w:tc>
          <w:tcPr>
            <w:tcW w:w="60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Without Option</w:t>
            </w:r>
          </w:p>
        </w:tc>
        <w:tc>
          <w:tcPr>
            <w:tcW w:w="6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With Option</w:t>
            </w:r>
          </w:p>
        </w:tc>
        <w:tc>
          <w:tcPr>
            <w:tcW w:w="1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1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88"/>
              </w:rPr>
              <w:t>Proceeds, before expenses, to PennantPark Floating Rate Capital Ltd.</w:t>
            </w:r>
          </w:p>
        </w:tc>
        <w:tc>
          <w:tcPr>
            <w:tcW w:w="1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63"/>
        </w:trPr>
        <w:tc>
          <w:tcPr>
            <w:tcW w:w="5000" w:type="dxa"/>
            <w:vAlign w:val="bottom"/>
          </w:tcPr>
          <w:p>
            <w:pPr>
              <w:spacing w:after="0"/>
              <w:rPr>
                <w:sz w:val="24"/>
                <w:szCs w:val="24"/>
                <w:color w:val="auto"/>
              </w:rPr>
            </w:pPr>
          </w:p>
        </w:tc>
        <w:tc>
          <w:tcPr>
            <w:tcW w:w="1900" w:type="dxa"/>
            <w:vAlign w:val="bottom"/>
          </w:tcPr>
          <w:p>
            <w:pPr>
              <w:jc w:val="right"/>
              <w:ind w:right="1432"/>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this offering, excluding sales load (underwriting discounts and commissions), will be approximately $1,000,000.</w:t>
      </w:r>
    </w:p>
    <w:p>
      <w:pPr>
        <w:spacing w:after="0" w:line="19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five percent of the total number of shares of our common stock offered by them.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“PFLT.”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180 days after the date of this prospectus without first obtaining the written consent of the Representatives.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180 days after the date of this prospectus supplement without first obtaining the written consent of the Representatives. Specifically, we and these other individuals and entities have agreed not to directly or indirectly:</w:t>
      </w:r>
    </w:p>
    <w:p>
      <w:pPr>
        <w:spacing w:after="0" w:line="2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in our common stock for their own account.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In addition, in order to cover any over-allotments or to stabilize the price of our common stock, the Underwriters may bid for, and purchase, shares of our common stock in the open market. Finally, the underwriting syndicate may also reclaim selling concessions allowed to an Underwriter or a dealer for distributing our common stock in the offering, if the syndicate repurchases previously distributed shares of our common stock to cover syndicate short positions or to stabilize the price of the common stock. Any of these activities may stabilize or maintain the market price of our common stock above independent market levels. The Underwriters are not required to engage in these activities, and may end any of these activities at any time.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and the Investment Adviser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Underwriters and their affiliates have provided in the past to us and may provide from time to time in the future in the ordinary course of their business certain commercial banking, financial advisory, investment banking and other services to PennantPark Floating Rate Capital and its affiliates and managed funds or our portfolio companies for which they have received or will be entitled to receive separate fees. In particular, the Underwriters or their affiliates may execute transactions with PennantPark Floating Rate Capital or on behalf of PennantPark Floating Rate Capital or any of our portfolio companies, affiliates and/or managed funds. In addition, the Underwriters or their affiliates may act as arrangers, underwriters or placement agents for companies whose securities are sold to or whose loans are syndicated to PennantPark Floating Rate Capital and its affiliates and managed funds. An affiliate of SunTrust Robinson Humphrey, Inc. has committed to be a lender under the Credit Facility.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principal business addresses of the underwriters are: Morgan Stanley &amp; Co. Incorporated is 1585 Broadway, New York, NY 10036; SunTrust Robinson Humphrey, Inc. is 3333 Peachtree Road, NE, Atlanta, GA 30326; UBS Securities LLC is 299 Park Avenue, New York, NY 10171; BMO Capital Markets Corp. is 3 Times Square, New York, NY 10036; Houlihan Lokey Capital, Inc. is 1930 Century Park West, Los Angeles, CA 90067; Janney Montgomery Scott LLC is 1801 Market Street, Philadelphia, PA 19103; RBC Capital Markets, LLC is Three World Financial Center, New York, NY 10281; Stifel, Nicolaus &amp; Company, Incorporated is 501 N. Broadway, St. Louis MO 63102.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does not constitute an issue prospectus pursuant to Article 652a or Article 1156 of the Swiss Code of Obligations (“CO”) and the shares will not be listed on the SIX Swiss Exchange. Therefore, this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60" w:firstLine="443"/>
        <w:spacing w:after="0" w:line="268"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00" w:firstLine="443"/>
        <w:spacing w:after="0" w:line="298"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the shares of our common stock. The initial public offering price will be determined by negotiations between us and the Representatives. Among the factors to be considered in determining the initial public offering price will be our future prospects and our industry in general, sales, earnings and certain other financial and operating information in recent periods, and the price-earnings ratios, market prices of securities and financial and operating information of companies engaged in activities similar to ours.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SUB-ADMINISTRATOR, CUSTODIAN AND TRANSFER AGENT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BNY Mellon Investment Servicing (US) Inc., a subsidiary of Bank of New York Mellon, provides administrative and accounting services to us under a sub-administration and accounting services agreement. The custodian of the assets of the company will be The Bank of New York Mellon located at One Wall Street, New York, NY 10286. The custodian will perform custodial services. American Stock Transfer &amp; Trust Company located at 59 Maiden Lane, New York, NY 10038, will serve as the company’s transfer agent and dividend paying agent with respect to the common shares.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OPINIONS</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Certain legal matters in connection with the common shares will be passed upon for the company by Dechert LLP, Washington, D.C. and for the Underwriters by Fried, Frank, Harris, Shriver &amp; Jacobson LLP, New York, NY. Dechert LLP and Fried, Frank, Harris, Shriver &amp; Jacobson LLP may rely as to certain matters of Maryland law on the opinion of Venable LLP, Baltimore, Maryland.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accounting purposes, our fiscal year is the 12-month period ending on September 30. For tax purposes, we have adopted the 12-month period ending September 30 of each year as our taxable year.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have selected KPMG LLP as our independent registered public accounting firm. KPMG LLP’s principal business address is located at 345 Park Avenue, New York, NY 10154.</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(800) SEC-0330. The SEC maintains an Internet site that contains reports, proxy and information statements and other information filed electronically by us with the SEC which are available on the SEC’s website at </w:t>
      </w:r>
      <w:r>
        <w:rPr>
          <w:rFonts w:ascii="Arial" w:cs="Arial" w:eastAsia="Arial" w:hAnsi="Arial"/>
          <w:sz w:val="16"/>
          <w:szCs w:val="16"/>
          <w:i w:val="1"/>
          <w:iCs w:val="1"/>
          <w:color w:val="auto"/>
        </w:rPr>
        <w:t xml:space="preserve">http://www.sec.gov. </w:t>
      </w:r>
      <w:r>
        <w:rPr>
          <w:rFonts w:ascii="Arial" w:cs="Arial" w:eastAsia="Arial" w:hAnsi="Arial"/>
          <w:sz w:val="16"/>
          <w:szCs w:val="16"/>
          <w:color w:val="auto"/>
        </w:rPr>
        <w:t>Copies of these reports, proxy and information statements and other information may be obtained, after paying a duplicating fee, by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request at the following e-mail address: publicinfo@sec.gov, or by writing the SEC’s Public Reference Section, Washington, D.C. 20549. This information will also be available free of charge by contacting us at PennantPark Floating Rate Capital Ltd., 590 Madison Avenue, 15th Floor, New York, NY 10022, by telephone at (212) 905-1000, or on our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0" w:type="dxa"/>
            <w:vAlign w:val="bottom"/>
            <w:gridSpan w:val="3"/>
          </w:tcPr>
          <w:p>
            <w:pPr>
              <w:jc w:val="center"/>
              <w:ind w:right="4040"/>
              <w:spacing w:after="0"/>
              <w:rPr>
                <w:sz w:val="20"/>
                <w:szCs w:val="20"/>
                <w:color w:val="auto"/>
              </w:rPr>
            </w:pPr>
            <w:r>
              <w:rPr>
                <w:rFonts w:ascii="Arial" w:cs="Arial" w:eastAsia="Arial" w:hAnsi="Arial"/>
                <w:sz w:val="18"/>
                <w:szCs w:val="18"/>
                <w:b w:val="1"/>
                <w:bCs w:val="1"/>
                <w:color w:val="auto"/>
                <w:w w:val="99"/>
              </w:rPr>
              <w:t>INDEX TO FINANCIAL STATEMENTS</w:t>
            </w:r>
          </w:p>
        </w:tc>
        <w:tc>
          <w:tcPr>
            <w:tcW w:w="0" w:type="dxa"/>
            <w:vAlign w:val="bottom"/>
          </w:tcPr>
          <w:p>
            <w:pPr>
              <w:spacing w:after="0"/>
              <w:rPr>
                <w:sz w:val="1"/>
                <w:szCs w:val="1"/>
                <w:color w:val="auto"/>
              </w:rPr>
            </w:pPr>
          </w:p>
        </w:tc>
      </w:tr>
      <w:tr>
        <w:trPr>
          <w:trHeight w:val="434"/>
        </w:trPr>
        <w:tc>
          <w:tcPr>
            <w:tcW w:w="4140" w:type="dxa"/>
            <w:vAlign w:val="bottom"/>
            <w:gridSpan w:val="4"/>
            <w:vMerge w:val="restart"/>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Report of Independent Registered Public Accounting Firm</w:t>
              </w:r>
            </w:hyperlink>
          </w:p>
        </w:tc>
        <w:tc>
          <w:tcPr>
            <w:tcW w:w="688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140" w:type="dxa"/>
            <w:vAlign w:val="bottom"/>
            <w:gridSpan w:val="4"/>
            <w:vMerge w:val="continue"/>
          </w:tcPr>
          <w:p>
            <w:pPr>
              <w:spacing w:after="0"/>
              <w:rPr>
                <w:sz w:val="14"/>
                <w:szCs w:val="14"/>
                <w:color w:val="auto"/>
              </w:rPr>
            </w:pPr>
          </w:p>
        </w:tc>
        <w:tc>
          <w:tcPr>
            <w:tcW w:w="6880" w:type="dxa"/>
            <w:vAlign w:val="bottom"/>
          </w:tcPr>
          <w:p>
            <w:pPr>
              <w:spacing w:after="0"/>
              <w:rPr>
                <w:sz w:val="14"/>
                <w:szCs w:val="14"/>
                <w:color w:val="auto"/>
              </w:rPr>
            </w:pPr>
          </w:p>
        </w:tc>
        <w:tc>
          <w:tcPr>
            <w:tcW w:w="30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Balance Sheet as of March 4, 2011</w:t>
              </w:r>
            </w:hyperlink>
          </w:p>
        </w:tc>
        <w:tc>
          <w:tcPr>
            <w:tcW w:w="16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4140" w:type="dxa"/>
            <w:vAlign w:val="bottom"/>
            <w:gridSpan w:val="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Notes to Balance Sheet</w:t>
              </w:r>
            </w:hyperlink>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83"/>
        </w:trPr>
        <w:tc>
          <w:tcPr>
            <w:tcW w:w="16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3"/>
          </w:tcPr>
          <w:p>
            <w:pPr>
              <w:jc w:val="center"/>
              <w:ind w:right="4040"/>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audited the accompanying balance sheet of PennantPark Floating Rate Capital Ltd. (a development stage company) as of March 4, 2011. This financial statement is the responsibility of PennantPark Floating Rate Capital Ltd.’s management. Our responsibility is to express an opinion on this financial statement based on our audit.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of the balance sheet provides a reasonable basis for our opinion.</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our opinion, the balance sheet referred to above presents fairly, in all material respects, the financial position of PennantPark Floating Rate Capital Ltd. (a development stage company) as of March 4, 2011,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PENNANTPARK FLOATING RATE CAPITAL LTD.</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(A DEVELOPMENT STAGE COMPANY)</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6"/>
              </w:rPr>
              <w:t>BALANCE SHEET</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 of March 4,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3)</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1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Common stock, par value $0.001 per share; 100,000,000 shares authorized; 667 shares issued and outstanding</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 in excess of par value</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0140" w:type="dxa"/>
            <w:vAlign w:val="bottom"/>
          </w:tcPr>
          <w:p>
            <w:pPr>
              <w:ind w:left="860"/>
              <w:spacing w:after="0"/>
              <w:rPr>
                <w:sz w:val="20"/>
                <w:szCs w:val="20"/>
                <w:color w:val="auto"/>
              </w:rPr>
            </w:pPr>
            <w:r>
              <w:rPr>
                <w:rFonts w:ascii="Arial" w:cs="Arial" w:eastAsia="Arial" w:hAnsi="Arial"/>
                <w:sz w:val="18"/>
                <w:szCs w:val="18"/>
                <w:color w:val="auto"/>
              </w:rPr>
              <w:t>Total Net Assets</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0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BALANCE SHEET</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In this Balance Sheet, except where the context suggests otherwise, the terms “we,” “us,” “our,” “Company” or “PennantPark Floating Rate Capital” refers to PennantPark Floating Rate Capital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PennantPark Floating Rate Capital Ltd. was formed on October 28, 2010 as a Maryland corporation structured as an externally managed, non-diversified closed-end management investment company. PennantPark Floating Rate Capital intends to elect to be treated as a business development company under the Investment Company Act of 1940, as amended, (the “1940 Act”), prior to pricing of its initial public offering. PennantPark Floating Rate Capital will be managed by PennantPark Investment Advisers, LLC (the “Investment Advisers”). PennantPark Investment Administration, LLC (the “Administrator”) will provide the administrative services necessary for us to operate. The Company has had no operations other than a sale of 667 shares of common stock for $10,000 ($15.00 per share). All of the outstanding shares of PennantPark Floating Rate Capital common stock are owned by PennantPark Investment Advisers, LLC.</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investment objective is to maximize current income consistent with the preservation of capital. We will seek to achieve our investment objectives by investing primarily in floating rate loans made to private middle-market companies whose debt is rated below investment grade. The Company may also invest in loans of portfolio companies that are thinly traded. Under normal market conditions, at least 80% of the value of our assets will be invested in floating rate loans and investments with similar economic characteristics. We expect that senior secured loans will represent at least 65% of our overall portfolio. We expect to invest the remaining approximately 35% of our overall portfolio opportunistically in other types of investments, including second-lien, high yield, mezzanine and distressed debt securities and private equity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accompanying balance sheet has been prepared on the accrual basis of accounting in conformity with accounting principles generally accepted in the United States of America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Cash consists of demand deposits at a financial institution.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intend to operate so as to qualify and elect to be tax as a regulated investment company (“RIC”) under Subchapter M of the Internal Revenue Code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preparation of the balance sheet in conformity with GAAP requires management to make estimates and assumptions that affect the reported amount of assets and liabilities and disclosure of contingent assets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BALANCE SHEET</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liabilities at the date of the balance sheet. Changes in the economic environment, financial markets and any other parameters used in determining these estimates could cause actual results to differ materially.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Commitments and Contingencies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Initial organization and operating costs will be borne by the Company upon consummation of its proposed initial public offering. Should the Company not be successful in the initial public offering, initial organization and operating costs incurred will be borne by the Company’s Investment Adviser. As there has been no formal commitment of external capital as of the date of issuance of this balance sheet, no such costs have been recorded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Assets and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authorized 100,000,000 shares of its common stock with a par value of $0.001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Subsequent Events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considered events from March 5, 2011 to March 11, 2011 (the date of this report’s issuance) and has concluded that no subsequent events of a material effect have occurred from the date of the balance sheet through the date this report was issued.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Indemnification</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Under the Company’s organizational documents, its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 Contingency (Unaudited)</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Upon consummation of the Company’s proposed initial public offering of common stock, the Investment Adviser has agreed to pay to the underwriters a portion of the sales load, in the amount of $3,000,000 ($3,450,000 if the underwriters exercise their overallotment option in full) with respect to the offering of shares the Company’s common stock. The Company (and indirectly its stockholders) will be obligated to repay this amount (a) if during any four consecutive calendar quarter-periods ending on or after the one year anniversary of the closing of the offering, the Company’s Pre-Incentive Fee Net Investment Income equals or exceeds 1.75% (7.0% annualized) of the Company’s net assets at the beginning of such period (as adjusted for any issuances or repurchases of shares of the Company’s common stock) or (b) upon our liquidation. If one or more of these events does not occur on or before April 2014, the Company will not be obligated to repay this amount. The Company will repay such amount to the Investment Adviser in cash, and the Investment Adviser has agreed to use such payment to purchase shares of the Company’s common stock in the secondary market. Should the Company not be successful in the initial public offering, then no contingency would exist.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and including , 2011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14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701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1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44" w:lineRule="exact"/>
        <w:rPr>
          <w:sz w:val="20"/>
          <w:szCs w:val="20"/>
          <w:color w:val="auto"/>
        </w:rPr>
      </w:pPr>
    </w:p>
    <w:p>
      <w:pPr>
        <w:jc w:val="center"/>
        <w:ind w:right="-43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306070</wp:posOffset>
            </wp:positionV>
            <wp:extent cx="15176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Arial" w:cs="Arial" w:eastAsia="Arial" w:hAnsi="Arial"/>
          <w:sz w:val="24"/>
          <w:szCs w:val="24"/>
          <w:b w:val="1"/>
          <w:bCs w:val="1"/>
          <w:color w:val="auto"/>
        </w:rPr>
        <w:t>PRELIMINARY PROSPECTUS</w:t>
      </w:r>
    </w:p>
    <w:p>
      <w:pPr>
        <w:spacing w:after="0" w:line="170" w:lineRule="exact"/>
        <w:rPr>
          <w:sz w:val="20"/>
          <w:szCs w:val="20"/>
          <w:color w:val="auto"/>
        </w:rPr>
      </w:pPr>
    </w:p>
    <w:p>
      <w:pPr>
        <w:ind w:left="6020"/>
        <w:spacing w:after="0"/>
        <w:rPr>
          <w:sz w:val="20"/>
          <w:szCs w:val="20"/>
          <w:color w:val="auto"/>
        </w:rPr>
      </w:pPr>
      <w:r>
        <w:rPr>
          <w:rFonts w:ascii="Arial" w:cs="Arial" w:eastAsia="Arial" w:hAnsi="Arial"/>
          <w:sz w:val="24"/>
          <w:szCs w:val="24"/>
          <w:b w:val="1"/>
          <w:bCs w:val="1"/>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Morgan Stanley</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SunTrust Robinson Humphrey</w:t>
      </w:r>
    </w:p>
    <w:p>
      <w:pPr>
        <w:spacing w:after="0" w:line="78" w:lineRule="exact"/>
        <w:rPr>
          <w:sz w:val="20"/>
          <w:szCs w:val="20"/>
          <w:color w:val="auto"/>
        </w:rPr>
      </w:pPr>
    </w:p>
    <w:p>
      <w:pPr>
        <w:jc w:val="center"/>
        <w:ind w:right="-419"/>
        <w:spacing w:after="0"/>
        <w:rPr>
          <w:sz w:val="20"/>
          <w:szCs w:val="20"/>
          <w:color w:val="auto"/>
        </w:rPr>
      </w:pPr>
      <w:r>
        <w:rPr>
          <w:rFonts w:ascii="Arial" w:cs="Arial" w:eastAsia="Arial" w:hAnsi="Arial"/>
          <w:sz w:val="32"/>
          <w:szCs w:val="32"/>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BMO Capital Markets</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Houlihan Lokey</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Janney Montgomery Scott</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RBC Capital Markets</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Stifel Nicolaus Weisel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C</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96" w:lineRule="exact"/>
        <w:rPr>
          <w:sz w:val="20"/>
          <w:szCs w:val="20"/>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Articles of Amendment and Restatement.</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Amended and Restated Bylaws.</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 of Stock Certificate.</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 of Dividend Reinvestment Plan.</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Form of Investment Management Agreement between the Registrant and PennantPark Investment Advisers, LLC (the “Investment Adviser”).</w:t>
      </w:r>
      <w:r>
        <w:rPr>
          <w:rFonts w:ascii="Arial" w:cs="Arial" w:eastAsia="Arial" w:hAnsi="Arial"/>
          <w:sz w:val="10"/>
          <w:szCs w:val="10"/>
          <w:color w:val="auto"/>
        </w:rPr>
        <w:t>(2)</w:t>
      </w:r>
    </w:p>
    <w:p>
      <w:pPr>
        <w:spacing w:after="0" w:line="200" w:lineRule="exact"/>
        <w:rPr>
          <w:sz w:val="20"/>
          <w:szCs w:val="20"/>
          <w:color w:val="auto"/>
        </w:rPr>
      </w:pPr>
    </w:p>
    <w:p>
      <w:pPr>
        <w:spacing w:after="0" w:line="264" w:lineRule="exact"/>
        <w:rPr>
          <w:sz w:val="20"/>
          <w:szCs w:val="20"/>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Form of Custodian Agreement.</w:t>
      </w:r>
      <w:r>
        <w:rPr>
          <w:rFonts w:ascii="Arial" w:cs="Arial" w:eastAsia="Arial" w:hAnsi="Arial"/>
          <w:sz w:val="11"/>
          <w:szCs w:val="11"/>
          <w:color w:val="auto"/>
        </w:rPr>
        <w:t>(2)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(k)(1)</w:t>
            </w:r>
          </w:p>
        </w:tc>
        <w:tc>
          <w:tcPr>
            <w:tcW w:w="9700" w:type="dxa"/>
            <w:vAlign w:val="bottom"/>
          </w:tcPr>
          <w:p>
            <w:pPr>
              <w:ind w:left="300"/>
              <w:spacing w:after="0"/>
              <w:rPr>
                <w:sz w:val="20"/>
                <w:szCs w:val="20"/>
                <w:color w:val="auto"/>
              </w:rPr>
            </w:pPr>
            <w:r>
              <w:rPr>
                <w:rFonts w:ascii="Arial" w:cs="Arial" w:eastAsia="Arial" w:hAnsi="Arial"/>
                <w:sz w:val="18"/>
                <w:szCs w:val="18"/>
                <w:color w:val="auto"/>
              </w:rPr>
              <w:t>Form of Certificate of Appointment of Transfer Agent.</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(k)(2)</w:t>
            </w:r>
          </w:p>
        </w:tc>
        <w:tc>
          <w:tcPr>
            <w:tcW w:w="9700" w:type="dxa"/>
            <w:vAlign w:val="bottom"/>
          </w:tcPr>
          <w:p>
            <w:pPr>
              <w:ind w:left="300"/>
              <w:spacing w:after="0"/>
              <w:rPr>
                <w:sz w:val="20"/>
                <w:szCs w:val="20"/>
                <w:color w:val="auto"/>
              </w:rPr>
            </w:pPr>
            <w:r>
              <w:rPr>
                <w:rFonts w:ascii="Arial" w:cs="Arial" w:eastAsia="Arial" w:hAnsi="Arial"/>
                <w:sz w:val="18"/>
                <w:szCs w:val="18"/>
                <w:color w:val="auto"/>
              </w:rPr>
              <w:t>Form of Administration Agreement between Registrant and PennantPark Administration, LLC.</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(k)(3)</w:t>
            </w:r>
          </w:p>
        </w:tc>
        <w:tc>
          <w:tcPr>
            <w:tcW w:w="9700" w:type="dxa"/>
            <w:vAlign w:val="bottom"/>
          </w:tcPr>
          <w:p>
            <w:pPr>
              <w:ind w:left="300"/>
              <w:spacing w:after="0"/>
              <w:rPr>
                <w:sz w:val="20"/>
                <w:szCs w:val="20"/>
                <w:color w:val="auto"/>
              </w:rPr>
            </w:pPr>
            <w:r>
              <w:rPr>
                <w:rFonts w:ascii="Arial" w:cs="Arial" w:eastAsia="Arial" w:hAnsi="Arial"/>
                <w:sz w:val="18"/>
                <w:szCs w:val="18"/>
                <w:color w:val="auto"/>
              </w:rPr>
              <w:t>Form of License Agreement between the Registrant and the Investment Adviser.</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(k)(4)</w:t>
            </w:r>
          </w:p>
        </w:tc>
        <w:tc>
          <w:tcPr>
            <w:tcW w:w="9700" w:type="dxa"/>
            <w:vAlign w:val="bottom"/>
          </w:tcPr>
          <w:p>
            <w:pPr>
              <w:ind w:left="300"/>
              <w:spacing w:after="0"/>
              <w:rPr>
                <w:sz w:val="20"/>
                <w:szCs w:val="20"/>
                <w:color w:val="auto"/>
              </w:rPr>
            </w:pPr>
            <w:r>
              <w:rPr>
                <w:rFonts w:ascii="Arial" w:cs="Arial" w:eastAsia="Arial" w:hAnsi="Arial"/>
                <w:sz w:val="18"/>
                <w:szCs w:val="18"/>
                <w:color w:val="auto"/>
              </w:rPr>
              <w:t>Form of Sub-Administrative and Accounting Services Agreement.</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(k)(5)</w:t>
            </w:r>
          </w:p>
        </w:tc>
        <w:tc>
          <w:tcPr>
            <w:tcW w:w="9700" w:type="dxa"/>
            <w:vAlign w:val="bottom"/>
          </w:tcPr>
          <w:p>
            <w:pPr>
              <w:ind w:left="300"/>
              <w:spacing w:after="0"/>
              <w:rPr>
                <w:sz w:val="20"/>
                <w:szCs w:val="20"/>
                <w:color w:val="auto"/>
              </w:rPr>
            </w:pPr>
            <w:r>
              <w:rPr>
                <w:rFonts w:ascii="Arial" w:cs="Arial" w:eastAsia="Arial" w:hAnsi="Arial"/>
                <w:sz w:val="18"/>
                <w:szCs w:val="18"/>
                <w:color w:val="auto"/>
                <w:w w:val="87"/>
              </w:rPr>
              <w:t>Amended and Restated Agreement Regarding Repayment of Sales Load by and between the Registrant and the Investment Adviser.</w:t>
            </w:r>
            <w:r>
              <w:rPr>
                <w:rFonts w:ascii="Arial" w:cs="Arial" w:eastAsia="Arial" w:hAnsi="Arial"/>
                <w:sz w:val="11"/>
                <w:szCs w:val="11"/>
                <w:color w:val="auto"/>
                <w:w w:val="87"/>
              </w:rPr>
              <w:t>(1)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(l)(1)</w:t>
            </w:r>
          </w:p>
        </w:tc>
        <w:tc>
          <w:tcPr>
            <w:tcW w:w="9700" w:type="dxa"/>
            <w:vAlign w:val="bottom"/>
          </w:tcPr>
          <w:p>
            <w:pPr>
              <w:ind w:left="300"/>
              <w:spacing w:after="0"/>
              <w:rPr>
                <w:sz w:val="20"/>
                <w:szCs w:val="20"/>
                <w:color w:val="auto"/>
              </w:rPr>
            </w:pPr>
            <w:r>
              <w:rPr>
                <w:rFonts w:ascii="Arial" w:cs="Arial" w:eastAsia="Arial" w:hAnsi="Arial"/>
                <w:sz w:val="18"/>
                <w:szCs w:val="18"/>
                <w:color w:val="auto"/>
              </w:rPr>
              <w:t>Opinion and Consent of Maryland Counsel.</w:t>
            </w:r>
            <w:r>
              <w:rPr>
                <w:rFonts w:ascii="Arial" w:cs="Arial" w:eastAsia="Arial" w:hAnsi="Arial"/>
                <w:sz w:val="11"/>
                <w:szCs w:val="11"/>
                <w:color w:val="auto"/>
              </w:rPr>
              <w:t>(2)</w:t>
            </w:r>
          </w:p>
        </w:tc>
      </w:tr>
    </w:tbl>
    <w:p>
      <w:pPr>
        <w:spacing w:after="0" w:line="102" w:lineRule="exact"/>
        <w:rPr>
          <w:sz w:val="20"/>
          <w:szCs w:val="20"/>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r>
        <w:rPr>
          <w:rFonts w:ascii="Arial" w:cs="Arial" w:eastAsia="Arial" w:hAnsi="Arial"/>
          <w:sz w:val="11"/>
          <w:szCs w:val="11"/>
          <w:color w:val="auto"/>
        </w:rPr>
        <w:t>(1)</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Joint Code of Ethics of PennantPark Floating Rate Capital Ltd. and the Investment Adviser.</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24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Item 25(2)(h)(1).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632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Expenses of Issuance and Distribution</w:t>
            </w: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0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NASDAQ listing fees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Industry Regulatory Authority fees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Printing expenses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5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6320" w:type="dxa"/>
            <w:vAlign w:val="bottom"/>
            <w:gridSpan w:val="2"/>
          </w:tcPr>
          <w:p>
            <w:pPr>
              <w:ind w:left="1020"/>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Registrant</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Immediately prior to this offering, PennantPark Investment Advisers, LLC, a Delaware limited liability company, will own shares of the Registrant, representing 100% of the common stock outstanding. Following the completion of this offering, PennantPark Investment Advisers, LLC’s share ownership is expected to represent less than 1% of the common stock outstanding.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5"/>
          <w:szCs w:val="15"/>
          <w:b w:val="1"/>
          <w:bCs w:val="1"/>
          <w:color w:val="auto"/>
        </w:rPr>
        <w:t>Number of Holders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the Registrant’s common stock at March 28, 2011.</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2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Record Holders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par value $0.001 per share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Maryland law, subject to the requirements of the 1940 Act.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Registrant’s charter and bylaws require the Registrant, to the maximum extent permitted by Maryland law and subject to the requirements of the 1940 Act, to indemnify any present or former director or officer or any individual who, while a director and at the Registrant’s request, serves or has served another corporation, real estate investment trust, partnership, joint venture, trust, employee benefit plan or other enterprise as a director, officer, partner or trustee and who is made a party to the proceeding by reason of his or her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rights to indemnification and advance of expenses provided by the charter and bylaws vest immediately upon election of a director or officer. The charter and bylaws also permit the Registrant to indemnify and advance expenses to any person who served a predecessor of the Registrant in any of the capacities described above and any of the Registrant’s employees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office.</w:t>
      </w:r>
    </w:p>
    <w:p>
      <w:pPr>
        <w:spacing w:after="0" w:line="14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Maryland law requires a corporation (unless its charter provides otherwise, which the Registrant’s charter does not) to indemnify a director or officer who has been successful, on the merits or otherwise, in the defense of any 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w:t>
      </w:r>
    </w:p>
    <w:p>
      <w:pPr>
        <w:spacing w:after="0" w:line="2" w:lineRule="exact"/>
        <w:rPr>
          <w:sz w:val="20"/>
          <w:szCs w:val="20"/>
          <w:color w:val="auto"/>
        </w:rPr>
      </w:pPr>
    </w:p>
    <w:p>
      <w:pPr>
        <w:ind w:firstLine="8"/>
        <w:spacing w:after="0" w:line="252" w:lineRule="auto"/>
        <w:tabs>
          <w:tab w:leader="none" w:pos="2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the act or omission was unlawful.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4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5"/>
          <w:szCs w:val="15"/>
          <w:color w:val="auto"/>
        </w:rPr>
        <w:t>Insofar as indemnification for liability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Investment Management Agreement provides that PennantPark Investment Advisers, LLC and its officers, managers, partners, agents, employees, controlling persons, members and any other person of entity affiliated with the Investment Adviser are entitled to indemnification from us for any damages, liabilities, costs and expenses (including reasonable attorneys’ fees and amounts reasonably paid in settlement) incurred by them in or by reason of any pending, threatened or completed action, suit, investigation or other proceedings arising out of or otherwise based on the performance of any of PennantPark Investment Advisers, LLC’s duties or obligations under the Investment Management Agreement or otherwise as our investment adviser to the extent such damages, liabilities, costs and expenses do not arise by reason of willful misfeasance, bad faith, or gross negligence in PennantPark Investment Advisers, LLC’s performance of such duties or obligations, or PennantPark Investment Advisers, LLC’s reckless disregard of such duties or obligations.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provisions described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 action, suit or proceeding) is asserted by a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court of the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Adviser</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description of the business of the Investment Adviser is set out in the sections entitled “Management” and “Certain Relationships and Transactions” in the prospectus which forms a part of this registration statement. A description of any other business, profession, vocation, or employment of a substantial nature in which each managing director, executive officer or investment professional of the Investment Adviser, is or has been, at any time during the past two fiscal years, engaged in for his or her own account or in the capacity of director, officer, employee, partner or trustee, is set out below:</w:t>
      </w:r>
    </w:p>
    <w:p>
      <w:pPr>
        <w:spacing w:after="0" w:line="32"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Additional Information regarding PennantPark Investment Advisers LLC and its officers and directors is set forth in its Form ADV, as filed with the Securities and Exchange Commission (SEC File No. 801-67622) under the Investment Advisers Act of 1940, as amended,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Locations of Accounts and Records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59 Maiden Lane, New York, NY 10038;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New York 10286;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90" w:lineRule="exact"/>
        <w:rPr>
          <w:rFonts w:ascii="Arial" w:cs="Arial" w:eastAsia="Arial" w:hAnsi="Arial"/>
          <w:sz w:val="18"/>
          <w:szCs w:val="18"/>
          <w:color w:val="auto"/>
        </w:rPr>
      </w:pPr>
    </w:p>
    <w:p>
      <w:pPr>
        <w:ind w:left="900" w:right="260" w:hanging="446"/>
        <w:spacing w:after="0" w:line="306" w:lineRule="auto"/>
        <w:tabs>
          <w:tab w:leader="none" w:pos="9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“Securities Act”), and the Investment Company Act of 1940, as amended (the “1940 Act”), the Registrant has duly caused this Registration Statement to be signed on its behalf by the undersigned, thereunto duly authorized, in The City of New York, State of New York on the 7</w:t>
      </w:r>
      <w:r>
        <w:rPr>
          <w:rFonts w:ascii="Arial" w:cs="Arial" w:eastAsia="Arial" w:hAnsi="Arial"/>
          <w:sz w:val="11"/>
          <w:szCs w:val="11"/>
          <w:color w:val="auto"/>
        </w:rPr>
        <w:t>th</w:t>
      </w:r>
      <w:r>
        <w:rPr>
          <w:rFonts w:ascii="Arial" w:cs="Arial" w:eastAsia="Arial" w:hAnsi="Arial"/>
          <w:sz w:val="18"/>
          <w:szCs w:val="18"/>
          <w:color w:val="auto"/>
        </w:rPr>
        <w:t xml:space="preserve"> day of April,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4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38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0"/>
              </w:rPr>
              <w:t>Title</w:t>
            </w:r>
          </w:p>
        </w:tc>
        <w:tc>
          <w:tcPr>
            <w:tcW w:w="106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4"/>
        </w:trPr>
        <w:tc>
          <w:tcPr>
            <w:tcW w:w="48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7"/>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(Arthur H. Penn)</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Chief Executive Officer and 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7, 2011</w:t>
            </w:r>
          </w:p>
        </w:tc>
      </w:tr>
      <w:tr>
        <w:trPr>
          <w:trHeight w:val="222"/>
        </w:trPr>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2"/>
              </w:rPr>
              <w:t>(Principal Executive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46"/>
        </w:trPr>
        <w:tc>
          <w:tcPr>
            <w:tcW w:w="48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(Aviv Efrat)</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0"/>
              </w:rPr>
              <w:t>Treasurer (Principal Financial Officer)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7,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(Jeffrey Flug)</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7,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7,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(Samuel L. Katz)</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7,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Signed by Aviv Efrat on behalf of those identified pursuant to his designation as an attorney-in-fact signed by each on December 16, 2010</w:t>
      </w:r>
    </w:p>
    <w:p>
      <w:pPr>
        <w:sectPr>
          <w:pgSz w:w="11900" w:h="16838" w:orient="portrait"/>
          <w:cols w:equalWidth="0" w:num="1">
            <w:col w:w="11420"/>
          </w:cols>
          <w:pgMar w:left="240" w:top="459"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(k)(5)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PennantPark Floating Rate Capital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7,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65" w:lineRule="exact"/>
        <w:rPr>
          <w:sz w:val="20"/>
          <w:szCs w:val="20"/>
          <w:color w:val="auto"/>
        </w:rPr>
      </w:pPr>
    </w:p>
    <w:p>
      <w:pPr>
        <w:ind w:right="5380"/>
        <w:spacing w:after="0" w:line="438" w:lineRule="auto"/>
        <w:rPr>
          <w:sz w:val="20"/>
          <w:szCs w:val="20"/>
          <w:color w:val="auto"/>
        </w:rPr>
      </w:pPr>
      <w:r>
        <w:rPr>
          <w:rFonts w:ascii="Arial" w:cs="Arial" w:eastAsia="Arial" w:hAnsi="Arial"/>
          <w:sz w:val="18"/>
          <w:szCs w:val="18"/>
          <w:color w:val="auto"/>
        </w:rPr>
        <w:t>Re: Amended and Restated Letter Agreement regarding the Repayment of Sales Load Gentlemen:</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Reference is hereby made to the letter agreement regarding the repayment of sales load accepted by you on April 6, 2011. By accepting this letter agreement, you hereby agree that this letter agreement shall amend and restate in its entirety the letter agreement of April 6, 2011.</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your agreement to pay to the underwriters 2.0% of the sales load in connection with the initial public offering of common stock (the “IPO”)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(“PFLT”), and subject to the closing of such IPO, we hereby agree as follows:</w:t>
      </w:r>
    </w:p>
    <w:p>
      <w:pPr>
        <w:spacing w:after="0" w:line="165" w:lineRule="exact"/>
        <w:rPr>
          <w:sz w:val="20"/>
          <w:szCs w:val="20"/>
          <w:color w:val="auto"/>
        </w:rPr>
      </w:pPr>
    </w:p>
    <w:p>
      <w:pPr>
        <w:ind w:right="140" w:firstLine="8"/>
        <w:spacing w:after="0" w:line="268" w:lineRule="auto"/>
        <w:tabs>
          <w:tab w:leader="none" w:pos="17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$3,000,000 (or up to $3,450,000 upon exercise by the underwriters in full of their overallotment option) paid by you (the “Sales Load Amount”) shall not bear interest at any time.</w:t>
      </w:r>
    </w:p>
    <w:p>
      <w:pPr>
        <w:spacing w:after="0" w:line="131" w:lineRule="exact"/>
        <w:rPr>
          <w:rFonts w:ascii="Arial" w:cs="Arial" w:eastAsia="Arial" w:hAnsi="Arial"/>
          <w:sz w:val="18"/>
          <w:szCs w:val="18"/>
          <w:color w:val="auto"/>
        </w:rPr>
      </w:pPr>
    </w:p>
    <w:p>
      <w:pPr>
        <w:ind w:firstLine="8"/>
        <w:spacing w:after="0" w:line="294" w:lineRule="auto"/>
        <w:tabs>
          <w:tab w:leader="none" w:pos="1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 later than two business days after a Payment Event (as defined below) has been determined to have occurred, PFLT shall pay you the Sales Load Amount. In this letter agreement, we refer to the payment date with respect to any Payment Event as the “Payment Date.” On the Payment Date, (a) PFLT shall pay the Sales Load Amount to you in cash, and (b) you, directly or through your affiliates or employees, shall use all of such payment amount to purchase shares of common stock of PFLT in the secondary market within 180 days of the Payment Date or as soon as reasonably practicable thereafter. All cash payments in respect of the Sales Load Amount shall be made to you in U.S. dollars by wire transfer of immediately available funds. In the event of any</w:t>
      </w:r>
    </w:p>
    <w:p>
      <w:pPr>
        <w:sectPr>
          <w:pgSz w:w="11900" w:h="16838" w:orient="portrait"/>
          <w:cols w:equalWidth="0" w:num="1">
            <w:col w:w="11420"/>
          </w:cols>
          <w:pgMar w:left="240" w:top="125" w:right="239" w:bottom="1440" w:gutter="0" w:footer="0" w:header="0"/>
        </w:sectPr>
      </w:pPr>
    </w:p>
    <w:bookmarkStart w:id="125" w:name="page126"/>
    <w:bookmarkEnd w:id="125"/>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 dissolution or winding up of PFLT, the Sales Load Amount shall be paid to you prior to the distribution of any assets to holders of PFLT’s common stock.</w:t>
      </w:r>
    </w:p>
    <w:p>
      <w:pPr>
        <w:spacing w:after="0" w:line="132"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Payment Event shall mean the occurrence of one or more of the following events on or before April 6, 2014:</w:t>
      </w:r>
    </w:p>
    <w:p>
      <w:pPr>
        <w:spacing w:after="0" w:line="171" w:lineRule="exact"/>
        <w:rPr>
          <w:rFonts w:ascii="Arial" w:cs="Arial" w:eastAsia="Arial" w:hAnsi="Arial"/>
          <w:sz w:val="18"/>
          <w:szCs w:val="18"/>
          <w:color w:val="auto"/>
        </w:rPr>
      </w:pPr>
    </w:p>
    <w:p>
      <w:pPr>
        <w:ind w:firstLine="464"/>
        <w:spacing w:after="0" w:line="306" w:lineRule="auto"/>
        <w:tabs>
          <w:tab w:leader="none" w:pos="695"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during any consecutive four calendar quarter period ending on or after the one year anniversary of the date of the closing of the IPO, the Pre-Incentive Fee Net Investment Income of PFLT (as such term is defined in the Investment Advisory Agreement dated as of April 7, 2011 between you and PFLT) equals or exceeds 7.0% of PFLT’s net assets at the beginning of such period (as adjusted for any share issuances or repurchases); or</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upon any liquidation, dissolution or winding up of PFLT.</w:t>
      </w:r>
    </w:p>
    <w:p>
      <w:pPr>
        <w:spacing w:after="0" w:line="171" w:lineRule="exact"/>
        <w:rPr>
          <w:rFonts w:ascii="Arial" w:cs="Arial" w:eastAsia="Arial" w:hAnsi="Arial"/>
          <w:sz w:val="18"/>
          <w:szCs w:val="18"/>
          <w:color w:val="auto"/>
        </w:rPr>
      </w:pPr>
    </w:p>
    <w:p>
      <w:pPr>
        <w:ind w:right="360" w:firstLine="8"/>
        <w:spacing w:after="0" w:line="268" w:lineRule="auto"/>
        <w:tabs>
          <w:tab w:leader="none" w:pos="17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 Payment Event does not occur on or before April 6, 2014, PFLT’s obligation to pay you the Sales Load Amount shall automatically terminate, and this letter agreement shall be of no further effect.</w:t>
      </w:r>
    </w:p>
    <w:p>
      <w:pPr>
        <w:spacing w:after="0" w:line="131" w:lineRule="exact"/>
        <w:rPr>
          <w:rFonts w:ascii="Arial" w:cs="Arial" w:eastAsia="Arial" w:hAnsi="Arial"/>
          <w:sz w:val="18"/>
          <w:szCs w:val="18"/>
          <w:color w:val="auto"/>
        </w:rPr>
      </w:pPr>
    </w:p>
    <w:p>
      <w:pPr>
        <w:ind w:right="760" w:firstLine="8"/>
        <w:spacing w:after="0" w:line="332" w:lineRule="auto"/>
        <w:tabs>
          <w:tab w:leader="none" w:pos="17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rights and obligations of PFLT hereunder shall be binding upon PFLT and its successors in interest and shall inure to the benefit of you and your successors, assigns, and transferees. Neither party may assign this letter agreement without the consent of the other party hereto.</w:t>
      </w:r>
    </w:p>
    <w:p>
      <w:pPr>
        <w:spacing w:after="0" w:line="85" w:lineRule="exact"/>
        <w:rPr>
          <w:rFonts w:ascii="Arial" w:cs="Arial" w:eastAsia="Arial" w:hAnsi="Arial"/>
          <w:sz w:val="16"/>
          <w:szCs w:val="16"/>
          <w:color w:val="auto"/>
        </w:rPr>
      </w:pPr>
    </w:p>
    <w:p>
      <w:pPr>
        <w:ind w:firstLine="8"/>
        <w:spacing w:after="0" w:line="294" w:lineRule="auto"/>
        <w:tabs>
          <w:tab w:leader="none" w:pos="17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Any action or proceeding seeking to enforce any provision of, or based on any right arising out of, this Agreement may be brought against any of the parties in the courts of the State of New York, or, if it has or can acquire jurisdiction, in the U.S. District Court for the Southern District of New York,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pacing w:after="0" w:line="11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letter agreement may be executed in one or more counterparts, each of which shall be deemed to be an original copy of this letter agreement and all of which, when taken together, shall be deemed to constitute one and the same agreement.</w:t>
      </w:r>
    </w:p>
    <w:p>
      <w:pPr>
        <w:sectPr>
          <w:pgSz w:w="11900" w:h="16838" w:orient="portrait"/>
          <w:cols w:equalWidth="0" w:num="1">
            <w:col w:w="11400"/>
          </w:cols>
          <w:pgMar w:left="240" w:top="280" w:right="259" w:bottom="1440" w:gutter="0" w:footer="0" w:header="0"/>
        </w:sectPr>
      </w:pPr>
    </w:p>
    <w:bookmarkStart w:id="126" w:name="page127"/>
    <w:bookmarkEnd w:id="126"/>
    <w:p>
      <w:pPr>
        <w:ind w:left="172" w:hanging="172"/>
        <w:spacing w:after="0"/>
        <w:tabs>
          <w:tab w:leader="none" w:pos="172"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agreement may not be modified, waived, discharged, or terminated orally, but only by an instrument in writing signed by the parties hereto.</w:t>
      </w:r>
    </w:p>
    <w:p>
      <w:pPr>
        <w:spacing w:after="0" w:line="194" w:lineRule="exact"/>
        <w:rPr>
          <w:rFonts w:ascii="Arial" w:cs="Arial" w:eastAsia="Arial" w:hAnsi="Arial"/>
          <w:sz w:val="16"/>
          <w:szCs w:val="16"/>
          <w:color w:val="auto"/>
        </w:rPr>
      </w:pPr>
    </w:p>
    <w:p>
      <w:pPr>
        <w:ind w:left="-8" w:firstLine="8"/>
        <w:spacing w:after="0" w:line="332" w:lineRule="auto"/>
        <w:tabs>
          <w:tab w:leader="none" w:pos="168"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any provision of this letter agreement shall for any reason be held to be invalid or unenforceable, such invalidity or unenforceability shall not affect any other provision hereof, but this letter agreement shall be construed as if such invalid or unenforceable provision had never been contained herein.</w:t>
      </w:r>
    </w:p>
    <w:p>
      <w:pPr>
        <w:sectPr>
          <w:pgSz w:w="11900" w:h="16838" w:orient="portrait"/>
          <w:cols w:equalWidth="0" w:num="1">
            <w:col w:w="11392"/>
          </w:cols>
          <w:pgMar w:left="248" w:top="280" w:right="259" w:bottom="1440" w:gutter="0" w:footer="0" w:header="0"/>
        </w:sectPr>
      </w:pPr>
    </w:p>
    <w:bookmarkStart w:id="127" w:name="page128"/>
    <w:bookmarkEnd w:id="12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signature below shall signify your agreement with the foregoing letter agreement. Please sign two copies of this letter agreement, retaining one for your files and returning the other copy to PennantPark Floating Rate Capital Ltd.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8473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Duly executed and agreed on April 7,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8473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400"/>
          </w:cols>
          <w:pgMar w:left="240" w:top="280" w:right="2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consent to the use of our report, dated March 4, 2011, included herein and to the references to our firm under the headings “Independent Registered Public Accounting Firm” in the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KPMG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7, 2011</w:t>
      </w:r>
    </w:p>
    <w:p>
      <w:pPr>
        <w:sectPr>
          <w:pgSz w:w="11900" w:h="16838" w:orient="portrait"/>
          <w:cols w:equalWidth="0" w:num="1">
            <w:col w:w="11420"/>
          </w:cols>
          <w:pgMar w:left="240" w:top="125" w:right="239" w:bottom="1440" w:gutter="0" w:footer="0" w:header="0"/>
        </w:sectPr>
      </w:pPr>
    </w:p>
    <w:bookmarkStart w:id="129" w:name="page130"/>
    <w:bookmarkEnd w:id="129"/>
    <w:p>
      <w:pPr>
        <w:ind w:left="8040"/>
        <w:spacing w:after="0"/>
        <w:rPr>
          <w:sz w:val="20"/>
          <w:szCs w:val="20"/>
          <w:color w:val="auto"/>
        </w:rPr>
      </w:pPr>
      <w:r>
        <w:rPr>
          <w:rFonts w:ascii="Arial" w:cs="Arial" w:eastAsia="Arial" w:hAnsi="Arial"/>
          <w:sz w:val="18"/>
          <w:szCs w:val="18"/>
          <w:b w:val="1"/>
          <w:bCs w:val="1"/>
          <w:color w:val="auto"/>
        </w:rPr>
        <w:t>THOMAS FRIEDMANN</w:t>
      </w:r>
    </w:p>
    <w:p>
      <w:pPr>
        <w:spacing w:after="0" w:line="9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thomas.friedmann@dechert.com</w:t>
      </w:r>
    </w:p>
    <w:p>
      <w:pPr>
        <w:ind w:left="8040"/>
        <w:spacing w:after="0" w:line="234" w:lineRule="auto"/>
        <w:rPr>
          <w:sz w:val="20"/>
          <w:szCs w:val="20"/>
          <w:color w:val="auto"/>
        </w:rPr>
      </w:pPr>
      <w:r>
        <w:rPr>
          <w:rFonts w:ascii="Arial" w:cs="Arial" w:eastAsia="Arial" w:hAnsi="Arial"/>
          <w:sz w:val="18"/>
          <w:szCs w:val="18"/>
          <w:color w:val="auto"/>
        </w:rPr>
        <w:t>+1 202 261 3313 Direct</w:t>
      </w:r>
    </w:p>
    <w:p>
      <w:pPr>
        <w:ind w:left="8040"/>
        <w:spacing w:after="0" w:line="238" w:lineRule="auto"/>
        <w:rPr>
          <w:sz w:val="20"/>
          <w:szCs w:val="20"/>
          <w:color w:val="auto"/>
        </w:rPr>
      </w:pPr>
      <w:r>
        <w:rPr>
          <w:rFonts w:ascii="Arial" w:cs="Arial" w:eastAsia="Arial" w:hAnsi="Arial"/>
          <w:sz w:val="18"/>
          <w:szCs w:val="18"/>
          <w:color w:val="auto"/>
        </w:rPr>
        <w:t>+1 202 261 3016 Fax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7, 2011</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John M. Ganley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 (the “Company”)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Registration Statement on Form N-2—File Nos. 333-170243 and 811-22489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Mr. Ganley: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behalf of Pennant Floating Rate Capital Ltd. (the “</w:t>
      </w:r>
      <w:r>
        <w:rPr>
          <w:rFonts w:ascii="Arial" w:cs="Arial" w:eastAsia="Arial" w:hAnsi="Arial"/>
          <w:sz w:val="18"/>
          <w:szCs w:val="18"/>
          <w:u w:val="single" w:color="auto"/>
          <w:color w:val="auto"/>
        </w:rPr>
        <w:t>Company</w:t>
      </w:r>
      <w:r>
        <w:rPr>
          <w:rFonts w:ascii="Arial" w:cs="Arial" w:eastAsia="Arial" w:hAnsi="Arial"/>
          <w:sz w:val="18"/>
          <w:szCs w:val="18"/>
          <w:color w:val="auto"/>
        </w:rPr>
        <w:t>”), and pursuant to Section 8(a)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we have submitted for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via the EDGAR System Pre-Effective Amendment No. 6 to the Company’s Registration Statement on Form N-2 (Registration Nos. 333-170243 and 811-22489).</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 or David Harris at (202) 261-3385.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300"/>
      </w:cols>
      <w:pgMar w:left="24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decimal"/>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1)"/>
      <w:numFmt w:val="decimal"/>
      <w:start w:val="2"/>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3"/>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lvl w:ilvl="1">
      <w:lvlJc w:val="left"/>
      <w:lvlText w:val="•"/>
      <w:numFmt w:val="bullet"/>
      <w:start w:val="1"/>
    </w:lvl>
  </w:abstractNum>
  <w:abstractNum w:abstractNumId="8">
    <w:nsid w:val="70A64E2A"/>
    <w:multiLevelType w:val="hybridMultilevel"/>
    <w:lvl w:ilvl="0">
      <w:lvlJc w:val="left"/>
      <w:lvlText w:val="(%1)"/>
      <w:numFmt w:val="decimal"/>
      <w:start w:val="6"/>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lowerRoman"/>
      <w:start w:val="2"/>
    </w:lvl>
  </w:abstractNum>
  <w:abstractNum w:abstractNumId="22">
    <w:nsid w:val="684A481A"/>
    <w:multiLevelType w:val="hybridMultilevel"/>
    <w:lvl w:ilvl="0">
      <w:lvlJc w:val="left"/>
      <w:lvlText w:val="%1"/>
      <w:numFmt w:val="upperLetter"/>
      <w:start w:val="28"/>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5"/>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4"/>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lvl w:ilvl="1">
      <w:lvlJc w:val="left"/>
      <w:lvlText w:val="="/>
      <w:numFmt w:val="bullet"/>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decimal"/>
      <w:start w:val="1"/>
    </w:lvl>
    <w:lvl w:ilvl="1">
      <w:lvlJc w:val="left"/>
      <w:lvlText w:val="(%2)"/>
      <w:numFmt w:val="lowerLetter"/>
      <w:start w:val="1"/>
    </w:lvl>
  </w:abstractNum>
  <w:abstractNum w:abstractNumId="54">
    <w:nsid w:val="2F305DEF"/>
    <w:multiLevelType w:val="hybridMultilevel"/>
    <w:lvl w:ilvl="0">
      <w:lvlJc w:val="left"/>
      <w:lvlText w:val="(%1)"/>
      <w:numFmt w:val="decimal"/>
      <w:start w:val="4"/>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decimal"/>
      <w:start w:val="2"/>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1)"/>
      <w:numFmt w:val="decimal"/>
      <w:start w:val="3"/>
    </w:lvl>
  </w:abstractNum>
  <w:abstractNum w:abstractNumId="60">
    <w:nsid w:val="5DB70AE5"/>
    <w:multiLevelType w:val="hybridMultilevel"/>
    <w:lvl w:ilvl="0">
      <w:lvlJc w:val="left"/>
      <w:lvlText w:val="(%1)"/>
      <w:numFmt w:val="lowerRoman"/>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Letter"/>
      <w:start w:val="9"/>
    </w:lvl>
  </w:abstractNum>
  <w:abstractNum w:abstractNumId="67">
    <w:nsid w:val="6B94764"/>
    <w:multiLevelType w:val="hybridMultilevel"/>
    <w:lvl w:ilvl="0">
      <w:lvlJc w:val="left"/>
      <w:lvlText w:val="(%1)"/>
      <w:numFmt w:val="lowerLetter"/>
      <w:start w:val="13"/>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3"/>
    </w:lvl>
    <w:lvl w:ilvl="1">
      <w:lvlJc w:val="left"/>
      <w:lvlText w:val="(%2)"/>
      <w:numFmt w:val="lowerLetter"/>
      <w:start w:val="1"/>
    </w:lvl>
  </w:abstractNum>
  <w:abstractNum w:abstractNumId="74">
    <w:nsid w:val="7BD3EE7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2019-12-11T08:37:38Z</dcterms:created>
  <dcterms:modified xsi:type="dcterms:W3CDTF">2019-12-11T08:37:38Z</dcterms:modified>
</cp:coreProperties>
</file>