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5001dfwp.htm"/>
      <w:bookmarkStart w:id="1" w:name="ksd75001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February 25,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dated February 25, 2026 and </w:t>
      </w:r>
    </w:p>
    <w:p>
      <w:pPr>
        <w:pStyle w:val="TextBody"/>
        <w:bidi w:val="0"/>
        <w:spacing w:before="0" w:after="0"/>
        <w:jc w:val="right"/>
        <w:rPr>
          <w:rFonts w:ascii="Times New Roman" w:hAnsi="Times New Roman"/>
          <w:b/>
          <w:sz w:val="20"/>
        </w:rPr>
      </w:pPr>
      <w:r>
        <w:rPr>
          <w:rFonts w:ascii="Times New Roman" w:hAnsi="Times New Roman"/>
          <w:b/>
          <w:sz w:val="20"/>
        </w:rPr>
        <w:t xml:space="preserve">Prospectus dated July 17, 2024 </w:t>
      </w:r>
    </w:p>
    <w:p>
      <w:pPr>
        <w:pStyle w:val="TextBody"/>
        <w:bidi w:val="0"/>
        <w:spacing w:before="0" w:after="0"/>
        <w:jc w:val="right"/>
        <w:rPr>
          <w:rFonts w:ascii="Times New Roman" w:hAnsi="Times New Roman"/>
          <w:sz w:val="20"/>
        </w:rPr>
      </w:pPr>
      <w:r>
        <w:rPr>
          <w:rFonts w:ascii="Times New Roman" w:hAnsi="Times New Roman"/>
          <w:b/>
          <w:sz w:val="20"/>
        </w:rPr>
        <w:t>Registration</w:t>
      </w:r>
      <w:r>
        <w:rPr>
          <w:rFonts w:ascii="Times New Roman" w:hAnsi="Times New Roman"/>
          <w:sz w:val="20"/>
        </w:rPr>
        <w:t> </w:t>
      </w:r>
      <w:r>
        <w:rPr>
          <w:rFonts w:ascii="Times New Roman" w:hAnsi="Times New Roman"/>
          <w:b/>
          <w:sz w:val="20"/>
        </w:rPr>
        <w:t>No.</w:t>
      </w:r>
      <w:r>
        <w:rPr>
          <w:rFonts w:ascii="Times New Roman" w:hAnsi="Times New Roman"/>
          <w:sz w:val="20"/>
        </w:rPr>
        <w:t> </w:t>
      </w:r>
      <w:r>
        <w:rPr>
          <w:rFonts w:ascii="Times New Roman" w:hAnsi="Times New Roman"/>
          <w:b/>
          <w:sz w:val="20"/>
        </w:rPr>
        <w:t>333-</w:t>
      </w:r>
      <w:r>
        <w:rPr>
          <w:rFonts w:ascii="Times New Roman" w:hAnsi="Times New Roman"/>
          <w:sz w:val="20"/>
        </w:rPr>
        <w:t>2</w:t>
      </w:r>
      <w:r>
        <w:rPr>
          <w:rFonts w:ascii="Times New Roman" w:hAnsi="Times New Roman"/>
          <w:b/>
          <w:sz w:val="20"/>
        </w:rPr>
        <w:t>79726</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120" w:after="0"/>
        <w:jc w:val="center"/>
        <w:rPr>
          <w:rFonts w:ascii="Times New Roman" w:hAnsi="Times New Roman"/>
          <w:b/>
          <w:sz w:val="20"/>
        </w:rPr>
      </w:pPr>
      <w:r>
        <w:rPr>
          <w:rFonts w:ascii="Times New Roman" w:hAnsi="Times New Roman"/>
          <w:b/>
          <w:sz w:val="20"/>
        </w:rPr>
        <w:t xml:space="preserve">$200,000,000 </w:t>
      </w:r>
    </w:p>
    <w:p>
      <w:pPr>
        <w:pStyle w:val="TextBody"/>
        <w:bidi w:val="0"/>
        <w:spacing w:before="120" w:after="0"/>
        <w:jc w:val="center"/>
        <w:rPr>
          <w:rFonts w:ascii="Times New Roman" w:hAnsi="Times New Roman"/>
          <w:b/>
          <w:sz w:val="20"/>
        </w:rPr>
      </w:pPr>
      <w:r>
        <w:rPr>
          <w:rFonts w:ascii="Times New Roman" w:hAnsi="Times New Roman"/>
          <w:b/>
          <w:sz w:val="20"/>
        </w:rPr>
        <w:t xml:space="preserve">6.75% Notes due 2029 </w:t>
      </w:r>
    </w:p>
    <w:p>
      <w:pPr>
        <w:pStyle w:val="TextBody"/>
        <w:bidi w:val="0"/>
        <w:spacing w:before="12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120" w:after="0"/>
        <w:jc w:val="center"/>
        <w:rPr>
          <w:rFonts w:ascii="Times New Roman" w:hAnsi="Times New Roman"/>
          <w:b/>
          <w:sz w:val="20"/>
        </w:rPr>
      </w:pPr>
      <w:r>
        <w:rPr>
          <w:rFonts w:ascii="Times New Roman" w:hAnsi="Times New Roman"/>
          <w:b/>
          <w:sz w:val="20"/>
        </w:rPr>
        <w:t xml:space="preserve">February 25,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sets forth the final terms of the 6.75% Notes due 2029 and should only be read together with the preliminary prospectus supplement dated February 25, 2026, together with the accompanying prospectus dated July 17, 2024,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2"/>
        <w:gridCol w:w="121"/>
        <w:gridCol w:w="7692"/>
      </w:tblGrid>
      <w:tr>
        <w:trPr/>
        <w:tc>
          <w:tcPr>
            <w:tcW w:w="23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92" w:type="dxa"/>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PennantPark Floating Rate Capital Ltd. (the “Company”)</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Security:</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6.75% Notes due 2029</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Expected Rating (DBRS)*:</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BBB (low)</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Aggregate Principal Amount Offered:</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$200,000,000</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Trade Date:</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February 25, 2026</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March 4, 2026 (T+5)</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Maturity Date:</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March 4, 2029</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Benchmark Treasury:</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3.500% due February 15, 2029</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Benchmark Treasury Price and Yield:</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100-011⁄4 / 3.486%</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Spread to Benchmark Treasury:</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+351 basis points</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Coupon (Interest Rate):</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6.75%</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Yield to Maturity:</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7.00%</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Price to Public (Issue Price):</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99.334%</w:t>
            </w:r>
          </w:p>
        </w:tc>
      </w:tr>
      <w:tr>
        <w:trPr>
          <w:trHeight w:val="120" w:hRule="atLeast"/>
        </w:trPr>
        <w:tc>
          <w:tcPr>
            <w:tcW w:w="2392" w:type="dxa"/>
            <w:tcBorders/>
            <w:vAlign w:val="center"/>
          </w:tcPr>
          <w:p>
            <w:pPr>
              <w:pStyle w:val="TableContents"/>
              <w:bidi w:val="0"/>
              <w:spacing w:before="0" w:after="283"/>
              <w:jc w:val="left"/>
              <w:rPr>
                <w:sz w:val="4"/>
                <w:szCs w:val="4"/>
              </w:rPr>
            </w:pPr>
            <w:r>
              <w:rPr>
                <w:sz w:val="4"/>
                <w:szCs w:val="4"/>
              </w:rPr>
            </w:r>
          </w:p>
        </w:tc>
        <w:tc>
          <w:tcPr>
            <w:tcW w:w="7813" w:type="dxa"/>
            <w:gridSpan w:val="2"/>
            <w:tcBorders/>
            <w:vAlign w:val="center"/>
          </w:tcPr>
          <w:p>
            <w:pPr>
              <w:pStyle w:val="TableContents"/>
              <w:bidi w:val="0"/>
              <w:spacing w:before="0" w:after="283"/>
              <w:jc w:val="left"/>
              <w:rPr>
                <w:sz w:val="4"/>
                <w:szCs w:val="4"/>
              </w:rPr>
            </w:pPr>
            <w:r>
              <w:rPr>
                <w:sz w:val="4"/>
                <w:szCs w:val="4"/>
              </w:rPr>
            </w:r>
          </w:p>
        </w:tc>
      </w:tr>
      <w:tr>
        <w:trPr/>
        <w:tc>
          <w:tcPr>
            <w:tcW w:w="2392"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r>
              <w:rPr/>
              <w:t>March 4 and September 4, commencing September 4, 2026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426"/>
        <w:gridCol w:w="120"/>
        <w:gridCol w:w="7659"/>
      </w:tblGrid>
      <w:tr>
        <w:trPr/>
        <w:tc>
          <w:tcPr>
            <w:tcW w:w="2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0"/>
              <w:jc w:val="left"/>
              <w:rPr>
                <w:rFonts w:ascii="Times New Roman" w:hAnsi="Times New Roman"/>
                <w:sz w:val="20"/>
              </w:rPr>
            </w:pPr>
            <w:r>
              <w:rPr>
                <w:rFonts w:ascii="Times New Roman" w:hAnsi="Times New Roman"/>
                <w:sz w:val="20"/>
              </w:rPr>
              <w:t>Prior to December 4, 2028 (three months prior to maturity date of the Notes)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and (2) 100% of the principal amount of the Notes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Denomination:</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$2,000 and integral multiples of $1,000 in excess thereof</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CUSIP:</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70806A AC0</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ISIN:</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283"/>
              <w:jc w:val="left"/>
              <w:rPr/>
            </w:pPr>
            <w:r>
              <w:rPr/>
              <w:t>US70806AAC09</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Joint Book-Running Managers:</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20"/>
              <w:jc w:val="left"/>
              <w:rPr>
                <w:rFonts w:ascii="Times New Roman" w:hAnsi="Times New Roman"/>
                <w:sz w:val="20"/>
              </w:rPr>
            </w:pPr>
            <w:r>
              <w:rPr>
                <w:rFonts w:ascii="Times New Roman" w:hAnsi="Times New Roman"/>
                <w:sz w:val="20"/>
              </w:rPr>
              <w:t>Truist Securities, Inc.</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7779"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7659"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0"/>
              <w:jc w:val="left"/>
              <w:rPr>
                <w:rFonts w:ascii="Times New Roman" w:hAnsi="Times New Roman"/>
                <w:sz w:val="20"/>
              </w:rPr>
            </w:pPr>
            <w:r>
              <w:rPr>
                <w:rFonts w:ascii="Times New Roman" w:hAnsi="Times New Roman"/>
                <w:sz w:val="20"/>
              </w:rPr>
              <w:t>Oppenheimer &amp; Co. Inc.</w:t>
            </w:r>
          </w:p>
          <w:p>
            <w:pPr>
              <w:pStyle w:val="TableContents"/>
              <w:bidi w:val="0"/>
              <w:spacing w:before="0" w:after="20"/>
              <w:jc w:val="left"/>
              <w:rPr>
                <w:rFonts w:ascii="Times New Roman" w:hAnsi="Times New Roman"/>
                <w:sz w:val="20"/>
              </w:rPr>
            </w:pPr>
            <w:r>
              <w:rPr>
                <w:rFonts w:ascii="Times New Roman" w:hAnsi="Times New Roman"/>
                <w:sz w:val="20"/>
              </w:rPr>
              <w:t>Regions Securities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that delivery of the Notes will be made to investors on or about March 4, 2026, which will be the fifth business day following the date of pricing of the Notes (such settlement cycle being herein referred to as “T+5”). Under Rule 15c6-1 under the Exchange Act, trades in the secondary market generally are required to settle in one business day, unless the parties to any such trade expressly agree otherwise. Accordingly, purchasers who wish to trade the Notes prior to one business day prior to the date of delivery hereunder will be required, by virtue of the fact that the Notes initially will settle in T+5 business days, to specify an alternative settlement arrangement at the time of any such trade to prevent a failed settlement.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Company before investing. The preliminary prospectus supplement dated February 25, 2026 and the accompanying prospectus dated July 17, 2024, each of which have been filed with the Securities and Exchange Commission (the “SEC”), contains this and other information about the Company and should be read carefully before investing.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in the Preliminary Prospectus and in this pricing term sheet is not complete and may be changed. The Preliminary Prospectus and this pricing term sheet are not offers to sell any securities of the Company and are not soliciting an offer to buy such securities in any state or jurisdiction where such offer and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Company’s shelf registration statement is on file and has been declared effective by the SEC. The offering may be made only by means of a preliminary prospectus supplement and an accompanying prospectus. Before you invest, you should read the preliminary prospectus supplement dated February 25, 2026 and the accompanying prospectus dated July 17, 2024 and other documents the Company has filed with the SEC for more complete information about the Company and this offering. You may obtain these documents for free by visiting EDGAR on the SEC Web site at www.sec.gov. Alternatively, the Company, any underwriter or any dealer participating in the offering will arrange to send you the prospectus supplement and accompanying prospectus if you request it from: Raymond James &amp; Associates, Inc., 880 Carillon Parkway, St. Petersburg, Florida 33716, email: prospectus@raymondjames.com, tel: 800-248-8863.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913</Words>
  <Characters>4825</Characters>
  <CharactersWithSpaces>5735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