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44" w:type="dxa"/>
        <w:tblCellMar>
          <w:top w:w="0" w:type="dxa"/>
          <w:left w:w="0" w:type="dxa"/>
          <w:bottom w:w="0" w:type="dxa"/>
          <w:right w:w="0" w:type="dxa"/>
        </w:tblCellMar>
      </w:tblPr>
      <w:tr>
        <w:trPr>
          <w:trHeight w:val="212"/>
        </w:trPr>
        <w:tc>
          <w:tcPr>
            <w:tcW w:w="4040" w:type="dxa"/>
            <w:vAlign w:val="bottom"/>
          </w:tcPr>
          <w:p>
            <w:pPr>
              <w:jc w:val="center"/>
              <w:ind w:right="2299"/>
              <w:spacing w:after="0"/>
              <w:rPr>
                <w:sz w:val="20"/>
                <w:szCs w:val="20"/>
                <w:color w:val="auto"/>
              </w:rPr>
            </w:pPr>
            <w:r>
              <w:rPr>
                <w:rFonts w:ascii="Arial" w:cs="Arial" w:eastAsia="Arial" w:hAnsi="Arial"/>
                <w:sz w:val="18"/>
                <w:szCs w:val="18"/>
                <w:b w:val="1"/>
                <w:bCs w:val="1"/>
                <w:color w:val="auto"/>
                <w:w w:val="98"/>
              </w:rPr>
              <w:t>Maryland</w:t>
            </w:r>
          </w:p>
        </w:tc>
        <w:tc>
          <w:tcPr>
            <w:tcW w:w="2200" w:type="dxa"/>
            <w:vAlign w:val="bottom"/>
          </w:tcPr>
          <w:p>
            <w:pPr>
              <w:ind w:left="140"/>
              <w:spacing w:after="0"/>
              <w:rPr>
                <w:sz w:val="20"/>
                <w:szCs w:val="20"/>
                <w:color w:val="auto"/>
              </w:rPr>
            </w:pPr>
            <w:r>
              <w:rPr>
                <w:rFonts w:ascii="Arial" w:cs="Arial" w:eastAsia="Arial" w:hAnsi="Arial"/>
                <w:sz w:val="18"/>
                <w:szCs w:val="18"/>
                <w:b w:val="1"/>
                <w:bCs w:val="1"/>
                <w:color w:val="auto"/>
              </w:rPr>
              <w:t>814-00891</w:t>
            </w:r>
          </w:p>
        </w:tc>
        <w:tc>
          <w:tcPr>
            <w:tcW w:w="2680" w:type="dxa"/>
            <w:vAlign w:val="bottom"/>
          </w:tcPr>
          <w:p>
            <w:pPr>
              <w:jc w:val="right"/>
              <w:ind w:right="201"/>
              <w:spacing w:after="0"/>
              <w:rPr>
                <w:sz w:val="20"/>
                <w:szCs w:val="20"/>
                <w:color w:val="auto"/>
              </w:rPr>
            </w:pPr>
            <w:r>
              <w:rPr>
                <w:rFonts w:ascii="Arial" w:cs="Arial" w:eastAsia="Arial" w:hAnsi="Arial"/>
                <w:sz w:val="18"/>
                <w:szCs w:val="18"/>
                <w:b w:val="1"/>
                <w:bCs w:val="1"/>
                <w:color w:val="auto"/>
              </w:rPr>
              <w:t>27-3794690</w:t>
            </w:r>
          </w:p>
        </w:tc>
      </w:tr>
      <w:tr>
        <w:trPr>
          <w:trHeight w:val="148"/>
        </w:trPr>
        <w:tc>
          <w:tcPr>
            <w:tcW w:w="4040" w:type="dxa"/>
            <w:vAlign w:val="bottom"/>
          </w:tcPr>
          <w:p>
            <w:pPr>
              <w:jc w:val="center"/>
              <w:ind w:right="23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00" w:type="dxa"/>
            <w:vAlign w:val="bottom"/>
          </w:tcPr>
          <w:p>
            <w:pPr>
              <w:ind w:left="140"/>
              <w:spacing w:after="0" w:line="149" w:lineRule="exact"/>
              <w:rPr>
                <w:sz w:val="20"/>
                <w:szCs w:val="20"/>
                <w:color w:val="auto"/>
              </w:rPr>
            </w:pPr>
            <w:r>
              <w:rPr>
                <w:rFonts w:ascii="Arial" w:cs="Arial" w:eastAsia="Arial" w:hAnsi="Arial"/>
                <w:sz w:val="14"/>
                <w:szCs w:val="14"/>
                <w:b w:val="1"/>
                <w:bCs w:val="1"/>
                <w:color w:val="auto"/>
              </w:rPr>
              <w:t>(Commission</w:t>
            </w:r>
          </w:p>
        </w:tc>
        <w:tc>
          <w:tcPr>
            <w:tcW w:w="2680" w:type="dxa"/>
            <w:vAlign w:val="bottom"/>
          </w:tcPr>
          <w:p>
            <w:pPr>
              <w:jc w:val="center"/>
              <w:ind w:left="1181"/>
              <w:spacing w:after="0" w:line="149" w:lineRule="exact"/>
              <w:rPr>
                <w:sz w:val="20"/>
                <w:szCs w:val="20"/>
                <w:color w:val="auto"/>
              </w:rPr>
            </w:pPr>
            <w:r>
              <w:rPr>
                <w:rFonts w:ascii="Arial" w:cs="Arial" w:eastAsia="Arial" w:hAnsi="Arial"/>
                <w:sz w:val="14"/>
                <w:szCs w:val="14"/>
                <w:b w:val="1"/>
                <w:bCs w:val="1"/>
                <w:color w:val="auto"/>
                <w:w w:val="98"/>
              </w:rPr>
              <w:t>(IRS Employer</w:t>
            </w:r>
          </w:p>
        </w:tc>
      </w:tr>
      <w:tr>
        <w:trPr>
          <w:trHeight w:val="186"/>
        </w:trPr>
        <w:tc>
          <w:tcPr>
            <w:tcW w:w="4040" w:type="dxa"/>
            <w:vAlign w:val="bottom"/>
          </w:tcPr>
          <w:p>
            <w:pPr>
              <w:jc w:val="center"/>
              <w:ind w:right="2299"/>
              <w:spacing w:after="0"/>
              <w:rPr>
                <w:sz w:val="20"/>
                <w:szCs w:val="20"/>
                <w:color w:val="auto"/>
              </w:rPr>
            </w:pPr>
            <w:r>
              <w:rPr>
                <w:rFonts w:ascii="Arial" w:cs="Arial" w:eastAsia="Arial" w:hAnsi="Arial"/>
                <w:sz w:val="14"/>
                <w:szCs w:val="14"/>
                <w:b w:val="1"/>
                <w:bCs w:val="1"/>
                <w:color w:val="auto"/>
                <w:w w:val="94"/>
              </w:rPr>
              <w:t>of incorporation)</w:t>
            </w:r>
          </w:p>
        </w:tc>
        <w:tc>
          <w:tcPr>
            <w:tcW w:w="2200" w:type="dxa"/>
            <w:vAlign w:val="bottom"/>
          </w:tcPr>
          <w:p>
            <w:pPr>
              <w:ind w:left="120"/>
              <w:spacing w:after="0"/>
              <w:rPr>
                <w:sz w:val="20"/>
                <w:szCs w:val="20"/>
                <w:color w:val="auto"/>
              </w:rPr>
            </w:pPr>
            <w:r>
              <w:rPr>
                <w:rFonts w:ascii="Arial" w:cs="Arial" w:eastAsia="Arial" w:hAnsi="Arial"/>
                <w:sz w:val="14"/>
                <w:szCs w:val="14"/>
                <w:b w:val="1"/>
                <w:bCs w:val="1"/>
                <w:color w:val="auto"/>
              </w:rPr>
              <w:t>File Number)</w:t>
            </w: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Identification Number)</w:t>
            </w:r>
          </w:p>
        </w:tc>
      </w:tr>
      <w:tr>
        <w:trPr>
          <w:trHeight w:val="412"/>
        </w:trPr>
        <w:tc>
          <w:tcPr>
            <w:tcW w:w="4040" w:type="dxa"/>
            <w:vAlign w:val="bottom"/>
          </w:tcPr>
          <w:p>
            <w:pPr>
              <w:jc w:val="center"/>
              <w:ind w:left="1159"/>
              <w:spacing w:after="0"/>
              <w:rPr>
                <w:sz w:val="20"/>
                <w:szCs w:val="20"/>
                <w:color w:val="auto"/>
              </w:rPr>
            </w:pPr>
            <w:r>
              <w:rPr>
                <w:rFonts w:ascii="Arial" w:cs="Arial" w:eastAsia="Arial" w:hAnsi="Arial"/>
                <w:sz w:val="18"/>
                <w:szCs w:val="18"/>
                <w:b w:val="1"/>
                <w:bCs w:val="1"/>
                <w:color w:val="auto"/>
                <w:w w:val="89"/>
              </w:rPr>
              <w:t>590 Madison Avenue, 15th Floor,</w:t>
            </w:r>
          </w:p>
        </w:tc>
        <w:tc>
          <w:tcPr>
            <w:tcW w:w="22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25"/>
        </w:trPr>
        <w:tc>
          <w:tcPr>
            <w:tcW w:w="4040" w:type="dxa"/>
            <w:vAlign w:val="bottom"/>
          </w:tcPr>
          <w:p>
            <w:pPr>
              <w:jc w:val="center"/>
              <w:ind w:left="1179"/>
              <w:spacing w:after="0"/>
              <w:rPr>
                <w:sz w:val="20"/>
                <w:szCs w:val="20"/>
                <w:color w:val="auto"/>
              </w:rPr>
            </w:pPr>
            <w:r>
              <w:rPr>
                <w:rFonts w:ascii="Arial" w:cs="Arial" w:eastAsia="Arial" w:hAnsi="Arial"/>
                <w:sz w:val="18"/>
                <w:szCs w:val="18"/>
                <w:b w:val="1"/>
                <w:bCs w:val="1"/>
                <w:color w:val="auto"/>
                <w:w w:val="93"/>
              </w:rPr>
              <w:t>New York, NY</w:t>
            </w:r>
          </w:p>
        </w:tc>
        <w:tc>
          <w:tcPr>
            <w:tcW w:w="2200" w:type="dxa"/>
            <w:vAlign w:val="bottom"/>
          </w:tcPr>
          <w:p>
            <w:pPr>
              <w:spacing w:after="0"/>
              <w:rPr>
                <w:sz w:val="19"/>
                <w:szCs w:val="19"/>
                <w:color w:val="auto"/>
              </w:rPr>
            </w:pPr>
          </w:p>
        </w:tc>
        <w:tc>
          <w:tcPr>
            <w:tcW w:w="2680" w:type="dxa"/>
            <w:vAlign w:val="bottom"/>
          </w:tcPr>
          <w:p>
            <w:pPr>
              <w:jc w:val="right"/>
              <w:ind w:right="401"/>
              <w:spacing w:after="0"/>
              <w:rPr>
                <w:sz w:val="20"/>
                <w:szCs w:val="20"/>
                <w:color w:val="auto"/>
              </w:rPr>
            </w:pPr>
            <w:r>
              <w:rPr>
                <w:rFonts w:ascii="Arial" w:cs="Arial" w:eastAsia="Arial" w:hAnsi="Arial"/>
                <w:sz w:val="18"/>
                <w:szCs w:val="18"/>
                <w:b w:val="1"/>
                <w:bCs w:val="1"/>
                <w:color w:val="auto"/>
              </w:rPr>
              <w:t>10022</w:t>
            </w:r>
          </w:p>
        </w:tc>
      </w:tr>
      <w:tr>
        <w:trPr>
          <w:trHeight w:val="186"/>
        </w:trPr>
        <w:tc>
          <w:tcPr>
            <w:tcW w:w="4040" w:type="dxa"/>
            <w:vAlign w:val="bottom"/>
          </w:tcPr>
          <w:p>
            <w:pPr>
              <w:jc w:val="center"/>
              <w:ind w:left="11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200" w:type="dxa"/>
            <w:vAlign w:val="bottom"/>
          </w:tcPr>
          <w:p>
            <w:pPr>
              <w:spacing w:after="0"/>
              <w:rPr>
                <w:sz w:val="16"/>
                <w:szCs w:val="16"/>
                <w:color w:val="auto"/>
              </w:rPr>
            </w:pPr>
          </w:p>
        </w:tc>
        <w:tc>
          <w:tcPr>
            <w:tcW w:w="2680" w:type="dxa"/>
            <w:vAlign w:val="bottom"/>
          </w:tcPr>
          <w:p>
            <w:pPr>
              <w:jc w:val="center"/>
              <w:ind w:left="118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44"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Trading Symbol(s)</w:t>
            </w:r>
          </w:p>
        </w:tc>
        <w:tc>
          <w:tcPr>
            <w:tcW w:w="342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28"/>
        </w:trPr>
        <w:tc>
          <w:tcPr>
            <w:tcW w:w="38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PFLT</w:t>
            </w:r>
          </w:p>
        </w:tc>
        <w:tc>
          <w:tcPr>
            <w:tcW w:w="100" w:type="dxa"/>
            <w:vAlign w:val="bottom"/>
          </w:tcPr>
          <w:p>
            <w:pPr>
              <w:spacing w:after="0"/>
              <w:rPr>
                <w:sz w:val="19"/>
                <w:szCs w:val="19"/>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83" w:lineRule="exact"/>
        <w:rPr>
          <w:sz w:val="24"/>
          <w:szCs w:val="24"/>
          <w:color w:val="auto"/>
        </w:rPr>
      </w:pPr>
    </w:p>
    <w:p>
      <w:pPr>
        <w:ind w:left="4" w:right="14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(17 CFR §230.405) or Rule 12b-2 of the Securities Exchange Act of 1934 (17 CFR §240.12b-2). Emerging growth company </w:t>
      </w:r>
      <w:r>
        <w:rPr>
          <w:rFonts w:ascii="MS PGothic" w:cs="MS PGothic" w:eastAsia="MS PGothic" w:hAnsi="MS PGothic"/>
          <w:sz w:val="18"/>
          <w:szCs w:val="18"/>
          <w:color w:val="auto"/>
        </w:rPr>
        <w:t>☐</w:t>
      </w:r>
    </w:p>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On August 20, 2021, PennantPark Floating Rate Capital, Ltd. (the “Company”) entered into equity distribution agreements (together, the “Equity Distribution Agreements”) with each of JMP Securities LLC and Raymond James &amp; Associates, Inc., as the sales agents (each, a “Sales Agent,” and together, the “Sales Agents”), in connection with the sale of shares of the Company’s common stock, par value $0.001 per share (the “Common Stock”), with an aggregate offering price of up to $75 million. The Equity Distribution Agreements provide that the Company may offer and sell shares of the Common Stock from time to time through a Sales Agent in amounts and at times to be determined by the Company (the “Offering”). Actual sales will depend on a variety of factors to be determined by the Company from time to time, including, market conditions and the trading price of the Common Stock. The Company expects to use the net proceeds from this offering to invest in new or existing portfolio companies or for other general corporate or strategic purposes, including repaying amounts outstanding under its existing indebtedness.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Any shares of Common Stock offered and sold in the Offering will be sold pursuant to a prospectus supplement dated August 20, 2021 (the “Prospectus Supplement”) to the Company’s registration statement on Form N-2 (File No. 333-235532) declared effective by the U.S. Securities and Exchange Commission on January 29, 2020 (such registration statement as of its effective date, including the exhibits thereto and the documents incorporated by reference therein, are hereinafter referred to as the “Registration Statement”) and the base prospectus, dated January 29, 2020 (the “Base Prospectus”), relating to the Offering that forms a part of the Registration Statement.</w:t>
      </w:r>
    </w:p>
    <w:p>
      <w:pPr>
        <w:spacing w:after="0" w:line="18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Sales of the Common Stock, if any, under the Prospectus Supplement and the Base Prospectus may be made in negotiated transactions or transactions that are deemed to be “at the market,” as defined in Rule 415 under the Securities Act of 1933, as amended, including sales made directly on The Nasdaq Global Select Market or any similar securities exchange or sales made to or through a market maker other than on a securities exchange, at prices related to the prevailing market prices or at negotiated prices. Under the terms of the Equity Distribution Agreements, each Sales Agent will receive a commission from the Company of up to 2.0% of the gross sales price of any shares of the Common Stock sold through such Sales Agent under the applicable Equity Distribution Agreement. The Equity Distribution Agreements contain customary representations, warranties and agreements of the Company, indemnification rights and other obligations of the parties and termination provisions.</w:t>
      </w:r>
    </w:p>
    <w:p>
      <w:pPr>
        <w:spacing w:after="0" w:line="166"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foregoing description of the Equity Distribution Agreements is not complete and is qualified in its entirety by reference to the full text of the Equity Distribution Agreements, copies of which are attached hereto as Exhibits 1.1 and 1.2 and are incorporated herein by reference.</w:t>
      </w:r>
    </w:p>
    <w:p>
      <w:pPr>
        <w:spacing w:after="0" w:line="146"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This Current Report on Form 8-K shall not constitute an offer to sell or a solicitation of an offer to buy any securities, nor shall there be any sale of these securities in any state or jurisdiction in which such an offer, solicitation or sale would be unlawful prior to registration or qualification under the securities laws of any such state or other jurisdiction.</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 August 20, 2021, Venable LLP delivered its legality opinion with respect to the Common Stock to be sold pursuant to the Prospectus Supplement, a copy of which is attached hereto as Exhibit 5.1.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5.05. Amendments to the Registrant’s Code of Ethics, or Waiver of a Provision of the Code of Ethics.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August 20, 2021, the board of directors of the Company (the “Board”) adopted an amended Joint Code of Ethics (as amended, the “Code”) applicable to, among others, the Company and PennantPark Investment Advisers, LLC, the Company’s investment adviser (the “Adviser”). The Code was amended to extend the Trading Window (as defined in the Code), in the case of the Company’s and the Adviser’s decision to sell the Company’s equity securities, from no later than 30 days after the release of financial results for a fiscal quarter to no later than the end of the quarter during which such financial results have been publicly released.</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amendments reflected in the Code did not relate to or result in any waiver, explicit or implicit, of any provision of the previous Joint Code of Ethics.</w:t>
      </w:r>
    </w:p>
    <w:p>
      <w:pPr>
        <w:spacing w:after="0" w:line="248"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 xml:space="preserve">The foregoing description of the amendments reflected in the Code is not complete and is qualified in its entirety by reference to the full text of the Code, a copy of which is attached hereto as Exhibit 14.1 and is incorporated by reference into this Item 5.05. A copy of the Code is also publicly available in the governance documents section of the Company’s website at: </w:t>
      </w:r>
      <w:r>
        <w:rPr>
          <w:rFonts w:ascii="Arial" w:cs="Arial" w:eastAsia="Arial" w:hAnsi="Arial"/>
          <w:sz w:val="18"/>
          <w:szCs w:val="18"/>
          <w:i w:val="1"/>
          <w:iCs w:val="1"/>
          <w:u w:val="single" w:color="auto"/>
          <w:color w:val="auto"/>
        </w:rPr>
        <w:t>www.pflt.pennantpark.com</w:t>
      </w:r>
      <w:r>
        <w:rPr>
          <w:rFonts w:ascii="Arial" w:cs="Arial" w:eastAsia="Arial" w:hAnsi="Arial"/>
          <w:sz w:val="18"/>
          <w:szCs w:val="18"/>
          <w:color w:val="auto"/>
        </w:rPr>
        <w:t>.</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56" w:lineRule="exact"/>
        <w:rPr>
          <w:sz w:val="20"/>
          <w:szCs w:val="20"/>
          <w:color w:val="auto"/>
        </w:rPr>
      </w:pPr>
    </w:p>
    <w:p>
      <w:pPr>
        <w:ind w:left="660" w:right="40" w:hanging="660"/>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1.1</w:t>
      </w:r>
      <w:r>
        <w:rPr>
          <w:sz w:val="20"/>
          <w:szCs w:val="20"/>
          <w:color w:val="auto"/>
        </w:rPr>
        <w:tab/>
      </w:r>
      <w:hyperlink w:anchor="page5">
        <w:r>
          <w:rPr>
            <w:rFonts w:ascii="Arial" w:cs="Arial" w:eastAsia="Arial" w:hAnsi="Arial"/>
            <w:sz w:val="17"/>
            <w:szCs w:val="17"/>
            <w:u w:val="single" w:color="auto"/>
            <w:color w:val="0000EE"/>
          </w:rPr>
          <w:t>Equity Distribution Agreement, dated as of August 20, 2021, by and among PennantPark Floating Rate Capital, Ltd., PennantPark Investment</w:t>
        </w:r>
      </w:hyperlink>
      <w:r>
        <w:rPr>
          <w:rFonts w:ascii="Arial" w:cs="Arial" w:eastAsia="Arial" w:hAnsi="Arial"/>
          <w:sz w:val="17"/>
          <w:szCs w:val="17"/>
          <w:u w:val="single" w:color="auto"/>
          <w:color w:val="0000EE"/>
        </w:rPr>
        <w:t xml:space="preserve"> </w:t>
      </w:r>
      <w:hyperlink w:anchor="page5">
        <w:r>
          <w:rPr>
            <w:rFonts w:ascii="Arial" w:cs="Arial" w:eastAsia="Arial" w:hAnsi="Arial"/>
            <w:sz w:val="17"/>
            <w:szCs w:val="17"/>
            <w:u w:val="single" w:color="auto"/>
            <w:color w:val="0000EE"/>
          </w:rPr>
          <w:t>Advisers, LLC, PennantPark Investment Administration, LLC and JMP Securities LLC, as the sales agent</w:t>
        </w:r>
      </w:hyperlink>
    </w:p>
    <w:p>
      <w:pPr>
        <w:spacing w:after="0" w:line="38" w:lineRule="exact"/>
        <w:rPr>
          <w:sz w:val="20"/>
          <w:szCs w:val="20"/>
          <w:color w:val="auto"/>
        </w:rPr>
      </w:pPr>
    </w:p>
    <w:p>
      <w:pPr>
        <w:ind w:left="660" w:hanging="660"/>
        <w:spacing w:after="0" w:line="308" w:lineRule="auto"/>
        <w:tabs>
          <w:tab w:leader="none" w:pos="640" w:val="left"/>
        </w:tabs>
        <w:rPr>
          <w:rFonts w:ascii="Arial" w:cs="Arial" w:eastAsia="Arial" w:hAnsi="Arial"/>
          <w:sz w:val="17"/>
          <w:szCs w:val="17"/>
          <w:u w:val="single" w:color="auto"/>
          <w:color w:val="0000EE"/>
        </w:rPr>
      </w:pPr>
      <w:r>
        <w:rPr>
          <w:rFonts w:ascii="Arial" w:cs="Arial" w:eastAsia="Arial" w:hAnsi="Arial"/>
          <w:sz w:val="18"/>
          <w:szCs w:val="18"/>
          <w:color w:val="auto"/>
        </w:rPr>
        <w:t>1.2</w:t>
      </w:r>
      <w:r>
        <w:rPr>
          <w:sz w:val="20"/>
          <w:szCs w:val="20"/>
          <w:color w:val="auto"/>
        </w:rPr>
        <w:tab/>
      </w:r>
      <w:hyperlink w:anchor="page46">
        <w:r>
          <w:rPr>
            <w:rFonts w:ascii="Arial" w:cs="Arial" w:eastAsia="Arial" w:hAnsi="Arial"/>
            <w:sz w:val="17"/>
            <w:szCs w:val="17"/>
            <w:u w:val="single" w:color="auto"/>
            <w:color w:val="0000EE"/>
          </w:rPr>
          <w:t>Equity Distribution Agreement, dated as of August 20, 2021, by and among PennantPark Floating Rate Capital, Ltd., PennantPark Investment</w:t>
        </w:r>
      </w:hyperlink>
      <w:r>
        <w:rPr>
          <w:rFonts w:ascii="Arial" w:cs="Arial" w:eastAsia="Arial" w:hAnsi="Arial"/>
          <w:sz w:val="17"/>
          <w:szCs w:val="17"/>
          <w:u w:val="single" w:color="auto"/>
          <w:color w:val="0000EE"/>
        </w:rPr>
        <w:t xml:space="preserve"> </w:t>
      </w:r>
      <w:hyperlink w:anchor="page46">
        <w:r>
          <w:rPr>
            <w:rFonts w:ascii="Arial" w:cs="Arial" w:eastAsia="Arial" w:hAnsi="Arial"/>
            <w:sz w:val="17"/>
            <w:szCs w:val="17"/>
            <w:u w:val="single" w:color="auto"/>
            <w:color w:val="0000EE"/>
          </w:rPr>
          <w:t>Advisers, LLC, PennantPark Investment Administration, LLC and Raymond James &amp; Associates, Inc., as the sales agent</w:t>
        </w:r>
      </w:hyperlink>
    </w:p>
    <w:p>
      <w:pPr>
        <w:spacing w:after="0" w:line="38"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5.1</w:t>
      </w:r>
      <w:r>
        <w:rPr>
          <w:sz w:val="20"/>
          <w:szCs w:val="20"/>
          <w:color w:val="auto"/>
        </w:rPr>
        <w:tab/>
      </w:r>
      <w:hyperlink w:anchor="page87">
        <w:r>
          <w:rPr>
            <w:rFonts w:ascii="Arial" w:cs="Arial" w:eastAsia="Arial" w:hAnsi="Arial"/>
            <w:sz w:val="16"/>
            <w:szCs w:val="16"/>
            <w:u w:val="single" w:color="auto"/>
            <w:color w:val="0000EE"/>
          </w:rPr>
          <w:t>Opinion of Venable LLP</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14.1</w:t>
      </w:r>
      <w:r>
        <w:rPr>
          <w:sz w:val="20"/>
          <w:szCs w:val="20"/>
          <w:color w:val="auto"/>
        </w:rPr>
        <w:tab/>
      </w:r>
      <w:hyperlink w:anchor="page91">
        <w:r>
          <w:rPr>
            <w:rFonts w:ascii="Arial" w:cs="Arial" w:eastAsia="Arial" w:hAnsi="Arial"/>
            <w:sz w:val="16"/>
            <w:szCs w:val="16"/>
            <w:u w:val="single" w:color="auto"/>
            <w:color w:val="0000EE"/>
          </w:rPr>
          <w:t>Joint Code of Ethics of PennantPark Floating Rate Capital, Ltd.</w:t>
        </w:r>
      </w:hyperlink>
    </w:p>
    <w:p>
      <w:pPr>
        <w:spacing w:after="0" w:line="117"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23.1</w:t>
      </w:r>
      <w:r>
        <w:rPr>
          <w:sz w:val="20"/>
          <w:szCs w:val="20"/>
          <w:color w:val="auto"/>
        </w:rPr>
        <w:tab/>
      </w:r>
      <w:hyperlink w:anchor="page87">
        <w:r>
          <w:rPr>
            <w:rFonts w:ascii="Arial" w:cs="Arial" w:eastAsia="Arial" w:hAnsi="Arial"/>
            <w:sz w:val="16"/>
            <w:szCs w:val="16"/>
            <w:u w:val="single" w:color="auto"/>
            <w:color w:val="0000EE"/>
          </w:rPr>
          <w:t>Consent of Venable LLP (included in Exhibit 5.1)</w:t>
        </w:r>
      </w:hyperlink>
    </w:p>
    <w:p>
      <w:pPr>
        <w:sectPr>
          <w:pgSz w:w="11900" w:h="16838" w:orient="portrait"/>
          <w:cols w:equalWidth="0" w:num="1">
            <w:col w:w="10920"/>
          </w:cols>
          <w:pgMar w:left="440" w:top="270" w:right="53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spacing w:after="0"/>
        <w:tabs>
          <w:tab w:leader="none" w:pos="5600" w:val="left"/>
        </w:tabs>
        <w:rPr>
          <w:sz w:val="20"/>
          <w:szCs w:val="20"/>
          <w:color w:val="auto"/>
        </w:rPr>
      </w:pPr>
      <w:r>
        <w:rPr>
          <w:rFonts w:ascii="Arial" w:cs="Arial" w:eastAsia="Arial" w:hAnsi="Arial"/>
          <w:sz w:val="18"/>
          <w:szCs w:val="18"/>
          <w:color w:val="auto"/>
        </w:rPr>
        <w:t>Dated: August 20, 2021</w:t>
      </w:r>
      <w:r>
        <w:rPr>
          <w:sz w:val="20"/>
          <w:szCs w:val="20"/>
          <w:color w:val="auto"/>
        </w:rPr>
        <w:tab/>
      </w:r>
      <w:r>
        <w:rPr>
          <w:rFonts w:ascii="Arial" w:cs="Arial" w:eastAsia="Arial" w:hAnsi="Arial"/>
          <w:sz w:val="18"/>
          <w:szCs w:val="18"/>
          <w:b w:val="1"/>
          <w:bCs w:val="1"/>
          <w:color w:val="auto"/>
        </w:rPr>
        <w:t>PENNANTPARK FLOATING RATE CAPITAL LTD.</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Richard Cheung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Richard Cheung</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Chief Financial Officer &amp; Treasurer</w:t>
      </w:r>
    </w:p>
    <w:p>
      <w:pPr>
        <w:sectPr>
          <w:pgSz w:w="11900" w:h="16838" w:orient="portrait"/>
          <w:cols w:equalWidth="0" w:num="1">
            <w:col w:w="10260"/>
          </w:cols>
          <w:pgMar w:left="440" w:top="270"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377190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PENNANTPARK FLOATING RATE CAPITAL LTD.</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 Maryland corporation)</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Common Stock, Par Value $0.001 Per Share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Dated: August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203200</wp:posOffset>
            </wp:positionV>
            <wp:extent cx="69951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PENNANTPARK FLOATING RATE CAPITAL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Maryland corporation)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Common Stock, Par Value $0.001 Per Share</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EQUITY DISTRIBUTION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600 Montgomery Street, Suite 1100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 94111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PennantPark Floating Rate Capital Ltd., a Maryland corporation (the “Company”), PennantPark Investment Advisers, LLC, a Delaware limited liability company (the “Adviser”) and PennantPark Investment Administration, LLC, a Delaware limited liability company (the “Administrator”), each confirms its agreement with JMP Securities LLC (the “Sales Agent”) with respect to the sale by the Company of shares of common stock, par value $0.001 per share, of the Company (“Common Stock”), having an aggregate offering price of up to $75 million. The shares of Common Stock to be sold by the Sales Agent are herein called, collectively, the “Securities.” The Company, the Adviser and the Administrator have also entered into a sales agreement in substantially similar form to this Agreement (the “Sales Agreement”), dated of even date herewith, with Raymond James &amp; Associates, Inc. (the “Other Agent”). The aggregate amount of Securities that may be sold collectively pursuant to this Agreement and the Sales Agreement shall not exceed the lesser of $75 million and the dollar amount of Securities permitted to be sold under the Registration Statement (as defined below).</w:t>
      </w:r>
    </w:p>
    <w:p>
      <w:pPr>
        <w:spacing w:after="0" w:line="165" w:lineRule="exact"/>
        <w:rPr>
          <w:sz w:val="20"/>
          <w:szCs w:val="20"/>
          <w:color w:val="auto"/>
        </w:rPr>
      </w:pPr>
    </w:p>
    <w:p>
      <w:pPr>
        <w:ind w:right="120"/>
        <w:spacing w:after="0" w:line="268" w:lineRule="auto"/>
        <w:rPr>
          <w:sz w:val="20"/>
          <w:szCs w:val="20"/>
          <w:color w:val="auto"/>
        </w:rPr>
      </w:pPr>
      <w:r>
        <w:rPr>
          <w:rFonts w:ascii="Arial" w:cs="Arial" w:eastAsia="Arial" w:hAnsi="Arial"/>
          <w:sz w:val="17"/>
          <w:szCs w:val="17"/>
          <w:color w:val="auto"/>
        </w:rPr>
        <w:t>The Company has filed with the Securities and Exchange Commission (the “Commission”) a shelf registration statement on Form N-2 (File No. 333-235532), relating to the registration of the Securities and certain of the Company’s other securities under the Securities Act of 1933, as amended (the “1933 Act”), which registration statement was most declared effective by the Commission on January 29, 2020. The Company has also filed with the Commission a prospectus supplement, dated the date hereof, as such prospectus supplement may be amended (the “Prospectus”), which contains a base prospectus, dated January 29, 2020, in accordance with the provisions of Rule 430B (“Rule 430B”) of the rules and regulations of the Commission promulgated under the 1933 Act (such provisions, the “1933 Act Regulations”) and Rule 424(b) (“Rule 424(b)”) of the 1933 Act Regulations.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under the 1933 Act and deemed to be part of the registration statement and also including any registration statement filed pursuant to Rule 462(b) of the 1933 Act Regulations, is herein called the “Registration Statement.” All references in this Agreement to amendments or supplements to the Registration Statement or the Prospectus, including those made pursuant to</w:t>
      </w:r>
    </w:p>
    <w:p>
      <w:pPr>
        <w:sectPr>
          <w:pgSz w:w="11900" w:h="16838" w:orient="portrait"/>
          <w:cols w:equalWidth="0" w:num="1">
            <w:col w:w="11020"/>
          </w:cols>
          <w:pgMar w:left="440" w:top="274" w:right="439" w:bottom="1440" w:gutter="0" w:footer="0" w:header="0"/>
        </w:sectPr>
      </w:pPr>
    </w:p>
    <w:bookmarkStart w:id="6" w:name="page7"/>
    <w:bookmarkEnd w:id="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Rule 424(b) under the 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the Prospectus or any amendment or supplement to any of the foregoing shall be deemed to include the copy filed with the Commission pursuant to its Electronic Data Gathering, Analysis and Retrieval system or any successor system (“EDGAR”).</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Form N-54A Notification of Election to be Subject to Sections 55 through 65 of the Investment Company Act of 1940 Filed Pursuant to Section 54(a) of the Investment Company Act (File No. 814-00743) was filed with the Commission on April 7, 2011 under the Investment Company Act of 1940, as amended (the “1940 Act”), and the rules and regulations and any applicable guidance and/or interpretation of the Commission or its staff thereunder (the “1940 Act Regulations”).</w:t>
      </w:r>
    </w:p>
    <w:p>
      <w:pPr>
        <w:spacing w:after="0" w:line="187"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color w:val="auto"/>
        </w:rPr>
        <w:t>The Company has entered into that certain Second Amended and Restated Investment Advisory Agreement, dated as of February 2, 2016 (the “Investment Management Agreement”), with the Adviser. The Company has entered into that certain Administration Agreement, dated as of April 7, 2011 (the “Administration Agreement”), with the Administrator.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 “Applicable Time” means the time of each sale of the applicable Securities pursuant to this Agreement.</w:t>
      </w:r>
    </w:p>
    <w:p>
      <w:pPr>
        <w:spacing w:after="0" w:line="333"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w:t>
      </w:r>
    </w:p>
    <w:p>
      <w:pPr>
        <w:spacing w:after="0" w:line="117" w:lineRule="exact"/>
        <w:rPr>
          <w:sz w:val="20"/>
          <w:szCs w:val="20"/>
          <w:color w:val="auto"/>
        </w:rPr>
      </w:pPr>
    </w:p>
    <w:p>
      <w:pPr>
        <w:ind w:right="40" w:firstLine="987"/>
        <w:spacing w:after="0" w:line="279" w:lineRule="auto"/>
        <w:tabs>
          <w:tab w:leader="none" w:pos="1371" w:val="left"/>
        </w:tabs>
        <w:numPr>
          <w:ilvl w:val="0"/>
          <w:numId w:val="2"/>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 by the Company</w:t>
      </w:r>
      <w:r>
        <w:rPr>
          <w:rFonts w:ascii="Arial" w:cs="Arial" w:eastAsia="Arial" w:hAnsi="Arial"/>
          <w:sz w:val="17"/>
          <w:szCs w:val="17"/>
          <w:color w:val="auto"/>
        </w:rPr>
        <w:t>. The Company represents and warrants to the Sales Agent as of the date hereof,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Time, each Representation Date (as defined below) and any Date of Delivery (as defined below) and agrees with the Sales Agent, and the Adviser and the Administrator, jointly and severally, represent and warrant to and agree with the Sales Agent as of the date hereof, the Applicable Time, each Representation Date (as defined below) and any Date of Delivery Time (as defined below), as follows:</w:t>
      </w:r>
    </w:p>
    <w:p>
      <w:pPr>
        <w:spacing w:after="0" w:line="63" w:lineRule="exact"/>
        <w:rPr>
          <w:rFonts w:ascii="Arial" w:cs="Arial" w:eastAsia="Arial" w:hAnsi="Arial"/>
          <w:sz w:val="17"/>
          <w:szCs w:val="17"/>
          <w:color w:val="auto"/>
        </w:rPr>
      </w:pPr>
    </w:p>
    <w:p>
      <w:pPr>
        <w:ind w:left="440" w:firstLine="948"/>
        <w:spacing w:after="0" w:line="273" w:lineRule="auto"/>
        <w:tabs>
          <w:tab w:leader="none" w:pos="1742" w:val="left"/>
        </w:tabs>
        <w:numPr>
          <w:ilvl w:val="1"/>
          <w:numId w:val="2"/>
        </w:numPr>
        <w:rPr>
          <w:rFonts w:ascii="Arial" w:cs="Arial" w:eastAsia="Arial" w:hAnsi="Arial"/>
          <w:sz w:val="17"/>
          <w:szCs w:val="17"/>
          <w:color w:val="auto"/>
        </w:rPr>
      </w:pPr>
      <w:r>
        <w:rPr>
          <w:rFonts w:ascii="Arial" w:cs="Arial" w:eastAsia="Arial" w:hAnsi="Arial"/>
          <w:sz w:val="17"/>
          <w:szCs w:val="17"/>
          <w:u w:val="single" w:color="auto"/>
          <w:color w:val="auto"/>
        </w:rPr>
        <w:t>Registration Statement and Prospectuses</w:t>
      </w:r>
      <w:r>
        <w:rPr>
          <w:rFonts w:ascii="Arial" w:cs="Arial" w:eastAsia="Arial" w:hAnsi="Arial"/>
          <w:sz w:val="17"/>
          <w:szCs w:val="17"/>
          <w:color w:val="auto"/>
        </w:rPr>
        <w:t>.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w:t>
      </w:r>
    </w:p>
    <w:p>
      <w:pPr>
        <w:spacing w:after="0" w:line="70"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Each of the Registration Statement and any post-effective amendment thereto, at the time it became effective, complied in all material respects with the requirements of the 1933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7" w:name="page8"/>
    <w:bookmarkEnd w:id="7"/>
    <w:p>
      <w:pPr>
        <w:jc w:val="both"/>
        <w:ind w:left="4"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 the 1933 Act Regulations, the 1940 Act and the 1940 Act Regulations. The Prospectus and any amendment or supplement thereto, at the time each was filed with the Commission, complied in all material respects with the requirements of the 1933 Act, the 1933 Act Regulations, the 1940 Act and the 1940 Act Regulations. The Prospectus delivered to the Sales Agent for use in connection with this offering was or will be identical to the electronically transmitted copies thereof filed with the Commission pursuant to EDGAR, except to the extent permitted by Regulation S-T.</w:t>
      </w:r>
    </w:p>
    <w:p>
      <w:pPr>
        <w:spacing w:after="0" w:line="49" w:lineRule="exact"/>
        <w:rPr>
          <w:sz w:val="20"/>
          <w:szCs w:val="20"/>
          <w:color w:val="auto"/>
        </w:rPr>
      </w:pPr>
    </w:p>
    <w:p>
      <w:pPr>
        <w:ind w:left="4" w:right="60" w:firstLine="948"/>
        <w:spacing w:after="0" w:line="286" w:lineRule="auto"/>
        <w:tabs>
          <w:tab w:leader="none" w:pos="1355" w:val="left"/>
        </w:tabs>
        <w:numPr>
          <w:ilvl w:val="1"/>
          <w:numId w:val="3"/>
        </w:numPr>
        <w:rPr>
          <w:rFonts w:ascii="Arial" w:cs="Arial" w:eastAsia="Arial" w:hAnsi="Arial"/>
          <w:sz w:val="16"/>
          <w:szCs w:val="16"/>
          <w:color w:val="auto"/>
        </w:rPr>
      </w:pP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The Company (including its agents and representatives, other than the Sales Agent in its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w:t>
      </w:r>
    </w:p>
    <w:p>
      <w:pPr>
        <w:spacing w:after="0" w:line="1" w:lineRule="exact"/>
        <w:rPr>
          <w:rFonts w:ascii="Arial" w:cs="Arial" w:eastAsia="Arial" w:hAnsi="Arial"/>
          <w:sz w:val="16"/>
          <w:szCs w:val="16"/>
          <w:color w:val="auto"/>
        </w:rPr>
      </w:pPr>
    </w:p>
    <w:p>
      <w:pPr>
        <w:ind w:left="4" w:right="20" w:hanging="4"/>
        <w:spacing w:after="0" w:line="290" w:lineRule="auto"/>
        <w:tabs>
          <w:tab w:leader="none" w:pos="318" w:val="left"/>
        </w:tabs>
        <w:numPr>
          <w:ilvl w:val="0"/>
          <w:numId w:val="4"/>
        </w:numPr>
        <w:rPr>
          <w:rFonts w:ascii="Arial" w:cs="Arial" w:eastAsia="Arial" w:hAnsi="Arial"/>
          <w:sz w:val="16"/>
          <w:szCs w:val="16"/>
          <w:color w:val="auto"/>
        </w:rPr>
      </w:pPr>
      <w:r>
        <w:rPr>
          <w:rFonts w:ascii="Arial" w:cs="Arial" w:eastAsia="Arial" w:hAnsi="Arial"/>
          <w:sz w:val="16"/>
          <w:szCs w:val="16"/>
          <w:color w:val="auto"/>
        </w:rPr>
        <w:t>and (iv) below) an “Issuer Free Writing Prospectus”) other than (i) any document not constituting a prospectus pursuant to Section 2(a)(10)(a) of the 1933 Act or Rule 134 under the 1933 Act, (ii) the Registration Statement, (iii) the Prospectus, and (iv) any electronic road show or other written communications, in each case approved in writing in advance by the Sales Agent, such approval not to be unreasonably withheld. Each such Issuer Free Writing Prospectus, if any, complies in all material respects with the 1933 Act, has been or will be (within the time period specified in Rule 433) filed in accordance with the 1933 Act (to the extent required thereby). No Issuer Free Writing Prospectus conflicts or will conflict with the information contained in the Registration Statement or the Prospectus that has not been superseded or modified.</w:t>
      </w:r>
    </w:p>
    <w:p>
      <w:pPr>
        <w:spacing w:after="0" w:line="55" w:lineRule="exact"/>
        <w:rPr>
          <w:rFonts w:ascii="Arial" w:cs="Arial" w:eastAsia="Arial" w:hAnsi="Arial"/>
          <w:sz w:val="16"/>
          <w:szCs w:val="16"/>
          <w:color w:val="auto"/>
        </w:rPr>
      </w:pPr>
    </w:p>
    <w:p>
      <w:pPr>
        <w:ind w:left="4" w:right="180" w:firstLine="948"/>
        <w:spacing w:after="0" w:line="263" w:lineRule="auto"/>
        <w:tabs>
          <w:tab w:leader="none" w:pos="1405"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Documents Incorporated by Reference</w:t>
      </w:r>
      <w:r>
        <w:rPr>
          <w:rFonts w:ascii="Arial" w:cs="Arial" w:eastAsia="Arial" w:hAnsi="Arial"/>
          <w:sz w:val="18"/>
          <w:szCs w:val="18"/>
          <w:color w:val="auto"/>
        </w:rPr>
        <w:t>. The documents incorporated by reference in each of the Registration Statement, the Prospectus, when they were filed or when they will be filed with the Commission, as the case may be, conformed or will conform in all material respects to the requirements of the 1934 Act.</w:t>
      </w:r>
    </w:p>
    <w:p>
      <w:pPr>
        <w:spacing w:after="0" w:line="75" w:lineRule="exact"/>
        <w:rPr>
          <w:rFonts w:ascii="Arial" w:cs="Arial" w:eastAsia="Arial" w:hAnsi="Arial"/>
          <w:sz w:val="18"/>
          <w:szCs w:val="18"/>
          <w:color w:val="auto"/>
        </w:rPr>
      </w:pPr>
    </w:p>
    <w:p>
      <w:pPr>
        <w:ind w:left="4" w:firstLine="948"/>
        <w:spacing w:after="0" w:line="293" w:lineRule="auto"/>
        <w:tabs>
          <w:tab w:leader="none" w:pos="1395"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Accurate Disclosure</w:t>
      </w:r>
      <w:r>
        <w:rPr>
          <w:rFonts w:ascii="Arial" w:cs="Arial" w:eastAsia="Arial" w:hAnsi="Arial"/>
          <w:sz w:val="16"/>
          <w:szCs w:val="16"/>
          <w:color w:val="auto"/>
        </w:rPr>
        <w:t>. Neither the Registration Statement nor any amendment thereto, at its effective time, at the Applicable Time or at any Date of Delivery, contained, contains or will contain an untrue statement of a material fact or omitted, omits or will omit to state a material fact required to be stated therein or necessary to make the statements therein, not misleading. Neither the Prospectus nor any amendment or supplement thereto, as of their respective date(s), at the time of any filing with the Commission pursuant to Rule 424(b)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56" w:lineRule="exact"/>
        <w:rPr>
          <w:sz w:val="20"/>
          <w:szCs w:val="20"/>
          <w:color w:val="auto"/>
        </w:rPr>
      </w:pPr>
    </w:p>
    <w:p>
      <w:pPr>
        <w:ind w:left="4" w:right="100"/>
        <w:spacing w:after="0" w:line="279" w:lineRule="auto"/>
        <w:rPr>
          <w:sz w:val="20"/>
          <w:szCs w:val="20"/>
          <w:color w:val="auto"/>
        </w:rPr>
      </w:pPr>
      <w:r>
        <w:rPr>
          <w:rFonts w:ascii="Arial" w:cs="Arial" w:eastAsia="Arial" w:hAnsi="Arial"/>
          <w:sz w:val="17"/>
          <w:szCs w:val="17"/>
          <w:color w:val="auto"/>
        </w:rPr>
        <w:t>The representations and warranties in this subsection shall not apply to statements in or omissions from the Registration Statement (or any amendment thereto) or the Prospectus (or any amendment or supplement thereto) made in reliance upon and in conformity with written information furnished to the Company by the Sales Agent expressly for use therein (collectively, the “Sales Agent Information”). For purposes of this Agreement, the only Sales Agent Information shall be the final paragraph of the “Plan of Distribution” in the Prospectus.</w:t>
      </w:r>
    </w:p>
    <w:p>
      <w:pPr>
        <w:spacing w:after="0" w:line="10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4"/>
          </w:cols>
          <w:pgMar w:left="876" w:top="274" w:right="459" w:bottom="1440" w:gutter="0" w:footer="0" w:header="0"/>
        </w:sectPr>
      </w:pPr>
    </w:p>
    <w:bookmarkStart w:id="8" w:name="page9"/>
    <w:bookmarkEnd w:id="8"/>
    <w:p>
      <w:pPr>
        <w:ind w:right="160" w:firstLine="948"/>
        <w:spacing w:after="0" w:line="257" w:lineRule="auto"/>
        <w:tabs>
          <w:tab w:leader="none" w:pos="134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Not Ineligible Issuer</w:t>
      </w:r>
      <w:r>
        <w:rPr>
          <w:rFonts w:ascii="Arial" w:cs="Arial" w:eastAsia="Arial" w:hAnsi="Arial"/>
          <w:sz w:val="18"/>
          <w:szCs w:val="18"/>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79" w:lineRule="exact"/>
        <w:rPr>
          <w:rFonts w:ascii="Arial" w:cs="Arial" w:eastAsia="Arial" w:hAnsi="Arial"/>
          <w:sz w:val="18"/>
          <w:szCs w:val="18"/>
          <w:color w:val="auto"/>
        </w:rPr>
      </w:pPr>
    </w:p>
    <w:p>
      <w:pPr>
        <w:ind w:right="180" w:firstLine="948"/>
        <w:spacing w:after="0" w:line="259"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Independent Accountants of the Company</w:t>
      </w:r>
      <w:r>
        <w:rPr>
          <w:rFonts w:ascii="Arial" w:cs="Arial" w:eastAsia="Arial" w:hAnsi="Arial"/>
          <w:sz w:val="18"/>
          <w:szCs w:val="18"/>
          <w:color w:val="auto"/>
        </w:rPr>
        <w:t>. The accountants who audited or reviewed the financial statements and supporting schedules of the Company included or incorporated by reference in the Registration Statement and the Prospectus are independent registered public accountants with respect to the Company within the applicable rules and regulations of the Commission and the Public Company Accounting Oversight Board (United States) and as required by the 1933 Act.</w:t>
      </w:r>
    </w:p>
    <w:p>
      <w:pPr>
        <w:spacing w:after="0" w:line="78" w:lineRule="exact"/>
        <w:rPr>
          <w:rFonts w:ascii="Arial" w:cs="Arial" w:eastAsia="Arial" w:hAnsi="Arial"/>
          <w:sz w:val="18"/>
          <w:szCs w:val="18"/>
          <w:color w:val="auto"/>
        </w:rPr>
      </w:pPr>
    </w:p>
    <w:p>
      <w:pPr>
        <w:ind w:firstLine="948"/>
        <w:spacing w:after="0" w:line="268" w:lineRule="auto"/>
        <w:tabs>
          <w:tab w:leader="none" w:pos="1441" w:val="left"/>
        </w:tabs>
        <w:numPr>
          <w:ilvl w:val="0"/>
          <w:numId w:val="5"/>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included or incorporated by reference in the Registration Statement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or the Prospectus under the 1933 Act or the 1933 Act Regulations.</w:t>
      </w:r>
    </w:p>
    <w:p>
      <w:pPr>
        <w:spacing w:after="0" w:line="78" w:lineRule="exact"/>
        <w:rPr>
          <w:rFonts w:ascii="Arial" w:cs="Arial" w:eastAsia="Arial" w:hAnsi="Arial"/>
          <w:sz w:val="17"/>
          <w:szCs w:val="17"/>
          <w:color w:val="auto"/>
        </w:rPr>
      </w:pPr>
    </w:p>
    <w:p>
      <w:pPr>
        <w:ind w:right="80" w:firstLine="948"/>
        <w:spacing w:after="0" w:line="254" w:lineRule="auto"/>
        <w:tabs>
          <w:tab w:leader="none" w:pos="1491"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Except as otherwise stated therein, since the respective dates as of which information is given in the Registration Statement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9" w:name="page10"/>
    <w:bookmarkEnd w:id="9"/>
    <w:p>
      <w:pPr>
        <w:ind w:right="60" w:firstLine="948"/>
        <w:spacing w:after="0" w:line="272" w:lineRule="auto"/>
        <w:tabs>
          <w:tab w:leader="none" w:pos="1391"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Good Standing of the Company</w:t>
      </w:r>
      <w:r>
        <w:rPr>
          <w:rFonts w:ascii="Arial" w:cs="Arial" w:eastAsia="Arial" w:hAnsi="Arial"/>
          <w:sz w:val="17"/>
          <w:szCs w:val="17"/>
          <w:color w:val="auto"/>
        </w:rPr>
        <w:t>.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and the Prospectus and to enter into this Agreement and perform its obligations under this Agreement, the Investment Management Agreement, the Administration Agreement and the Securities;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69" w:lineRule="exact"/>
        <w:rPr>
          <w:rFonts w:ascii="Arial" w:cs="Arial" w:eastAsia="Arial" w:hAnsi="Arial"/>
          <w:sz w:val="17"/>
          <w:szCs w:val="17"/>
          <w:color w:val="auto"/>
        </w:rPr>
      </w:pPr>
    </w:p>
    <w:p>
      <w:pPr>
        <w:ind w:firstLine="948"/>
        <w:spacing w:after="0" w:line="285" w:lineRule="auto"/>
        <w:tabs>
          <w:tab w:leader="none" w:pos="1341"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Subsidiaries of the Company; Portfolio Companies</w:t>
      </w:r>
      <w:r>
        <w:rPr>
          <w:rFonts w:ascii="Arial" w:cs="Arial" w:eastAsia="Arial" w:hAnsi="Arial"/>
          <w:sz w:val="16"/>
          <w:szCs w:val="16"/>
          <w:color w:val="auto"/>
        </w:rPr>
        <w:t xml:space="preserve">. The Company’s only subsidiaries that were consolidated with the Company for financial reporting purposes under GAAP as of June 30, 2021 are those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and the Prospectus under the caption “Portfolio Companies” (each a “Portfolio Company” and collectively the “Portfolio Companies”). Except as otherwise disclosed in the Prospectus, the Company does not control (as such term is defined in Section 2(a)(9) of the 1940 Act), any of the Portfolio Companies or any corporation or other entity in which it invested since the most recent quarter end.</w:t>
      </w:r>
    </w:p>
    <w:p>
      <w:pPr>
        <w:spacing w:after="0" w:line="68" w:lineRule="exact"/>
        <w:rPr>
          <w:rFonts w:ascii="Arial" w:cs="Arial" w:eastAsia="Arial" w:hAnsi="Arial"/>
          <w:sz w:val="16"/>
          <w:szCs w:val="16"/>
          <w:color w:val="auto"/>
        </w:rPr>
      </w:pPr>
    </w:p>
    <w:p>
      <w:pPr>
        <w:ind w:right="240" w:firstLine="948"/>
        <w:spacing w:after="0" w:line="259"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The authorized shares of capital stock of the Company are as set forth in the Registration Statement and the Prospectus under the caption “Description of Our Capital Stock.” The total issued and outstanding shares of capital stock of the Company as of August 19, 2021 are as set forth in the Prospectus Supplement under the caption “The Offering.” The outstanding shares of capital stock of the Company have</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880" w:top="274" w:right="479" w:bottom="1440" w:gutter="0" w:footer="0" w:header="0"/>
        </w:sectPr>
      </w:pPr>
    </w:p>
    <w:bookmarkStart w:id="10" w:name="page11"/>
    <w:bookmarkEnd w:id="10"/>
    <w:p>
      <w:pPr>
        <w:ind w:right="2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49" w:lineRule="exact"/>
        <w:rPr>
          <w:sz w:val="20"/>
          <w:szCs w:val="20"/>
          <w:color w:val="auto"/>
        </w:rPr>
      </w:pPr>
    </w:p>
    <w:p>
      <w:pPr>
        <w:ind w:left="1440" w:hanging="492"/>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Agreements</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firstLine="948"/>
        <w:spacing w:after="0" w:line="272" w:lineRule="auto"/>
        <w:tabs>
          <w:tab w:leader="none" w:pos="1491"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Authorization and Description of Securities</w:t>
      </w:r>
      <w:r>
        <w:rPr>
          <w:rFonts w:ascii="Arial" w:cs="Arial" w:eastAsia="Arial" w:hAnsi="Arial"/>
          <w:sz w:val="17"/>
          <w:szCs w:val="17"/>
          <w:color w:val="auto"/>
        </w:rPr>
        <w:t>. The Securities to be issued and sold by the Company hereunder have been duly authorized and when issued and paid for as contemplated herein will be validly issued, fully paid and non-assessable; and no preemptive rights of stockholders exist with respect to any of the Securities or the issue and sale thereof. The Common Stock conforms to all statements relating thereto contained in the Registration Statement and the Prospectus and such description conforms to the rights set forth in the instruments defining the same. No holder of the Common Stock will be subject to personal liability by reason of being such a holder. The Company acknowledges and agrees that all stock-related numbers contained in this Agreement shall be adjusted to take into account any stock split, stock dividend or similar event effected with respect to the Securities.</w:t>
      </w:r>
    </w:p>
    <w:p>
      <w:pPr>
        <w:spacing w:after="0" w:line="69" w:lineRule="exact"/>
        <w:rPr>
          <w:rFonts w:ascii="Arial" w:cs="Arial" w:eastAsia="Arial" w:hAnsi="Arial"/>
          <w:sz w:val="17"/>
          <w:szCs w:val="17"/>
          <w:color w:val="auto"/>
        </w:rPr>
      </w:pPr>
    </w:p>
    <w:p>
      <w:pPr>
        <w:ind w:right="180" w:firstLine="948"/>
        <w:spacing w:after="0" w:line="263" w:lineRule="auto"/>
        <w:tabs>
          <w:tab w:leader="none" w:pos="1481"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There are no persons with registration rights or other similar rights to have any securities registered for sale pursuant to the Registration Statement or otherwise registered for sale or sold by the Company under the 1933 Act pursuant to this Agreement.</w:t>
      </w:r>
    </w:p>
    <w:p>
      <w:pPr>
        <w:spacing w:after="0" w:line="75" w:lineRule="exact"/>
        <w:rPr>
          <w:rFonts w:ascii="Arial" w:cs="Arial" w:eastAsia="Arial" w:hAnsi="Arial"/>
          <w:sz w:val="18"/>
          <w:szCs w:val="18"/>
          <w:color w:val="auto"/>
        </w:rPr>
      </w:pPr>
    </w:p>
    <w:p>
      <w:pPr>
        <w:ind w:right="40" w:firstLine="948"/>
        <w:spacing w:after="0" w:line="270" w:lineRule="auto"/>
        <w:tabs>
          <w:tab w:leader="none" w:pos="1431"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Absence of Violations and Defaults</w:t>
      </w:r>
      <w:r>
        <w:rPr>
          <w:rFonts w:ascii="Arial" w:cs="Arial" w:eastAsia="Arial" w:hAnsi="Arial"/>
          <w:sz w:val="17"/>
          <w:szCs w:val="17"/>
          <w:color w:val="auto"/>
        </w:rPr>
        <w:t>. Neither the Company nor any of the Subsidiaries is (A) in violation of its charter, bylaws or similar organizational document, each as amended or supplemented from time to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w:t>
      </w:r>
    </w:p>
    <w:p>
      <w:pPr>
        <w:spacing w:after="0" w:line="72" w:lineRule="exact"/>
        <w:rPr>
          <w:rFonts w:ascii="Arial" w:cs="Arial" w:eastAsia="Arial" w:hAnsi="Arial"/>
          <w:sz w:val="17"/>
          <w:szCs w:val="17"/>
          <w:color w:val="auto"/>
        </w:rPr>
      </w:pPr>
    </w:p>
    <w:p>
      <w:pPr>
        <w:ind w:right="60" w:firstLine="948"/>
        <w:spacing w:after="0" w:line="308" w:lineRule="auto"/>
        <w:tabs>
          <w:tab w:leader="none" w:pos="1481" w:val="left"/>
        </w:tabs>
        <w:numPr>
          <w:ilvl w:val="0"/>
          <w:numId w:val="7"/>
        </w:numPr>
        <w:rPr>
          <w:rFonts w:ascii="Arial" w:cs="Arial" w:eastAsia="Arial" w:hAnsi="Arial"/>
          <w:sz w:val="17"/>
          <w:szCs w:val="17"/>
          <w:color w:val="auto"/>
        </w:rPr>
      </w:pPr>
      <w:r>
        <w:rPr>
          <w:rFonts w:ascii="Arial" w:cs="Arial" w:eastAsia="Arial" w:hAnsi="Arial"/>
          <w:sz w:val="17"/>
          <w:szCs w:val="17"/>
          <w:u w:val="single" w:color="auto"/>
          <w:color w:val="auto"/>
        </w:rPr>
        <w:t>Absence of Conflicts</w:t>
      </w:r>
      <w:r>
        <w:rPr>
          <w:rFonts w:ascii="Arial" w:cs="Arial" w:eastAsia="Arial" w:hAnsi="Arial"/>
          <w:sz w:val="17"/>
          <w:szCs w:val="17"/>
          <w:color w:val="auto"/>
        </w:rPr>
        <w:t>. The execution, delivery and performance of this Agreement, and the Securities, the performance of the Investment Management Agreement and the Administration Agreement and the consummation of the transactions</w:t>
      </w:r>
    </w:p>
    <w:p>
      <w:pPr>
        <w:spacing w:after="0" w:line="7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40"/>
          </w:cols>
          <w:pgMar w:left="880" w:top="274" w:right="479" w:bottom="1440" w:gutter="0" w:footer="0" w:header="0"/>
        </w:sectPr>
      </w:pPr>
    </w:p>
    <w:bookmarkStart w:id="11" w:name="page12"/>
    <w:bookmarkEnd w:id="11"/>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contemplated herein and therein and in the Registration Statement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w:t>
      </w:r>
    </w:p>
    <w:p>
      <w:pPr>
        <w:spacing w:after="0" w:line="60" w:lineRule="exact"/>
        <w:rPr>
          <w:sz w:val="20"/>
          <w:szCs w:val="20"/>
          <w:color w:val="auto"/>
        </w:rPr>
      </w:pPr>
    </w:p>
    <w:p>
      <w:pPr>
        <w:ind w:left="1520" w:hanging="572"/>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Neither the Company nor any of the Subsidiaries has any employees.</w:t>
      </w:r>
    </w:p>
    <w:p>
      <w:pPr>
        <w:spacing w:after="0" w:line="117" w:lineRule="exact"/>
        <w:rPr>
          <w:rFonts w:ascii="Arial" w:cs="Arial" w:eastAsia="Arial" w:hAnsi="Arial"/>
          <w:sz w:val="18"/>
          <w:szCs w:val="18"/>
          <w:color w:val="auto"/>
        </w:rPr>
      </w:pPr>
    </w:p>
    <w:p>
      <w:pPr>
        <w:ind w:firstLine="948"/>
        <w:spacing w:after="0" w:line="255" w:lineRule="auto"/>
        <w:tabs>
          <w:tab w:leader="none" w:pos="1581"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Except as disclosed in the Registration Statement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Administration Agreement or the Securities or the performance by the Company of its obligations hereunder or thereunder.</w:t>
      </w:r>
    </w:p>
    <w:p>
      <w:pPr>
        <w:spacing w:after="0" w:line="84" w:lineRule="exact"/>
        <w:rPr>
          <w:rFonts w:ascii="Arial" w:cs="Arial" w:eastAsia="Arial" w:hAnsi="Arial"/>
          <w:sz w:val="18"/>
          <w:szCs w:val="18"/>
          <w:color w:val="auto"/>
        </w:rPr>
      </w:pPr>
    </w:p>
    <w:p>
      <w:pPr>
        <w:ind w:right="180" w:firstLine="948"/>
        <w:spacing w:after="0" w:line="342" w:lineRule="auto"/>
        <w:tabs>
          <w:tab w:leader="none" w:pos="1481"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Accuracy of Exhibits</w:t>
      </w:r>
      <w:r>
        <w:rPr>
          <w:rFonts w:ascii="Arial" w:cs="Arial" w:eastAsia="Arial" w:hAnsi="Arial"/>
          <w:sz w:val="16"/>
          <w:szCs w:val="16"/>
          <w:color w:val="auto"/>
        </w:rPr>
        <w:t>. There are no contracts or documents which are required to be described in the Registration Statement or the Prospectus or to be filed as exhibits to the Registration Statement which have not been so described and filed as required.</w:t>
      </w:r>
    </w:p>
    <w:p>
      <w:pPr>
        <w:spacing w:after="0" w:line="15" w:lineRule="exact"/>
        <w:rPr>
          <w:rFonts w:ascii="Arial" w:cs="Arial" w:eastAsia="Arial" w:hAnsi="Arial"/>
          <w:sz w:val="16"/>
          <w:szCs w:val="16"/>
          <w:color w:val="auto"/>
        </w:rPr>
      </w:pPr>
    </w:p>
    <w:p>
      <w:pPr>
        <w:ind w:right="40" w:firstLine="948"/>
        <w:spacing w:after="0" w:line="296" w:lineRule="auto"/>
        <w:tabs>
          <w:tab w:leader="none" w:pos="1431"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Absence of Further Requirements</w:t>
      </w:r>
      <w:r>
        <w:rPr>
          <w:rFonts w:ascii="Arial" w:cs="Arial" w:eastAsia="Arial" w:hAnsi="Arial"/>
          <w:sz w:val="16"/>
          <w:szCs w:val="16"/>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the Investment Management Agreement, the Administration Agreement, the Securities or the Prospectus (including the issuance and sale of the Securities and the use of the proceeds from the sale of the Securities as described in the Prospectus under the caption “Use of</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12" w:name="page13"/>
    <w:bookmarkEnd w:id="12"/>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Proceeds”), except (A) such as have been already made or obtained, including under the 1933 Act, the 1933 Act Regulations, the 1940 Act, the 1940 Act Regulations,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w:t>
      </w:r>
    </w:p>
    <w:p>
      <w:pPr>
        <w:spacing w:after="0" w:line="80" w:lineRule="exact"/>
        <w:rPr>
          <w:sz w:val="20"/>
          <w:szCs w:val="20"/>
          <w:color w:val="auto"/>
        </w:rPr>
      </w:pPr>
    </w:p>
    <w:p>
      <w:pPr>
        <w:ind w:firstLine="948"/>
        <w:spacing w:after="0" w:line="269" w:lineRule="auto"/>
        <w:tabs>
          <w:tab w:leader="none" w:pos="1481"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77" w:lineRule="exact"/>
        <w:rPr>
          <w:rFonts w:ascii="Arial" w:cs="Arial" w:eastAsia="Arial" w:hAnsi="Arial"/>
          <w:sz w:val="17"/>
          <w:szCs w:val="17"/>
          <w:color w:val="auto"/>
        </w:rPr>
      </w:pPr>
    </w:p>
    <w:p>
      <w:pPr>
        <w:ind w:right="120" w:firstLine="948"/>
        <w:spacing w:after="0" w:line="255" w:lineRule="auto"/>
        <w:tabs>
          <w:tab w:leader="none" w:pos="1531"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Title to Property</w:t>
      </w:r>
      <w:r>
        <w:rPr>
          <w:rFonts w:ascii="Arial" w:cs="Arial" w:eastAsia="Arial" w:hAnsi="Arial"/>
          <w:sz w:val="18"/>
          <w:szCs w:val="18"/>
          <w:color w:val="auto"/>
        </w:rPr>
        <w:t>.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84" w:lineRule="exact"/>
        <w:rPr>
          <w:rFonts w:ascii="Arial" w:cs="Arial" w:eastAsia="Arial" w:hAnsi="Arial"/>
          <w:sz w:val="18"/>
          <w:szCs w:val="18"/>
          <w:color w:val="auto"/>
        </w:rPr>
      </w:pPr>
    </w:p>
    <w:p>
      <w:pPr>
        <w:ind w:right="20" w:firstLine="948"/>
        <w:spacing w:after="0" w:line="270" w:lineRule="auto"/>
        <w:tabs>
          <w:tab w:leader="none" w:pos="1581"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Possession of Intellectual Property</w:t>
      </w:r>
      <w:r>
        <w:rPr>
          <w:rFonts w:ascii="Arial" w:cs="Arial" w:eastAsia="Arial" w:hAnsi="Arial"/>
          <w:sz w:val="17"/>
          <w:szCs w:val="17"/>
          <w:color w:val="auto"/>
        </w:rPr>
        <w:t>.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13" w:name="page14"/>
    <w:bookmarkEnd w:id="13"/>
    <w:p>
      <w:pPr>
        <w:ind w:firstLine="948"/>
        <w:spacing w:after="0" w:line="269" w:lineRule="auto"/>
        <w:tabs>
          <w:tab w:leader="none" w:pos="1571"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Accounting Controls</w:t>
      </w:r>
      <w:r>
        <w:rPr>
          <w:rFonts w:ascii="Arial" w:cs="Arial" w:eastAsia="Arial" w:hAnsi="Arial"/>
          <w:sz w:val="17"/>
          <w:szCs w:val="17"/>
          <w:color w:val="auto"/>
        </w:rPr>
        <w:t>.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 as amended).</w:t>
      </w:r>
    </w:p>
    <w:p>
      <w:pPr>
        <w:spacing w:after="0" w:line="70" w:lineRule="exact"/>
        <w:rPr>
          <w:rFonts w:ascii="Arial" w:cs="Arial" w:eastAsia="Arial" w:hAnsi="Arial"/>
          <w:sz w:val="17"/>
          <w:szCs w:val="17"/>
          <w:color w:val="auto"/>
        </w:rPr>
      </w:pPr>
    </w:p>
    <w:p>
      <w:pPr>
        <w:ind w:right="20" w:firstLine="948"/>
        <w:spacing w:after="0" w:line="286" w:lineRule="auto"/>
        <w:tabs>
          <w:tab w:leader="none" w:pos="1521" w:val="left"/>
        </w:tabs>
        <w:numPr>
          <w:ilvl w:val="0"/>
          <w:numId w:val="10"/>
        </w:numPr>
        <w:rPr>
          <w:rFonts w:ascii="Arial" w:cs="Arial" w:eastAsia="Arial" w:hAnsi="Arial"/>
          <w:sz w:val="16"/>
          <w:szCs w:val="16"/>
          <w:color w:val="auto"/>
        </w:rPr>
      </w:pPr>
      <w:r>
        <w:rPr>
          <w:rFonts w:ascii="Arial" w:cs="Arial" w:eastAsia="Arial" w:hAnsi="Arial"/>
          <w:sz w:val="16"/>
          <w:szCs w:val="16"/>
          <w:u w:val="single" w:color="auto"/>
          <w:color w:val="auto"/>
        </w:rPr>
        <w:t>Taxes and Tax Returns</w:t>
      </w:r>
      <w:r>
        <w:rPr>
          <w:rFonts w:ascii="Arial" w:cs="Arial" w:eastAsia="Arial" w:hAnsi="Arial"/>
          <w:sz w:val="16"/>
          <w:szCs w:val="16"/>
          <w:color w:val="auto"/>
        </w:rPr>
        <w:t>.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2020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w:t>
      </w:r>
    </w:p>
    <w:p>
      <w:pPr>
        <w:spacing w:after="0" w:line="65" w:lineRule="exact"/>
        <w:rPr>
          <w:rFonts w:ascii="Arial" w:cs="Arial" w:eastAsia="Arial" w:hAnsi="Arial"/>
          <w:sz w:val="16"/>
          <w:szCs w:val="16"/>
          <w:color w:val="auto"/>
        </w:rPr>
      </w:pPr>
    </w:p>
    <w:p>
      <w:pPr>
        <w:ind w:right="220" w:firstLine="948"/>
        <w:spacing w:after="0" w:line="277" w:lineRule="auto"/>
        <w:tabs>
          <w:tab w:leader="none" w:pos="157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the Subsidiaries carry or are entitled to the benefits of insurance, with financially sound and reputable insurers, in such</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14" w:name="page15"/>
    <w:bookmarkEnd w:id="1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w:t>
      </w:r>
    </w:p>
    <w:p>
      <w:pPr>
        <w:spacing w:after="0" w:line="79" w:lineRule="exact"/>
        <w:rPr>
          <w:sz w:val="20"/>
          <w:szCs w:val="20"/>
          <w:color w:val="auto"/>
        </w:rPr>
      </w:pPr>
    </w:p>
    <w:p>
      <w:pPr>
        <w:ind w:right="200" w:firstLine="948"/>
        <w:spacing w:after="0" w:line="263" w:lineRule="auto"/>
        <w:tabs>
          <w:tab w:leader="none" w:pos="162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required and, upon the issuance and sale of the Securities as herein contemplated and the application of the net proceeds therefrom as described in the Prospectus, will not be required to register as an “investment company” as such term is used in the 1940 Act.</w:t>
      </w:r>
    </w:p>
    <w:p>
      <w:pPr>
        <w:spacing w:after="0" w:line="75" w:lineRule="exact"/>
        <w:rPr>
          <w:rFonts w:ascii="Arial" w:cs="Arial" w:eastAsia="Arial" w:hAnsi="Arial"/>
          <w:sz w:val="18"/>
          <w:szCs w:val="18"/>
          <w:color w:val="auto"/>
        </w:rPr>
      </w:pPr>
    </w:p>
    <w:p>
      <w:pPr>
        <w:ind w:right="60" w:firstLine="948"/>
        <w:spacing w:after="0" w:line="286" w:lineRule="auto"/>
        <w:tabs>
          <w:tab w:leader="none" w:pos="1671"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Stabilization and Manipulation</w:t>
      </w:r>
      <w:r>
        <w:rPr>
          <w:rFonts w:ascii="Arial" w:cs="Arial" w:eastAsia="Arial" w:hAnsi="Arial"/>
          <w:sz w:val="17"/>
          <w:szCs w:val="17"/>
          <w:color w:val="auto"/>
        </w:rPr>
        <w:t>. The Company has not taken, nor will it take, directly or indirectly, without giving effect to any activities by the Sales Agent, any action designed, or that would reasonably be expected, to cause or result in, or that constitutes, any stabilization or manipulation of the price of the Securities, other than activity permitted pursuant to Rule 10b-18 under the 1934 Act.</w:t>
      </w:r>
    </w:p>
    <w:p>
      <w:pPr>
        <w:spacing w:after="0" w:line="57" w:lineRule="exact"/>
        <w:rPr>
          <w:rFonts w:ascii="Arial" w:cs="Arial" w:eastAsia="Arial" w:hAnsi="Arial"/>
          <w:sz w:val="17"/>
          <w:szCs w:val="17"/>
          <w:color w:val="auto"/>
        </w:rPr>
      </w:pPr>
    </w:p>
    <w:p>
      <w:pPr>
        <w:ind w:firstLine="948"/>
        <w:spacing w:after="0" w:line="269" w:lineRule="auto"/>
        <w:tabs>
          <w:tab w:leader="none" w:pos="1571"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w:t>
      </w:r>
    </w:p>
    <w:p>
      <w:pPr>
        <w:spacing w:after="0" w:line="77" w:lineRule="exact"/>
        <w:rPr>
          <w:rFonts w:ascii="Arial" w:cs="Arial" w:eastAsia="Arial" w:hAnsi="Arial"/>
          <w:sz w:val="17"/>
          <w:szCs w:val="17"/>
          <w:color w:val="auto"/>
        </w:rPr>
      </w:pPr>
    </w:p>
    <w:p>
      <w:pPr>
        <w:ind w:firstLine="948"/>
        <w:spacing w:after="0" w:line="254" w:lineRule="auto"/>
        <w:tabs>
          <w:tab w:leader="none" w:pos="1521"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The operations of the Company and the Subsidiaries are and have been conducted at all times in compliance with applicable financial recordkeeping and reporting requirements of the Currency and Foreign Transactions Reporting Act of 1970, as amended, the applicable anti-money laundering statutes of the jurisdictions in which the Company and the Subsidiaries conduct business, the rules and regulations thereunder and any other relevant laws, rules, regulations or guidelines, issued, administered or enforced by any Governmental Entity (collectively, the “Anti-Money Laundering Laws”); and no action, suit or proceeding by or before any Governmental Entity involving the Company or any of the Subsidiaries with respect to the Anti-Money Laundering Laws is pending or, to the best knowledge of the Company, threatened.</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0"/>
          </w:cols>
          <w:pgMar w:left="880" w:top="274" w:right="479" w:bottom="1440" w:gutter="0" w:footer="0" w:header="0"/>
        </w:sectPr>
      </w:pPr>
    </w:p>
    <w:bookmarkStart w:id="15" w:name="page16"/>
    <w:bookmarkEnd w:id="15"/>
    <w:p>
      <w:pPr>
        <w:ind w:right="80" w:firstLine="948"/>
        <w:spacing w:after="0" w:line="290" w:lineRule="auto"/>
        <w:tabs>
          <w:tab w:leader="none" w:pos="1571"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OFAC</w:t>
      </w:r>
      <w:r>
        <w:rPr>
          <w:rFonts w:ascii="Arial" w:cs="Arial" w:eastAsia="Arial" w:hAnsi="Arial"/>
          <w:sz w:val="16"/>
          <w:szCs w:val="16"/>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 by a Person that is, (i) currently the subject or target of any sanctions administered or enforced by the United States Government, including the U.S. Department of the Treasury’s Office of Foreign Assets Control (“OFAC”), the United Nations Security Council, the European Union, Her Majesty’s Treasury,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spacing w:after="0" w:line="57" w:lineRule="exact"/>
        <w:rPr>
          <w:rFonts w:ascii="Arial" w:cs="Arial" w:eastAsia="Arial" w:hAnsi="Arial"/>
          <w:sz w:val="16"/>
          <w:szCs w:val="16"/>
          <w:color w:val="auto"/>
        </w:rPr>
      </w:pPr>
    </w:p>
    <w:p>
      <w:pPr>
        <w:ind w:right="40" w:firstLine="948"/>
        <w:spacing w:after="0" w:line="263" w:lineRule="auto"/>
        <w:tabs>
          <w:tab w:leader="none" w:pos="162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Lending Relationship</w:t>
      </w:r>
      <w:r>
        <w:rPr>
          <w:rFonts w:ascii="Arial" w:cs="Arial" w:eastAsia="Arial" w:hAnsi="Arial"/>
          <w:sz w:val="18"/>
          <w:szCs w:val="18"/>
          <w:color w:val="auto"/>
        </w:rPr>
        <w:t>. Except as disclosed in the Registration Statement and the Prospectus, the Company (i) does not have any material lending or other relationship with any bank or lending affiliate of the Sales Agent and (ii) does not intend to use any of the proceeds from the sale of the Securities to repay any outstanding debt owed to any affiliate of the Sales Agent.</w:t>
      </w:r>
    </w:p>
    <w:p>
      <w:pPr>
        <w:spacing w:after="0" w:line="75" w:lineRule="exact"/>
        <w:rPr>
          <w:rFonts w:ascii="Arial" w:cs="Arial" w:eastAsia="Arial" w:hAnsi="Arial"/>
          <w:sz w:val="18"/>
          <w:szCs w:val="18"/>
          <w:color w:val="auto"/>
        </w:rPr>
      </w:pPr>
    </w:p>
    <w:p>
      <w:pPr>
        <w:jc w:val="both"/>
        <w:ind w:right="220" w:firstLine="948"/>
        <w:spacing w:after="0" w:line="286" w:lineRule="auto"/>
        <w:tabs>
          <w:tab w:leader="none" w:pos="1671"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Statistical and Market-Related Data</w:t>
      </w:r>
      <w:r>
        <w:rPr>
          <w:rFonts w:ascii="Arial" w:cs="Arial" w:eastAsia="Arial" w:hAnsi="Arial"/>
          <w:sz w:val="17"/>
          <w:szCs w:val="17"/>
          <w:color w:val="auto"/>
        </w:rPr>
        <w:t>. Any statistical and market-related data included or incorporated by reference in the Registration Statement or the Prospectus are based on or derived from sources that the Company believes to be reliable and accurate and, to the extent required, the Company has obtained the written consent to the use of such data from such sources.</w:t>
      </w:r>
    </w:p>
    <w:p>
      <w:pPr>
        <w:spacing w:after="0" w:line="57" w:lineRule="exact"/>
        <w:rPr>
          <w:rFonts w:ascii="Arial" w:cs="Arial" w:eastAsia="Arial" w:hAnsi="Arial"/>
          <w:sz w:val="17"/>
          <w:szCs w:val="17"/>
          <w:color w:val="auto"/>
        </w:rPr>
      </w:pPr>
    </w:p>
    <w:p>
      <w:pPr>
        <w:ind w:firstLine="948"/>
        <w:spacing w:after="0" w:line="263" w:lineRule="auto"/>
        <w:tabs>
          <w:tab w:leader="none" w:pos="166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There are no business relationships or related party transactions involving the Company, any of the Subsidiaries or any other person required to be described in the Registration Statement or the Prospectus which have not been described as required.</w:t>
      </w:r>
    </w:p>
    <w:p>
      <w:pPr>
        <w:spacing w:after="0" w:line="75" w:lineRule="exact"/>
        <w:rPr>
          <w:rFonts w:ascii="Arial" w:cs="Arial" w:eastAsia="Arial" w:hAnsi="Arial"/>
          <w:sz w:val="18"/>
          <w:szCs w:val="18"/>
          <w:color w:val="auto"/>
        </w:rPr>
      </w:pPr>
    </w:p>
    <w:p>
      <w:pPr>
        <w:ind w:right="80" w:firstLine="948"/>
        <w:spacing w:after="0" w:line="259" w:lineRule="auto"/>
        <w:tabs>
          <w:tab w:leader="none" w:pos="1611"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Notification of Election</w:t>
      </w:r>
      <w:r>
        <w:rPr>
          <w:rFonts w:ascii="Arial" w:cs="Arial" w:eastAsia="Arial" w:hAnsi="Arial"/>
          <w:sz w:val="18"/>
          <w:szCs w:val="18"/>
          <w:color w:val="auto"/>
        </w:rPr>
        <w:t>.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right="20" w:firstLine="948"/>
        <w:spacing w:after="0" w:line="273" w:lineRule="auto"/>
        <w:tabs>
          <w:tab w:leader="none" w:pos="1661"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Investment Management Agreement and Administration Agreement</w:t>
      </w:r>
      <w:r>
        <w:rPr>
          <w:rFonts w:ascii="Arial" w:cs="Arial" w:eastAsia="Arial" w:hAnsi="Arial"/>
          <w:sz w:val="17"/>
          <w:szCs w:val="17"/>
          <w:color w:val="auto"/>
        </w:rPr>
        <w:t>.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and the Administration Agreement have been made in accordance with the requirements of Section 15(a) and (c) of the 1940 Act and the 1940 Act Regulations applicable to companies that have elected to</w:t>
      </w: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40"/>
          </w:cols>
          <w:pgMar w:left="880" w:top="274" w:right="479" w:bottom="1440" w:gutter="0" w:footer="0" w:header="0"/>
        </w:sectPr>
      </w:pPr>
    </w:p>
    <w:bookmarkStart w:id="16" w:name="page17"/>
    <w:bookmarkEnd w:id="16"/>
    <w:p>
      <w:pPr>
        <w:ind w:left="4"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80" w:lineRule="exact"/>
        <w:rPr>
          <w:sz w:val="20"/>
          <w:szCs w:val="20"/>
          <w:color w:val="auto"/>
        </w:rPr>
      </w:pPr>
    </w:p>
    <w:p>
      <w:pPr>
        <w:ind w:left="4" w:firstLine="948"/>
        <w:spacing w:after="0" w:line="291" w:lineRule="auto"/>
        <w:tabs>
          <w:tab w:leader="none" w:pos="1715" w:val="left"/>
        </w:tabs>
        <w:numPr>
          <w:ilvl w:val="1"/>
          <w:numId w:val="13"/>
        </w:numPr>
        <w:rPr>
          <w:rFonts w:ascii="Arial" w:cs="Arial" w:eastAsia="Arial" w:hAnsi="Arial"/>
          <w:sz w:val="16"/>
          <w:szCs w:val="16"/>
          <w:color w:val="auto"/>
        </w:rPr>
      </w:pPr>
      <w:r>
        <w:rPr>
          <w:rFonts w:ascii="Arial" w:cs="Arial" w:eastAsia="Arial" w:hAnsi="Arial"/>
          <w:sz w:val="16"/>
          <w:szCs w:val="16"/>
          <w:u w:val="single" w:color="auto"/>
          <w:color w:val="auto"/>
        </w:rPr>
        <w:t>Interested Persons</w:t>
      </w:r>
      <w:r>
        <w:rPr>
          <w:rFonts w:ascii="Arial" w:cs="Arial" w:eastAsia="Arial" w:hAnsi="Arial"/>
          <w:sz w:val="16"/>
          <w:szCs w:val="16"/>
          <w:color w:val="auto"/>
        </w:rPr>
        <w:t>. Except as disclosed in the Registration Statement and the Prospectus (A) no person is serving or acting as an officer, director or investment adviser of the Company, except in accordance with the provisions of the 1940 Act and the Advisers Act, and</w:t>
      </w:r>
    </w:p>
    <w:p>
      <w:pPr>
        <w:ind w:left="4" w:right="240" w:hanging="4"/>
        <w:spacing w:after="0" w:line="260" w:lineRule="auto"/>
        <w:tabs>
          <w:tab w:leader="none" w:pos="2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knowledge of the Company, no director of the Company is an “interested person” (as defined in the 1940 Act) of the Company or an “affiliated person” (as defined in the 1940 Act) of the Sales Agent.</w:t>
      </w:r>
    </w:p>
    <w:p>
      <w:pPr>
        <w:spacing w:after="0" w:line="77" w:lineRule="exact"/>
        <w:rPr>
          <w:rFonts w:ascii="Arial" w:cs="Arial" w:eastAsia="Arial" w:hAnsi="Arial"/>
          <w:sz w:val="18"/>
          <w:szCs w:val="18"/>
          <w:color w:val="auto"/>
        </w:rPr>
      </w:pPr>
    </w:p>
    <w:p>
      <w:pPr>
        <w:ind w:left="4" w:right="20" w:firstLine="948"/>
        <w:spacing w:after="0" w:line="254" w:lineRule="auto"/>
        <w:tabs>
          <w:tab w:leader="none" w:pos="1765" w:val="left"/>
        </w:tabs>
        <w:numPr>
          <w:ilvl w:val="1"/>
          <w:numId w:val="14"/>
        </w:numPr>
        <w:rPr>
          <w:rFonts w:ascii="Arial" w:cs="Arial" w:eastAsia="Arial" w:hAnsi="Arial"/>
          <w:sz w:val="18"/>
          <w:szCs w:val="18"/>
          <w:color w:val="auto"/>
        </w:rPr>
      </w:pPr>
      <w:r>
        <w:rPr>
          <w:rFonts w:ascii="Arial" w:cs="Arial" w:eastAsia="Arial" w:hAnsi="Arial"/>
          <w:sz w:val="18"/>
          <w:szCs w:val="18"/>
          <w:u w:val="single" w:color="auto"/>
          <w:color w:val="auto"/>
        </w:rPr>
        <w:t>Business Development Company</w:t>
      </w:r>
      <w:r>
        <w:rPr>
          <w:rFonts w:ascii="Arial" w:cs="Arial" w:eastAsia="Arial" w:hAnsi="Arial"/>
          <w:sz w:val="18"/>
          <w:szCs w:val="18"/>
          <w:color w:val="auto"/>
        </w:rPr>
        <w:t>.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w:t>
      </w:r>
    </w:p>
    <w:p>
      <w:pPr>
        <w:spacing w:after="0" w:line="86" w:lineRule="exact"/>
        <w:rPr>
          <w:rFonts w:ascii="Arial" w:cs="Arial" w:eastAsia="Arial" w:hAnsi="Arial"/>
          <w:sz w:val="18"/>
          <w:szCs w:val="18"/>
          <w:color w:val="auto"/>
        </w:rPr>
      </w:pPr>
    </w:p>
    <w:p>
      <w:pPr>
        <w:jc w:val="both"/>
        <w:ind w:left="4" w:right="80" w:firstLine="948"/>
        <w:spacing w:after="0" w:line="311" w:lineRule="auto"/>
        <w:tabs>
          <w:tab w:leader="none" w:pos="1665"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No Extension of Credit</w:t>
      </w:r>
      <w:r>
        <w:rPr>
          <w:rFonts w:ascii="Arial" w:cs="Arial" w:eastAsia="Arial" w:hAnsi="Arial"/>
          <w:sz w:val="16"/>
          <w:szCs w:val="16"/>
          <w:color w:val="auto"/>
        </w:rPr>
        <w:t>.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w:t>
      </w:r>
    </w:p>
    <w:p>
      <w:pPr>
        <w:spacing w:after="0" w:line="41" w:lineRule="exact"/>
        <w:rPr>
          <w:sz w:val="20"/>
          <w:szCs w:val="20"/>
          <w:color w:val="auto"/>
        </w:rPr>
      </w:pPr>
    </w:p>
    <w:p>
      <w:pPr>
        <w:ind w:left="4" w:right="60" w:firstLine="952"/>
        <w:spacing w:after="0" w:line="279" w:lineRule="auto"/>
        <w:rPr>
          <w:sz w:val="20"/>
          <w:szCs w:val="20"/>
          <w:color w:val="auto"/>
        </w:rPr>
      </w:pPr>
      <w:r>
        <w:rPr>
          <w:rFonts w:ascii="Arial" w:cs="Arial" w:eastAsia="Arial" w:hAnsi="Arial"/>
          <w:sz w:val="17"/>
          <w:szCs w:val="17"/>
          <w:color w:val="auto"/>
        </w:rPr>
        <w:t xml:space="preserve">(xl) </w:t>
      </w:r>
      <w:r>
        <w:rPr>
          <w:rFonts w:ascii="Arial" w:cs="Arial" w:eastAsia="Arial" w:hAnsi="Arial"/>
          <w:sz w:val="17"/>
          <w:szCs w:val="17"/>
          <w:u w:val="single" w:color="auto"/>
          <w:color w:val="auto"/>
        </w:rPr>
        <w:t>Regulated Investment Company</w:t>
      </w:r>
      <w:r>
        <w:rPr>
          <w:rFonts w:ascii="Arial" w:cs="Arial" w:eastAsia="Arial" w:hAnsi="Arial"/>
          <w:sz w:val="17"/>
          <w:szCs w:val="17"/>
          <w:color w:val="auto"/>
        </w:rPr>
        <w:t>.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w:t>
      </w:r>
    </w:p>
    <w:p>
      <w:pPr>
        <w:spacing w:after="0" w:line="63" w:lineRule="exact"/>
        <w:rPr>
          <w:sz w:val="20"/>
          <w:szCs w:val="20"/>
          <w:color w:val="auto"/>
        </w:rPr>
      </w:pPr>
    </w:p>
    <w:p>
      <w:pPr>
        <w:ind w:left="4" w:right="140" w:firstLine="952"/>
        <w:spacing w:after="0" w:line="259" w:lineRule="auto"/>
        <w:rPr>
          <w:sz w:val="20"/>
          <w:szCs w:val="20"/>
          <w:color w:val="auto"/>
        </w:rPr>
      </w:pPr>
      <w:r>
        <w:rPr>
          <w:rFonts w:ascii="Arial" w:cs="Arial" w:eastAsia="Arial" w:hAnsi="Arial"/>
          <w:sz w:val="18"/>
          <w:szCs w:val="18"/>
          <w:color w:val="auto"/>
        </w:rPr>
        <w:t xml:space="preserve">(xli) </w:t>
      </w:r>
      <w:r>
        <w:rPr>
          <w:rFonts w:ascii="Arial" w:cs="Arial" w:eastAsia="Arial" w:hAnsi="Arial"/>
          <w:sz w:val="18"/>
          <w:szCs w:val="18"/>
          <w:u w:val="single" w:color="auto"/>
          <w:color w:val="auto"/>
        </w:rPr>
        <w:t>Sarbanes-Oxley Act</w:t>
      </w:r>
      <w:r>
        <w:rPr>
          <w:rFonts w:ascii="Arial" w:cs="Arial" w:eastAsia="Arial" w:hAnsi="Arial"/>
          <w:sz w:val="18"/>
          <w:szCs w:val="18"/>
          <w:color w:val="auto"/>
        </w:rPr>
        <w:t>.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119"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24"/>
          </w:cols>
          <w:pgMar w:left="876" w:top="274" w:right="499" w:bottom="1440" w:gutter="0" w:footer="0" w:header="0"/>
        </w:sectPr>
      </w:pPr>
    </w:p>
    <w:bookmarkStart w:id="17" w:name="page18"/>
    <w:bookmarkEnd w:id="17"/>
    <w:p>
      <w:pPr>
        <w:ind w:left="440" w:right="60" w:firstLine="95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(xlii) </w:t>
      </w:r>
      <w:r>
        <w:rPr>
          <w:rFonts w:ascii="Arial" w:cs="Arial" w:eastAsia="Arial" w:hAnsi="Arial"/>
          <w:sz w:val="18"/>
          <w:szCs w:val="18"/>
          <w:u w:val="single" w:color="auto"/>
          <w:color w:val="auto"/>
        </w:rPr>
        <w:t>Forward-Looking Statements</w:t>
      </w:r>
      <w:r>
        <w:rPr>
          <w:rFonts w:ascii="Arial" w:cs="Arial" w:eastAsia="Arial" w:hAnsi="Arial"/>
          <w:sz w:val="18"/>
          <w:szCs w:val="18"/>
          <w:i w:val="1"/>
          <w:iCs w:val="1"/>
          <w:color w:val="auto"/>
        </w:rPr>
        <w:t>.</w:t>
      </w:r>
      <w:r>
        <w:rPr>
          <w:rFonts w:ascii="Arial" w:cs="Arial" w:eastAsia="Arial" w:hAnsi="Arial"/>
          <w:sz w:val="18"/>
          <w:szCs w:val="18"/>
          <w:color w:val="auto"/>
        </w:rPr>
        <w:t xml:space="preserve"> No forward-looking statement (within the meaning of Section 27A of the 1933 Act and Section 21E of the 1934 Act) contained in the Registration Statement or the Prospectus has been made or reaffirmed without a reasonable basis or has been disclosed other than in good faith.</w:t>
      </w:r>
    </w:p>
    <w:p>
      <w:pPr>
        <w:spacing w:after="0" w:line="76" w:lineRule="exact"/>
        <w:rPr>
          <w:sz w:val="20"/>
          <w:szCs w:val="20"/>
          <w:color w:val="auto"/>
        </w:rPr>
      </w:pPr>
    </w:p>
    <w:p>
      <w:pPr>
        <w:ind w:left="440" w:right="40" w:firstLine="952"/>
        <w:spacing w:after="0" w:line="286" w:lineRule="auto"/>
        <w:rPr>
          <w:sz w:val="20"/>
          <w:szCs w:val="20"/>
          <w:color w:val="auto"/>
        </w:rPr>
      </w:pPr>
      <w:r>
        <w:rPr>
          <w:rFonts w:ascii="Arial" w:cs="Arial" w:eastAsia="Arial" w:hAnsi="Arial"/>
          <w:sz w:val="16"/>
          <w:szCs w:val="16"/>
          <w:color w:val="auto"/>
        </w:rPr>
        <w:t xml:space="preserve">(xliii) </w:t>
      </w:r>
      <w:r>
        <w:rPr>
          <w:rFonts w:ascii="Arial" w:cs="Arial" w:eastAsia="Arial" w:hAnsi="Arial"/>
          <w:sz w:val="16"/>
          <w:szCs w:val="16"/>
          <w:u w:val="single" w:color="auto"/>
          <w:color w:val="auto"/>
        </w:rPr>
        <w:t>IT Systems</w:t>
      </w:r>
      <w:r>
        <w:rPr>
          <w:rFonts w:ascii="Arial" w:cs="Arial" w:eastAsia="Arial" w:hAnsi="Arial"/>
          <w:sz w:val="16"/>
          <w:szCs w:val="16"/>
          <w:color w:val="auto"/>
        </w:rPr>
        <w:t>.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w:t>
      </w:r>
    </w:p>
    <w:p>
      <w:pPr>
        <w:spacing w:after="0" w:line="171" w:lineRule="exact"/>
        <w:rPr>
          <w:sz w:val="20"/>
          <w:szCs w:val="20"/>
          <w:color w:val="auto"/>
        </w:rPr>
      </w:pPr>
    </w:p>
    <w:p>
      <w:pPr>
        <w:ind w:right="420" w:firstLine="987"/>
        <w:spacing w:after="0" w:line="263" w:lineRule="auto"/>
        <w:tabs>
          <w:tab w:leader="none" w:pos="1381"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Adviser and the Administrator</w:t>
      </w:r>
      <w:r>
        <w:rPr>
          <w:rFonts w:ascii="Arial" w:cs="Arial" w:eastAsia="Arial" w:hAnsi="Arial"/>
          <w:sz w:val="18"/>
          <w:szCs w:val="18"/>
          <w:color w:val="auto"/>
        </w:rPr>
        <w:t>. The Adviser and the Administrator, jointly and severally,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to the Sales Agent as of the date hereof, the Applicable Time, each Representation Date (as defined below) and any Date of Delivery (as defined below), and agrees with the Sales Agent, as follows:</w:t>
      </w:r>
    </w:p>
    <w:p>
      <w:pPr>
        <w:spacing w:after="0" w:line="75" w:lineRule="exact"/>
        <w:rPr>
          <w:rFonts w:ascii="Arial" w:cs="Arial" w:eastAsia="Arial" w:hAnsi="Arial"/>
          <w:sz w:val="18"/>
          <w:szCs w:val="18"/>
          <w:color w:val="auto"/>
        </w:rPr>
      </w:pPr>
    </w:p>
    <w:p>
      <w:pPr>
        <w:ind w:left="440" w:firstLine="948"/>
        <w:spacing w:after="0" w:line="255" w:lineRule="auto"/>
        <w:tabs>
          <w:tab w:leader="none" w:pos="1742"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Except as otherwise stated therein, since the respective dates as of which information is given or incorporated by reference in the Registration Statement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w:t>
      </w:r>
    </w:p>
    <w:p>
      <w:pPr>
        <w:spacing w:after="0" w:line="84" w:lineRule="exact"/>
        <w:rPr>
          <w:rFonts w:ascii="Arial" w:cs="Arial" w:eastAsia="Arial" w:hAnsi="Arial"/>
          <w:sz w:val="18"/>
          <w:szCs w:val="18"/>
          <w:color w:val="auto"/>
        </w:rPr>
      </w:pPr>
    </w:p>
    <w:p>
      <w:pPr>
        <w:ind w:left="440" w:right="80" w:firstLine="948"/>
        <w:spacing w:after="0" w:line="277" w:lineRule="auto"/>
        <w:tabs>
          <w:tab w:leader="none" w:pos="1792" w:val="left"/>
        </w:tabs>
        <w:numPr>
          <w:ilvl w:val="1"/>
          <w:numId w:val="15"/>
        </w:numPr>
        <w:rPr>
          <w:rFonts w:ascii="Arial" w:cs="Arial" w:eastAsia="Arial" w:hAnsi="Arial"/>
          <w:sz w:val="18"/>
          <w:szCs w:val="18"/>
          <w:color w:val="auto"/>
        </w:rPr>
      </w:pPr>
      <w:r>
        <w:rPr>
          <w:rFonts w:ascii="Arial" w:cs="Arial" w:eastAsia="Arial" w:hAnsi="Arial"/>
          <w:sz w:val="18"/>
          <w:szCs w:val="18"/>
          <w:u w:val="single" w:color="auto"/>
          <w:color w:val="auto"/>
        </w:rPr>
        <w:t>Good Standing</w:t>
      </w:r>
      <w:r>
        <w:rPr>
          <w:rFonts w:ascii="Arial" w:cs="Arial" w:eastAsia="Arial" w:hAnsi="Arial"/>
          <w:sz w:val="18"/>
          <w:szCs w:val="18"/>
          <w:color w:val="auto"/>
        </w:rPr>
        <w:t>. Each of the Adviser and the Administrator has been duly organized and is validly existing as a limited liability company, in good standing under the laws of its state of organization and has limited liability company power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8" w:name="page19"/>
    <w:bookmarkEnd w:id="18"/>
    <w:p>
      <w:pPr>
        <w:ind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authority to own, lease and operate its properties and to conduct its business as described in the Registration Statement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Adviser/Administrator Material Adverse Effect.</w:t>
      </w:r>
    </w:p>
    <w:p>
      <w:pPr>
        <w:spacing w:after="0" w:line="53" w:lineRule="exact"/>
        <w:rPr>
          <w:sz w:val="20"/>
          <w:szCs w:val="20"/>
          <w:color w:val="auto"/>
        </w:rPr>
      </w:pPr>
    </w:p>
    <w:p>
      <w:pPr>
        <w:ind w:right="80" w:firstLine="948"/>
        <w:spacing w:after="0" w:line="257" w:lineRule="auto"/>
        <w:tabs>
          <w:tab w:leader="none" w:pos="1402"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Registration Under Advisers Act</w:t>
      </w:r>
      <w:r>
        <w:rPr>
          <w:rFonts w:ascii="Arial" w:cs="Arial" w:eastAsia="Arial" w:hAnsi="Arial"/>
          <w:sz w:val="18"/>
          <w:szCs w:val="18"/>
          <w:color w:val="auto"/>
        </w:rPr>
        <w:t>. The Adviser is duly registered with the Commission as an investment adviser under the Advisers Act and is not prohibited by the Advisers Act or the 1940 Act from acting under the Investment Management Agreement for the Company as contemplated by the Registration Statement and the Prospectus. There does not exist any proceeding or, to the Adviser’s knowledge, any facts or circumstances the existence of which could lead to any proceeding which might adversely affect the registration of the Adviser with the Commission.</w:t>
      </w:r>
    </w:p>
    <w:p>
      <w:pPr>
        <w:spacing w:after="0" w:line="79" w:lineRule="exact"/>
        <w:rPr>
          <w:rFonts w:ascii="Arial" w:cs="Arial" w:eastAsia="Arial" w:hAnsi="Arial"/>
          <w:sz w:val="18"/>
          <w:szCs w:val="18"/>
          <w:color w:val="auto"/>
        </w:rPr>
      </w:pPr>
    </w:p>
    <w:p>
      <w:pPr>
        <w:ind w:right="100" w:firstLine="948"/>
        <w:spacing w:after="0" w:line="253" w:lineRule="auto"/>
        <w:tabs>
          <w:tab w:leader="none" w:pos="139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Except as disclosed in the Registration Statement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Securities, the Investment Management Agreement or the Administration Agreement or the performance by the Adviser or the Administrator of its obligations hereunder or thereunder.</w:t>
      </w:r>
    </w:p>
    <w:p>
      <w:pPr>
        <w:spacing w:after="0" w:line="88" w:lineRule="exact"/>
        <w:rPr>
          <w:rFonts w:ascii="Arial" w:cs="Arial" w:eastAsia="Arial" w:hAnsi="Arial"/>
          <w:sz w:val="18"/>
          <w:szCs w:val="18"/>
          <w:color w:val="auto"/>
        </w:rPr>
      </w:pPr>
    </w:p>
    <w:p>
      <w:pPr>
        <w:ind w:firstLine="948"/>
        <w:spacing w:after="0" w:line="290" w:lineRule="auto"/>
        <w:tabs>
          <w:tab w:leader="none" w:pos="1341"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Absence of Violations and Defaults</w:t>
      </w:r>
      <w:r>
        <w:rPr>
          <w:rFonts w:ascii="Arial" w:cs="Arial" w:eastAsia="Arial" w:hAnsi="Arial"/>
          <w:sz w:val="16"/>
          <w:szCs w:val="16"/>
          <w:color w:val="auto"/>
        </w:rPr>
        <w:t>.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the “Adviser/Administrator Agreements and Instruments”), except for such defaults that 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19" w:name="page20"/>
    <w:bookmarkEnd w:id="19"/>
    <w:p>
      <w:pPr>
        <w:ind w:left="4" w:right="40" w:firstLine="948"/>
        <w:spacing w:after="0" w:line="283" w:lineRule="auto"/>
        <w:tabs>
          <w:tab w:leader="none" w:pos="1395"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Conflicts</w:t>
      </w:r>
      <w:r>
        <w:rPr>
          <w:rFonts w:ascii="Arial" w:cs="Arial" w:eastAsia="Arial" w:hAnsi="Arial"/>
          <w:sz w:val="16"/>
          <w:szCs w:val="16"/>
          <w:color w:val="auto"/>
        </w:rPr>
        <w:t>.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Adviser and 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w:t>
      </w:r>
    </w:p>
    <w:p>
      <w:pPr>
        <w:spacing w:after="0" w:line="3" w:lineRule="exact"/>
        <w:rPr>
          <w:rFonts w:ascii="Arial" w:cs="Arial" w:eastAsia="Arial" w:hAnsi="Arial"/>
          <w:sz w:val="16"/>
          <w:szCs w:val="16"/>
          <w:color w:val="auto"/>
        </w:rPr>
      </w:pPr>
    </w:p>
    <w:p>
      <w:pPr>
        <w:jc w:val="both"/>
        <w:ind w:left="4" w:hanging="4"/>
        <w:spacing w:after="0" w:line="253" w:lineRule="auto"/>
        <w:tabs>
          <w:tab w:leader="none" w:pos="25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w:t>
      </w:r>
    </w:p>
    <w:p>
      <w:pPr>
        <w:spacing w:after="0" w:line="84" w:lineRule="exact"/>
        <w:rPr>
          <w:rFonts w:ascii="Arial" w:cs="Arial" w:eastAsia="Arial" w:hAnsi="Arial"/>
          <w:sz w:val="18"/>
          <w:szCs w:val="18"/>
          <w:color w:val="auto"/>
        </w:rPr>
      </w:pPr>
    </w:p>
    <w:p>
      <w:pPr>
        <w:ind w:left="4" w:right="260" w:firstLine="948"/>
        <w:spacing w:after="0" w:line="277" w:lineRule="auto"/>
        <w:tabs>
          <w:tab w:leader="none" w:pos="1445"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Authorization of this Agreement</w:t>
      </w:r>
      <w:r>
        <w:rPr>
          <w:rFonts w:ascii="Arial" w:cs="Arial" w:eastAsia="Arial" w:hAnsi="Arial"/>
          <w:sz w:val="18"/>
          <w:szCs w:val="18"/>
          <w:color w:val="auto"/>
        </w:rPr>
        <w:t>. This Agreement has been duly authorized, executed and delivered by each of the Adviser and the Administrator.</w:t>
      </w:r>
    </w:p>
    <w:p>
      <w:pPr>
        <w:spacing w:after="0" w:line="62" w:lineRule="exact"/>
        <w:rPr>
          <w:rFonts w:ascii="Arial" w:cs="Arial" w:eastAsia="Arial" w:hAnsi="Arial"/>
          <w:sz w:val="18"/>
          <w:szCs w:val="18"/>
          <w:color w:val="auto"/>
        </w:rPr>
      </w:pPr>
    </w:p>
    <w:p>
      <w:pPr>
        <w:ind w:left="4" w:right="40" w:firstLine="948"/>
        <w:spacing w:after="0" w:line="255" w:lineRule="auto"/>
        <w:tabs>
          <w:tab w:leader="none" w:pos="1495"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Investment Management Agreement and Administration Agreement</w:t>
      </w:r>
      <w:r>
        <w:rPr>
          <w:rFonts w:ascii="Arial" w:cs="Arial" w:eastAsia="Arial" w:hAnsi="Arial"/>
          <w:sz w:val="18"/>
          <w:szCs w:val="18"/>
          <w:color w:val="auto"/>
        </w:rPr>
        <w:t>.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84" w:lineRule="exact"/>
        <w:rPr>
          <w:rFonts w:ascii="Arial" w:cs="Arial" w:eastAsia="Arial" w:hAnsi="Arial"/>
          <w:sz w:val="18"/>
          <w:szCs w:val="18"/>
          <w:color w:val="auto"/>
        </w:rPr>
      </w:pPr>
    </w:p>
    <w:p>
      <w:pPr>
        <w:ind w:left="4" w:right="80" w:firstLine="948"/>
        <w:spacing w:after="0" w:line="255" w:lineRule="auto"/>
        <w:tabs>
          <w:tab w:leader="none" w:pos="1395" w:val="left"/>
        </w:tabs>
        <w:numPr>
          <w:ilvl w:val="1"/>
          <w:numId w:val="18"/>
        </w:numPr>
        <w:rPr>
          <w:rFonts w:ascii="Arial" w:cs="Arial" w:eastAsia="Arial" w:hAnsi="Arial"/>
          <w:sz w:val="18"/>
          <w:szCs w:val="18"/>
          <w:color w:val="auto"/>
        </w:rPr>
      </w:pPr>
      <w:r>
        <w:rPr>
          <w:rFonts w:ascii="Arial" w:cs="Arial" w:eastAsia="Arial" w:hAnsi="Arial"/>
          <w:sz w:val="18"/>
          <w:szCs w:val="18"/>
          <w:u w:val="single" w:color="auto"/>
          <w:color w:val="auto"/>
        </w:rPr>
        <w:t>Absence of Further Requirements</w:t>
      </w:r>
      <w:r>
        <w:rPr>
          <w:rFonts w:ascii="Arial" w:cs="Arial" w:eastAsia="Arial" w:hAnsi="Arial"/>
          <w:sz w:val="18"/>
          <w:szCs w:val="18"/>
          <w:color w:val="auto"/>
        </w:rPr>
        <w:t>.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w:t>
      </w:r>
    </w:p>
    <w:p>
      <w:pPr>
        <w:spacing w:after="0" w:line="12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4"/>
          </w:cols>
          <w:pgMar w:left="876" w:top="274" w:right="459" w:bottom="1440" w:gutter="0" w:footer="0" w:header="0"/>
        </w:sectPr>
      </w:pPr>
    </w:p>
    <w:bookmarkStart w:id="20" w:name="page21"/>
    <w:bookmarkEnd w:id="20"/>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made or obtained, including under the 1933 Act, the 1933 Act Regulations,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w:t>
      </w:r>
    </w:p>
    <w:p>
      <w:pPr>
        <w:spacing w:after="0" w:line="76" w:lineRule="exact"/>
        <w:rPr>
          <w:sz w:val="20"/>
          <w:szCs w:val="20"/>
          <w:color w:val="auto"/>
        </w:rPr>
      </w:pPr>
    </w:p>
    <w:p>
      <w:pPr>
        <w:ind w:right="60" w:firstLine="948"/>
        <w:spacing w:after="0" w:line="311" w:lineRule="auto"/>
        <w:tabs>
          <w:tab w:leader="none" w:pos="1341"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Descriptions of Adviser and Administrator</w:t>
      </w:r>
      <w:r>
        <w:rPr>
          <w:rFonts w:ascii="Arial" w:cs="Arial" w:eastAsia="Arial" w:hAnsi="Arial"/>
          <w:sz w:val="16"/>
          <w:szCs w:val="16"/>
          <w:color w:val="auto"/>
        </w:rPr>
        <w:t>. The descriptions of the Adviser and the Administrator contained in the Registration Statement and the Prospectus does not contain any untrue statement of a material fact or omit to state a material fact required to be stated therein or necessary to make the statements therein, in the light of the circumstances under which they were made, not misleading.</w:t>
      </w:r>
    </w:p>
    <w:p>
      <w:pPr>
        <w:spacing w:after="0" w:line="40" w:lineRule="exact"/>
        <w:rPr>
          <w:rFonts w:ascii="Arial" w:cs="Arial" w:eastAsia="Arial" w:hAnsi="Arial"/>
          <w:sz w:val="16"/>
          <w:szCs w:val="16"/>
          <w:color w:val="auto"/>
        </w:rPr>
      </w:pPr>
    </w:p>
    <w:p>
      <w:pPr>
        <w:ind w:firstLine="948"/>
        <w:spacing w:after="0" w:line="288" w:lineRule="auto"/>
        <w:tabs>
          <w:tab w:leader="none" w:pos="1391"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 Each of the Adviser and the Administrator is in compliance with the terms and conditions of all such Governmental Licenses, except where the failure so to comply would not reasonably be expected, singly or in the aggregate, to result in an 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w:t>
      </w:r>
    </w:p>
    <w:p>
      <w:pPr>
        <w:spacing w:after="0" w:line="60" w:lineRule="exact"/>
        <w:rPr>
          <w:rFonts w:ascii="Arial" w:cs="Arial" w:eastAsia="Arial" w:hAnsi="Arial"/>
          <w:sz w:val="16"/>
          <w:szCs w:val="16"/>
          <w:color w:val="auto"/>
        </w:rPr>
      </w:pPr>
    </w:p>
    <w:p>
      <w:pPr>
        <w:jc w:val="both"/>
        <w:ind w:right="160" w:firstLine="948"/>
        <w:spacing w:after="0" w:line="259" w:lineRule="auto"/>
        <w:tabs>
          <w:tab w:leader="none" w:pos="144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Stabilization and Manipulation</w:t>
      </w:r>
      <w:r>
        <w:rPr>
          <w:rFonts w:ascii="Arial" w:cs="Arial" w:eastAsia="Arial" w:hAnsi="Arial"/>
          <w:sz w:val="18"/>
          <w:szCs w:val="18"/>
          <w:color w:val="auto"/>
        </w:rPr>
        <w:t>. Neither the Adviser nor the Administrator has taken, nor will take, directly or indirectly, without giving effect to any activities by the Sales Agent, any action designed, or that would reasonably be expected, to cause or result in, or which constitutes, the stabilization or manipulation of the price of the Securities, other than activity permitted pursuant to Rule 10b-18 under the 1934 Act.</w:t>
      </w:r>
    </w:p>
    <w:p>
      <w:pPr>
        <w:spacing w:after="0" w:line="78" w:lineRule="exact"/>
        <w:rPr>
          <w:rFonts w:ascii="Arial" w:cs="Arial" w:eastAsia="Arial" w:hAnsi="Arial"/>
          <w:sz w:val="18"/>
          <w:szCs w:val="18"/>
          <w:color w:val="auto"/>
        </w:rPr>
      </w:pPr>
    </w:p>
    <w:p>
      <w:pPr>
        <w:ind w:right="20" w:firstLine="948"/>
        <w:spacing w:after="0" w:line="254" w:lineRule="auto"/>
        <w:tabs>
          <w:tab w:leader="none" w:pos="1491"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or the Administrator, the</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21" w:name="page22"/>
    <w:bookmarkEnd w:id="21"/>
    <w:p>
      <w:pPr>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Adviser and the Administrator have conducted its business, in relation to the Company, in compliance with the FCPA and has instituted and maintain policies and procedures designed to ensure, and which are reasonably expected to continue to ensure, continued compliance therewith.</w:t>
      </w:r>
    </w:p>
    <w:p>
      <w:pPr>
        <w:spacing w:after="0" w:line="16" w:lineRule="exact"/>
        <w:rPr>
          <w:sz w:val="20"/>
          <w:szCs w:val="20"/>
          <w:color w:val="auto"/>
        </w:rPr>
      </w:pPr>
    </w:p>
    <w:p>
      <w:pPr>
        <w:ind w:right="40" w:firstLine="948"/>
        <w:spacing w:after="0" w:line="255" w:lineRule="auto"/>
        <w:tabs>
          <w:tab w:leader="none" w:pos="148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The operations of the Adviser and the Administrator are and have been conducted at all times in compliance with applicable financial recordkeeping and reporting requirements of the Anti-Money Laundering Laws; and no action, suit or proceeding by or before any arbitrator, court, governmental body, regulatory body, administrative agency or other authority, body or agency having jurisdiction over the Adviser and the Administrator or any of their properties, assets or operations involving the Adviser or the Administrator with respect to the Anti-Money Laundering Laws is pending or, to the best knowledge of the Adviser or the Administrator, threatened.</w:t>
      </w:r>
    </w:p>
    <w:p>
      <w:pPr>
        <w:spacing w:after="0" w:line="84" w:lineRule="exact"/>
        <w:rPr>
          <w:rFonts w:ascii="Arial" w:cs="Arial" w:eastAsia="Arial" w:hAnsi="Arial"/>
          <w:sz w:val="18"/>
          <w:szCs w:val="18"/>
          <w:color w:val="auto"/>
        </w:rPr>
      </w:pPr>
    </w:p>
    <w:p>
      <w:pPr>
        <w:ind w:right="140" w:firstLine="948"/>
        <w:spacing w:after="0" w:line="293" w:lineRule="auto"/>
        <w:tabs>
          <w:tab w:leader="none" w:pos="1431"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 Person, or is controlled by a Person that is, (i) currently the subject or target of Sanctions, or (ii) located, organized or resident in a country or territory that is itself the subject of comprehensive Sanctions (currently Crimea, Cuba, Iran, North Korea, and Syria). During the last five years, neither the Adviser nor the Administrator has knowingly engaged in, and is not now knowingly engaged in, any unauthorized dealings or transactions with any Person that at the time of the dealing or transaction is or was the subject or target of Sanctions.</w:t>
      </w:r>
    </w:p>
    <w:p>
      <w:pPr>
        <w:spacing w:after="0" w:line="56" w:lineRule="exact"/>
        <w:rPr>
          <w:rFonts w:ascii="Arial" w:cs="Arial" w:eastAsia="Arial" w:hAnsi="Arial"/>
          <w:sz w:val="16"/>
          <w:szCs w:val="16"/>
          <w:color w:val="auto"/>
        </w:rPr>
      </w:pPr>
    </w:p>
    <w:p>
      <w:pPr>
        <w:ind w:firstLine="948"/>
        <w:spacing w:after="0" w:line="257" w:lineRule="auto"/>
        <w:tabs>
          <w:tab w:leader="none" w:pos="148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Key Employees</w:t>
      </w:r>
      <w:r>
        <w:rPr>
          <w:rFonts w:ascii="Arial" w:cs="Arial" w:eastAsia="Arial" w:hAnsi="Arial"/>
          <w:sz w:val="18"/>
          <w:szCs w:val="18"/>
          <w:color w:val="auto"/>
        </w:rPr>
        <w:t>.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w:t>
      </w:r>
    </w:p>
    <w:p>
      <w:pPr>
        <w:spacing w:after="0" w:line="79" w:lineRule="exact"/>
        <w:rPr>
          <w:rFonts w:ascii="Arial" w:cs="Arial" w:eastAsia="Arial" w:hAnsi="Arial"/>
          <w:sz w:val="18"/>
          <w:szCs w:val="18"/>
          <w:color w:val="auto"/>
        </w:rPr>
      </w:pPr>
    </w:p>
    <w:p>
      <w:pPr>
        <w:ind w:right="100" w:firstLine="948"/>
        <w:spacing w:after="0" w:line="257" w:lineRule="auto"/>
        <w:tabs>
          <w:tab w:leader="none" w:pos="153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No Labor Disputes</w:t>
      </w:r>
      <w:r>
        <w:rPr>
          <w:rFonts w:ascii="Arial" w:cs="Arial" w:eastAsia="Arial" w:hAnsi="Arial"/>
          <w:sz w:val="18"/>
          <w:szCs w:val="18"/>
          <w:color w:val="auto"/>
        </w:rPr>
        <w:t>.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w:t>
      </w:r>
    </w:p>
    <w:p>
      <w:pPr>
        <w:spacing w:after="0" w:line="79" w:lineRule="exact"/>
        <w:rPr>
          <w:rFonts w:ascii="Arial" w:cs="Arial" w:eastAsia="Arial" w:hAnsi="Arial"/>
          <w:sz w:val="18"/>
          <w:szCs w:val="18"/>
          <w:color w:val="auto"/>
        </w:rPr>
      </w:pPr>
    </w:p>
    <w:p>
      <w:pPr>
        <w:jc w:val="both"/>
        <w:ind w:right="360" w:firstLine="948"/>
        <w:spacing w:after="0" w:line="263" w:lineRule="auto"/>
        <w:tabs>
          <w:tab w:leader="none" w:pos="1581"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Accounting Controls</w:t>
      </w:r>
      <w:r>
        <w:rPr>
          <w:rFonts w:ascii="Arial" w:cs="Arial" w:eastAsia="Arial" w:hAnsi="Arial"/>
          <w:sz w:val="18"/>
          <w:szCs w:val="18"/>
          <w:color w:val="auto"/>
        </w:rPr>
        <w:t>.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0"/>
          </w:cols>
          <w:pgMar w:left="880" w:top="274" w:right="479" w:bottom="1440" w:gutter="0" w:footer="0" w:header="0"/>
        </w:sectPr>
      </w:pPr>
    </w:p>
    <w:bookmarkStart w:id="22" w:name="page23"/>
    <w:bookmarkEnd w:id="22"/>
    <w:p>
      <w:pPr>
        <w:ind w:left="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w:t>
      </w:r>
    </w:p>
    <w:p>
      <w:pPr>
        <w:spacing w:after="0" w:line="70" w:lineRule="exact"/>
        <w:rPr>
          <w:sz w:val="20"/>
          <w:szCs w:val="20"/>
          <w:color w:val="auto"/>
        </w:rPr>
      </w:pPr>
    </w:p>
    <w:p>
      <w:pPr>
        <w:ind w:left="440" w:right="240" w:firstLine="948"/>
        <w:spacing w:after="0" w:line="263" w:lineRule="auto"/>
        <w:tabs>
          <w:tab w:leader="none" w:pos="1921"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Financial Resources</w:t>
      </w:r>
      <w:r>
        <w:rPr>
          <w:rFonts w:ascii="Arial" w:cs="Arial" w:eastAsia="Arial" w:hAnsi="Arial"/>
          <w:sz w:val="18"/>
          <w:szCs w:val="18"/>
          <w:color w:val="auto"/>
        </w:rPr>
        <w:t>. Each of the Adviser and the Administrator has the financial resources available to it necessary for the performance of its services and obligations as contemplated by the Registration Statement, the Prospectus and the Investment Management Agreement.</w:t>
      </w:r>
    </w:p>
    <w:p>
      <w:pPr>
        <w:spacing w:after="0" w:line="183" w:lineRule="exact"/>
        <w:rPr>
          <w:rFonts w:ascii="Arial" w:cs="Arial" w:eastAsia="Arial" w:hAnsi="Arial"/>
          <w:sz w:val="18"/>
          <w:szCs w:val="18"/>
          <w:color w:val="auto"/>
        </w:rPr>
      </w:pPr>
    </w:p>
    <w:p>
      <w:pPr>
        <w:ind w:right="20" w:firstLine="987"/>
        <w:spacing w:after="0" w:line="263" w:lineRule="auto"/>
        <w:tabs>
          <w:tab w:leader="none" w:pos="1371"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any of the Subsidiaries, the Adviser or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to the Sales Agent or to counsel for the Sales Agent shall be deemed a representation and warranty by the Company, the Adviser or the Administrator, as applicable, to the Sales Agent as to the matters covered thereby.</w:t>
      </w:r>
    </w:p>
    <w:p>
      <w:pPr>
        <w:spacing w:after="0" w:line="184"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Sale and Delivery of Securities</w:t>
      </w:r>
      <w:r>
        <w:rPr>
          <w:rFonts w:ascii="Arial" w:cs="Arial" w:eastAsia="Arial" w:hAnsi="Arial"/>
          <w:sz w:val="16"/>
          <w:szCs w:val="16"/>
          <w:color w:val="auto"/>
        </w:rPr>
        <w:t>.</w:t>
      </w:r>
    </w:p>
    <w:p>
      <w:pPr>
        <w:spacing w:after="0" w:line="225" w:lineRule="exact"/>
        <w:rPr>
          <w:sz w:val="20"/>
          <w:szCs w:val="20"/>
          <w:color w:val="auto"/>
        </w:rPr>
      </w:pPr>
    </w:p>
    <w:p>
      <w:pPr>
        <w:ind w:right="220" w:firstLine="987"/>
        <w:spacing w:after="0" w:line="263" w:lineRule="auto"/>
        <w:tabs>
          <w:tab w:leader="none" w:pos="1371" w:val="left"/>
        </w:tabs>
        <w:numPr>
          <w:ilvl w:val="1"/>
          <w:numId w:val="23"/>
        </w:numPr>
        <w:rPr>
          <w:rFonts w:ascii="Arial" w:cs="Arial" w:eastAsia="Arial" w:hAnsi="Arial"/>
          <w:sz w:val="18"/>
          <w:szCs w:val="18"/>
          <w:color w:val="auto"/>
        </w:rPr>
      </w:pPr>
      <w:r>
        <w:rPr>
          <w:rFonts w:ascii="Arial" w:cs="Arial" w:eastAsia="Arial" w:hAnsi="Arial"/>
          <w:sz w:val="18"/>
          <w:szCs w:val="18"/>
          <w:color w:val="auto"/>
        </w:rPr>
        <w:t>On the basis of the representations, warranties and agreements herein contained, but subject to the terms and conditions herein set forth, the Company agrees to sell Securities from time to time through the Sales Agent, and the Sales Agent agrees to use its commercially reasonable efforts to sell, as sales agent for the Company, the Securities on the following terms.</w:t>
      </w:r>
    </w:p>
    <w:p>
      <w:pPr>
        <w:spacing w:after="0" w:line="75" w:lineRule="exact"/>
        <w:rPr>
          <w:rFonts w:ascii="Arial" w:cs="Arial" w:eastAsia="Arial" w:hAnsi="Arial"/>
          <w:sz w:val="18"/>
          <w:szCs w:val="18"/>
          <w:color w:val="auto"/>
        </w:rPr>
      </w:pPr>
    </w:p>
    <w:p>
      <w:pPr>
        <w:ind w:left="440" w:firstLine="948"/>
        <w:spacing w:after="0" w:line="283" w:lineRule="auto"/>
        <w:tabs>
          <w:tab w:leader="none" w:pos="1742" w:val="left"/>
        </w:tabs>
        <w:numPr>
          <w:ilvl w:val="2"/>
          <w:numId w:val="23"/>
        </w:numPr>
        <w:rPr>
          <w:rFonts w:ascii="Arial" w:cs="Arial" w:eastAsia="Arial" w:hAnsi="Arial"/>
          <w:sz w:val="16"/>
          <w:szCs w:val="16"/>
          <w:color w:val="auto"/>
        </w:rPr>
      </w:pPr>
      <w:r>
        <w:rPr>
          <w:rFonts w:ascii="Arial" w:cs="Arial" w:eastAsia="Arial" w:hAnsi="Arial"/>
          <w:sz w:val="16"/>
          <w:szCs w:val="16"/>
          <w:color w:val="auto"/>
        </w:rPr>
        <w:t xml:space="preserve">Each time that the Company wishes to sell Securities on any day that is a trading day for the Nasdaq Global Select Market (a “Trading Day”) (other than a Trading Day on which the Nasdaq Global Select Market is scheduled to close prior to its regular weekday closing time) pursuant to this Agreement (each, a “Placement”), the Company will instruct the Sales Agent in writing of the parameters in accordance with which it desires Securities to be sold, which shall at a minimum include the number of Securities to be offered, the time period during which sales are requested to be made, the minimum price below which sales may not be made and any limitation on the number of Securities that may be sold in any one day (a “Placement Notice”). The Sales Agent will, prior to 4:30 p.m. (New York City time) or, if later, within three hours after receipt of the Placement Notice, on the same business day (as defined below) on which such Placement Notice is delivered to the Sales Agent, issue to the Company a notice by email addressed to all of the Authorized Representatives (as defined below) confirming all of the parameters of the Placement. The Placement Notice shall be effective upon receipt by any of the Authorized Representatives of the email notice from the Sales Agent, unless and until (i) the entire amount of the Securities covered by the Placement Notice have been sold, (ii) in accordance with </w:t>
      </w:r>
      <w:r>
        <w:rPr>
          <w:rFonts w:ascii="Arial" w:cs="Arial" w:eastAsia="Arial" w:hAnsi="Arial"/>
          <w:sz w:val="16"/>
          <w:szCs w:val="16"/>
          <w:u w:val="single" w:color="auto"/>
          <w:color w:val="auto"/>
        </w:rPr>
        <w:t>Section 2(a)</w:t>
      </w:r>
    </w:p>
    <w:p>
      <w:pPr>
        <w:spacing w:after="0" w:line="4" w:lineRule="exact"/>
        <w:rPr>
          <w:rFonts w:ascii="Arial" w:cs="Arial" w:eastAsia="Arial" w:hAnsi="Arial"/>
          <w:sz w:val="16"/>
          <w:szCs w:val="16"/>
          <w:color w:val="auto"/>
        </w:rPr>
      </w:pPr>
    </w:p>
    <w:p>
      <w:pPr>
        <w:ind w:left="700" w:hanging="264"/>
        <w:spacing w:after="0"/>
        <w:tabs>
          <w:tab w:leader="none" w:pos="700" w:val="left"/>
        </w:tabs>
        <w:numPr>
          <w:ilvl w:val="0"/>
          <w:numId w:val="24"/>
        </w:numPr>
        <w:rPr>
          <w:rFonts w:ascii="Arial" w:cs="Arial" w:eastAsia="Arial" w:hAnsi="Arial"/>
          <w:sz w:val="16"/>
          <w:szCs w:val="16"/>
          <w:u w:val="single" w:color="auto"/>
          <w:color w:val="auto"/>
        </w:rPr>
      </w:pPr>
      <w:r>
        <w:rPr>
          <w:rFonts w:ascii="Arial" w:cs="Arial" w:eastAsia="Arial" w:hAnsi="Arial"/>
          <w:sz w:val="16"/>
          <w:szCs w:val="16"/>
          <w:color w:val="auto"/>
        </w:rPr>
        <w:t>hereof, the Company or the Sales Agent suspends or terminates the Placement Notice, (iii) the Company issues a subsequent Placement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3" w:name="page24"/>
    <w:bookmarkEnd w:id="23"/>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 with parameters superseding those on the earlier dated Placement Notice, or (iv) this Agreement has been terminated under the provisions of </w:t>
      </w:r>
      <w:r>
        <w:rPr>
          <w:rFonts w:ascii="Arial" w:cs="Arial" w:eastAsia="Arial" w:hAnsi="Arial"/>
          <w:sz w:val="16"/>
          <w:szCs w:val="16"/>
          <w:u w:val="single" w:color="auto"/>
          <w:color w:val="auto"/>
        </w:rPr>
        <w:t>Section 9</w:t>
      </w:r>
      <w:r>
        <w:rPr>
          <w:rFonts w:ascii="Arial" w:cs="Arial" w:eastAsia="Arial" w:hAnsi="Arial"/>
          <w:sz w:val="16"/>
          <w:szCs w:val="16"/>
          <w:color w:val="auto"/>
        </w:rPr>
        <w:t>. Subject to the terms and conditions hereof, the Sales Agent shall use its commercially reasonable efforts to offer and sell all of the Securities designated in the Placement Notice; provided, however, that the Sales Agent shall have no obligation to offer or sell any Securities, and the Company acknowledges and agrees that the Sales Agent shall have no such obligation in the event an offer or sale of the Securities on behalf of the Company may in the judgment of the Sales Agent constitute the sale of a “block” under Rule 10b-18(a)(5) under the 1934 Act, or a “distribution” within the meaning of Rule 100 of Regulation M under the 1934 Act or the Sales Agent reasonably believes it may be deemed an “underwriter” under the 1933 Act in a transaction that is other than (A) by means of ordinary brokers’ transactions between members of the Nasdaq Global Select Market that qualify for delivery of a Prospectus to the Nasdaq Global Select Market in accordance with Rule 153 under the 1933 Act or (B) directly on or through an electronic communication network, a “dark pool” or any similar market venue (the transactions described in (A) and (B) are hereinafter referred to as “At the Market Offerings”). In the event of a conflict between the terms of this Agreement and the terms of any Placement Notice, the terms of such Placement Notice will control.</w:t>
      </w:r>
    </w:p>
    <w:p>
      <w:pPr>
        <w:spacing w:after="0" w:line="64" w:lineRule="exact"/>
        <w:rPr>
          <w:sz w:val="20"/>
          <w:szCs w:val="20"/>
          <w:color w:val="auto"/>
        </w:rPr>
      </w:pPr>
    </w:p>
    <w:p>
      <w:pPr>
        <w:ind w:right="180" w:firstLine="948"/>
        <w:spacing w:after="0" w:line="273" w:lineRule="auto"/>
        <w:tabs>
          <w:tab w:leader="none" w:pos="1352" w:val="left"/>
        </w:tabs>
        <w:numPr>
          <w:ilvl w:val="0"/>
          <w:numId w:val="25"/>
        </w:numPr>
        <w:rPr>
          <w:rFonts w:ascii="Arial" w:cs="Arial" w:eastAsia="Arial" w:hAnsi="Arial"/>
          <w:sz w:val="17"/>
          <w:szCs w:val="17"/>
          <w:color w:val="auto"/>
        </w:rPr>
      </w:pPr>
      <w:r>
        <w:rPr>
          <w:rFonts w:ascii="Arial" w:cs="Arial" w:eastAsia="Arial" w:hAnsi="Arial"/>
          <w:sz w:val="17"/>
          <w:szCs w:val="17"/>
          <w:color w:val="auto"/>
        </w:rPr>
        <w:t>Notwithstanding the foregoing, the Company or the Sales Agent may, upon notice to the other party by telephone (confirmed promptly by electronic mail from such party), suspend the offering of the Securities pursuant to this Agreement or suspend or terminate a previously issued Placement Notice; provided, however, that such suspension or termination shall not affect or impair the parties’ respective obligations with respect to the Securities sold hereunder prior to the giving of such notice. Each of the parties agrees that no such notice shall be effective against the other unless it is made to one of its authorized representatives as set forth on Schedule B hereto (the “Authorized Representatives”), as such Schedule may be amended from time to time.</w:t>
      </w:r>
    </w:p>
    <w:p>
      <w:pPr>
        <w:spacing w:after="0" w:line="69" w:lineRule="exact"/>
        <w:rPr>
          <w:rFonts w:ascii="Arial" w:cs="Arial" w:eastAsia="Arial" w:hAnsi="Arial"/>
          <w:sz w:val="17"/>
          <w:szCs w:val="17"/>
          <w:color w:val="auto"/>
        </w:rPr>
      </w:pPr>
    </w:p>
    <w:p>
      <w:pPr>
        <w:jc w:val="both"/>
        <w:ind w:right="240" w:firstLine="948"/>
        <w:spacing w:after="0" w:line="286" w:lineRule="auto"/>
        <w:tabs>
          <w:tab w:leader="none" w:pos="1398"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 Sales Agent hereby covenants and agrees not to make any sales of the Securities on behalf of the Company, pursuant to this </w:t>
      </w:r>
      <w:r>
        <w:rPr>
          <w:rFonts w:ascii="Arial" w:cs="Arial" w:eastAsia="Arial" w:hAnsi="Arial"/>
          <w:sz w:val="17"/>
          <w:szCs w:val="17"/>
          <w:u w:val="single" w:color="auto"/>
          <w:color w:val="auto"/>
        </w:rPr>
        <w:t>Section 2(a)</w:t>
      </w:r>
      <w:r>
        <w:rPr>
          <w:rFonts w:ascii="Arial" w:cs="Arial" w:eastAsia="Arial" w:hAnsi="Arial"/>
          <w:sz w:val="17"/>
          <w:szCs w:val="17"/>
          <w:color w:val="auto"/>
        </w:rPr>
        <w:t>, other than (A) by means of At the Market Offerings and (B) such other sales of the Securities on behalf of the Company in its capacity as agent of the Company as shall be agreed by the Company and the Sales Agent.</w:t>
      </w:r>
    </w:p>
    <w:p>
      <w:pPr>
        <w:spacing w:after="0" w:line="57" w:lineRule="exact"/>
        <w:rPr>
          <w:rFonts w:ascii="Arial" w:cs="Arial" w:eastAsia="Arial" w:hAnsi="Arial"/>
          <w:sz w:val="17"/>
          <w:szCs w:val="17"/>
          <w:color w:val="auto"/>
        </w:rPr>
      </w:pPr>
    </w:p>
    <w:p>
      <w:pPr>
        <w:ind w:firstLine="948"/>
        <w:spacing w:after="0" w:line="271" w:lineRule="auto"/>
        <w:tabs>
          <w:tab w:leader="none" w:pos="1388" w:val="left"/>
        </w:tabs>
        <w:numPr>
          <w:ilvl w:val="0"/>
          <w:numId w:val="25"/>
        </w:numPr>
        <w:rPr>
          <w:rFonts w:ascii="Arial" w:cs="Arial" w:eastAsia="Arial" w:hAnsi="Arial"/>
          <w:sz w:val="17"/>
          <w:szCs w:val="17"/>
          <w:color w:val="auto"/>
        </w:rPr>
      </w:pPr>
      <w:r>
        <w:rPr>
          <w:rFonts w:ascii="Arial" w:cs="Arial" w:eastAsia="Arial" w:hAnsi="Arial"/>
          <w:sz w:val="17"/>
          <w:szCs w:val="17"/>
          <w:color w:val="auto"/>
        </w:rPr>
        <w:t xml:space="preserve">The gross sales price of any Securities sold pursuant to this Agreement by the Sales Agent, as an agent of the Company, shall be the market price prevailing at the time of sale for Securities sold by the Sales Agent on the Nasdaq Global Select Market or otherwise, at prices related to prevailing market prices or, subject to specific instructions of the Company, at negotiated prices. The compensation to the Sales Agent, as an agent of the Company, for sales of the Securities shall be at a mutually agreed rate up to 2.0% of the gross sales price of the Securities sold pursuant to this </w:t>
      </w:r>
      <w:r>
        <w:rPr>
          <w:rFonts w:ascii="Arial" w:cs="Arial" w:eastAsia="Arial" w:hAnsi="Arial"/>
          <w:sz w:val="17"/>
          <w:szCs w:val="17"/>
          <w:u w:val="single" w:color="auto"/>
          <w:color w:val="auto"/>
        </w:rPr>
        <w:t>Section 2(a)</w:t>
      </w:r>
      <w:r>
        <w:rPr>
          <w:rFonts w:ascii="Arial" w:cs="Arial" w:eastAsia="Arial" w:hAnsi="Arial"/>
          <w:sz w:val="17"/>
          <w:szCs w:val="17"/>
          <w:color w:val="auto"/>
        </w:rPr>
        <w:t>. The foregoing rate of compensation shall not apply when the Sales Agent acts as principal, in which case the Company may sell Securities to the Sales Agent as principal at a price agreed upon at the relevant applicable time pursuant to a separate agreement (each, a “Terms Agreement”) relating to such sale. The remaining proceeds, after further deduction for any transaction fees imposed by any governmental or self-regulatory organization in</w:t>
      </w:r>
    </w:p>
    <w:p>
      <w:pPr>
        <w:spacing w:after="0" w:line="1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0"/>
          </w:cols>
          <w:pgMar w:left="880" w:top="274" w:right="479" w:bottom="1440" w:gutter="0" w:footer="0" w:header="0"/>
        </w:sectPr>
      </w:pPr>
    </w:p>
    <w:bookmarkStart w:id="24" w:name="page25"/>
    <w:bookmarkEnd w:id="24"/>
    <w:p>
      <w:pPr>
        <w:ind w:lef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such sales, shall constitute the net proceeds to the Company for such Securities (the “Net Proceeds”). The Sales Agent shall notify the Company as promptly as practicable if any deduction referenced in the preceding sentence will be made.</w:t>
      </w:r>
    </w:p>
    <w:p>
      <w:pPr>
        <w:spacing w:after="0" w:line="62" w:lineRule="exact"/>
        <w:rPr>
          <w:sz w:val="20"/>
          <w:szCs w:val="20"/>
          <w:color w:val="auto"/>
        </w:rPr>
      </w:pPr>
    </w:p>
    <w:p>
      <w:pPr>
        <w:jc w:val="both"/>
        <w:ind w:left="440" w:right="20" w:firstLine="948"/>
        <w:spacing w:after="0" w:line="259" w:lineRule="auto"/>
        <w:tabs>
          <w:tab w:leader="none" w:pos="1778"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The Sales Agent shall provide written confirmation to the Company as soon as practicable following the close of trading on the Nasdaq Global Select Market each day on which the Securities are sold under this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setting forth the aggregate amount of the Securities sold on such day, the aggregate Net Proceeds to the Company, and the aggregate compensation payable by the Company to the Sales Agent with respect to such sales.</w:t>
      </w:r>
    </w:p>
    <w:p>
      <w:pPr>
        <w:spacing w:after="0" w:line="78" w:lineRule="exact"/>
        <w:rPr>
          <w:rFonts w:ascii="Arial" w:cs="Arial" w:eastAsia="Arial" w:hAnsi="Arial"/>
          <w:sz w:val="18"/>
          <w:szCs w:val="18"/>
          <w:color w:val="auto"/>
        </w:rPr>
      </w:pPr>
    </w:p>
    <w:p>
      <w:pPr>
        <w:ind w:left="440" w:right="40" w:firstLine="948"/>
        <w:spacing w:after="0" w:line="286" w:lineRule="auto"/>
        <w:tabs>
          <w:tab w:leader="none" w:pos="1832"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Settlement for sales of the Securities pursuant to this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will occur on the second Trading Day following the date on which such sales are made, unless another date shall be agreed upon by the Company and the Sales Agent (provided that, if such Trading Day is not a business day, then settlement will occur on the next succeeding Trading Day that is also a business day) (each such date, a “Settlement Date”). As used herein, the term “business day” means any day other than a Saturday, Sunday or other day on which commercial banks in The City of New York are authorized or required by law, regulation or executive order to close. On each Settlement Date, the Securities sold through the Sales Agent for settlement on such date shall be delivered by the Company (through its transfer agent) to the Sales Agent against payment of the Net Proceeds for the sale of such Securities. Settlement for all such Securities shall be effected by electronically transferring the Securities by the Company to the Sales Agent’s account, or to the account of the Sales Agent’s designee, at DTC through its Deposit and Withdrawal at Custodian System (“DWAC”) or by such other means of delivery as may be mutually agreed upon by the Company and the Sales Agent, which in all cases shall be freely tradable, transferable, registered shares eligible for delivery through DTC, in return for payments in same day funds delivered to the account designated by the Company. If the Company (or its transfer agent) shall default on its obligation to deliver the Securities on any Settlement Date, the Company shall (A) indemnify and hold the Sales Agent harmless against any loss, claim or damage arising from or as a result of such default by the Company and (B) pay the Sales Agent any commission to which it would otherwise be entitled absent such default. The Authorized Representatives, or any designees thereof as notified to the Sales Agent in writing, shall be the contact persons for the Company for all matters related to the settlement of the transfer of the Securities through DWAC for purposes of this </w:t>
      </w:r>
      <w:r>
        <w:rPr>
          <w:rFonts w:ascii="Arial" w:cs="Arial" w:eastAsia="Arial" w:hAnsi="Arial"/>
          <w:sz w:val="16"/>
          <w:szCs w:val="16"/>
          <w:u w:val="single" w:color="auto"/>
          <w:color w:val="auto"/>
        </w:rPr>
        <w:t>Section 2(a)(vi)</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440" w:right="40" w:firstLine="948"/>
        <w:spacing w:after="0" w:line="259" w:lineRule="auto"/>
        <w:tabs>
          <w:tab w:leader="none" w:pos="1872"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Any obligation of the Sales Agent to use its commercially reasonable efforts to sell the Securities on behalf of the Company shall be subject to the continuing accuracy of the representations and warranties of the Company, the Adviser and the Administrator, to the performance by the Company, the Adviser and the Administrator of their obligations hereunder and to the continuing satisfaction of the additional conditions specified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Agreement.</w:t>
      </w:r>
    </w:p>
    <w:p>
      <w:pPr>
        <w:spacing w:after="0" w:line="187" w:lineRule="exact"/>
        <w:rPr>
          <w:sz w:val="20"/>
          <w:szCs w:val="20"/>
          <w:color w:val="auto"/>
        </w:rPr>
      </w:pPr>
    </w:p>
    <w:p>
      <w:pPr>
        <w:ind w:right="700" w:firstLine="987"/>
        <w:spacing w:after="0" w:line="342" w:lineRule="auto"/>
        <w:tabs>
          <w:tab w:leader="none" w:pos="1381"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If the Company wishes to sell the Securities other than as set forth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of this Agreement, it may elect, in its sole discretion, to notify the Sales Agent of the proposed terms of such sale. If the Sales Agent, acting as principal, wishes to accept such proposed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5" w:name="page26"/>
    <w:bookmarkEnd w:id="25"/>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(which it may decline to do for any reason in its sole discretion) or, following discussions with the Company, wishes to accept amended terms, the Company will enter into a Terms Agreement setting forth the terms of such Placement. In the event of a conflict between the terms of this Agreement and the terms of any Terms Agreement, the terms of such Terms Agreement will control. For avoidance of doubt, nothing contained in this Agreement shall be construed to require the Company to engage the Sales Agent in connection with the offer and sale of any of its securities, including shares of the Common Stock, whether in connection with an underwritten offering or otherwise.</w:t>
      </w:r>
    </w:p>
    <w:p>
      <w:pPr>
        <w:spacing w:after="0" w:line="176"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In the event the Company engages the Sales Agent for a sale of Securities that would constitute the sale of a “block” under</w:t>
      </w:r>
    </w:p>
    <w:p>
      <w:pPr>
        <w:spacing w:after="0" w:line="2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Rule 10b-18(a)(5) under the 1934 Act, or a “distribution,” within the meaning of Rule 100 of Regulation M under the 1934 Act, the Company and the Sales Agent will agree to compensation that is customary for the Sales Agent with respect to such transactions.</w:t>
      </w:r>
    </w:p>
    <w:p>
      <w:pPr>
        <w:spacing w:after="0" w:line="185" w:lineRule="exact"/>
        <w:rPr>
          <w:sz w:val="20"/>
          <w:szCs w:val="20"/>
          <w:color w:val="auto"/>
        </w:rPr>
      </w:pPr>
    </w:p>
    <w:p>
      <w:pPr>
        <w:ind w:right="100" w:firstLine="987"/>
        <w:spacing w:after="0" w:line="263" w:lineRule="auto"/>
        <w:tabs>
          <w:tab w:leader="none" w:pos="1381"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 no circumstances shall the Company cause or request the offer or sale of any Securities if, after giving effect to the sale of such Securities, the aggregate gross sales proceeds or the aggregate number of the Securities sold pursuant to this Agreement would exceed the amount available for offer and sale under the currently effective Registration Statement.</w:t>
      </w:r>
    </w:p>
    <w:p>
      <w:pPr>
        <w:spacing w:after="0" w:line="183" w:lineRule="exact"/>
        <w:rPr>
          <w:rFonts w:ascii="Arial" w:cs="Arial" w:eastAsia="Arial" w:hAnsi="Arial"/>
          <w:sz w:val="18"/>
          <w:szCs w:val="18"/>
          <w:color w:val="auto"/>
        </w:rPr>
      </w:pPr>
    </w:p>
    <w:p>
      <w:pPr>
        <w:ind w:right="40" w:firstLine="987"/>
        <w:spacing w:after="0" w:line="296" w:lineRule="auto"/>
        <w:tabs>
          <w:tab w:leader="none" w:pos="1371"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any party has reason to believe that the exemptive provisions set forth in Rule 101(c)(1) of Regulation M under the 1934 Act are not satisfied with respect to the Securities, it shall promptly notify the other parties and sales of the Securities under this Agreement shall be suspended until that or other exemptive provisions have been satisfied in the judgment of each party. Upon the reasonable request of the Company in writing to the Sales Agent (which such request may be by electronic mail), the Sales Agent shall promptly calculate and provide in writing to the Company a report setting forth, for the prior week, the average daily trading volume (as defined in Rule 100 of Regulation M under the 1934 Act) of the Common Stock.</w:t>
      </w:r>
    </w:p>
    <w:p>
      <w:pPr>
        <w:spacing w:after="0" w:line="161" w:lineRule="exact"/>
        <w:rPr>
          <w:rFonts w:ascii="Arial" w:cs="Arial" w:eastAsia="Arial" w:hAnsi="Arial"/>
          <w:sz w:val="16"/>
          <w:szCs w:val="16"/>
          <w:color w:val="auto"/>
        </w:rPr>
      </w:pPr>
    </w:p>
    <w:p>
      <w:pPr>
        <w:ind w:right="60" w:firstLine="987"/>
        <w:spacing w:after="0" w:line="270" w:lineRule="auto"/>
        <w:tabs>
          <w:tab w:leader="none" w:pos="1351"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Each sale of the Securities to or through the Sales Agent shall be made in accordance with the terms of this Agreement or, if applicable, a Terms Agreement. The commitment of the Sales Agent to purchase the Securities pursuant to any Terms Agreement shall be deemed to have been made on the basis of the representations and warranties of the parties herein contained and shall be subject to the terms and conditions herein set forth. Each Terms Agreement shall specify the number of the Securities to be purchased by the Sales Agent pursuant thereto, the price to be paid to the Company for such Securities, any provisions relating to rights of, and default by, underwriters acting together with the Sales Agent in the reoffering of the Securities, any provisions relating to the granting of an option to purchase additional Securities for the purpose of covering over-allotments, and the time and date (each such time and date being referred to herein as a “Date of Delivery”) and place of delivery of and payment for such Securities. Such Terms Agreement shall also specify any requirements for opinions of counsel, accountants’ letters and officers’ certificates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and any other information or documents required by the Sales Agent.</w:t>
      </w:r>
    </w:p>
    <w:p>
      <w:pPr>
        <w:spacing w:after="0" w:line="180" w:lineRule="exact"/>
        <w:rPr>
          <w:rFonts w:ascii="Arial" w:cs="Arial" w:eastAsia="Arial" w:hAnsi="Arial"/>
          <w:sz w:val="17"/>
          <w:szCs w:val="17"/>
          <w:color w:val="auto"/>
        </w:rPr>
      </w:pPr>
    </w:p>
    <w:p>
      <w:pPr>
        <w:ind w:right="280" w:firstLine="987"/>
        <w:spacing w:after="0" w:line="308" w:lineRule="auto"/>
        <w:tabs>
          <w:tab w:leader="none" w:pos="1381" w:val="left"/>
        </w:tabs>
        <w:numPr>
          <w:ilvl w:val="0"/>
          <w:numId w:val="28"/>
        </w:numPr>
        <w:rPr>
          <w:rFonts w:ascii="Arial" w:cs="Arial" w:eastAsia="Arial" w:hAnsi="Arial"/>
          <w:sz w:val="17"/>
          <w:szCs w:val="17"/>
          <w:color w:val="auto"/>
        </w:rPr>
      </w:pPr>
      <w:r>
        <w:rPr>
          <w:rFonts w:ascii="Arial" w:cs="Arial" w:eastAsia="Arial" w:hAnsi="Arial"/>
          <w:sz w:val="17"/>
          <w:szCs w:val="17"/>
          <w:color w:val="auto"/>
        </w:rPr>
        <w:t>Subject to such further limitations on offers and sales of Securities or delivery of instructions to offer and sell Securities as are set forth herein and as may be mutually agreed upon by the Company and the Sales Agent offers and sales of Securities pursuant to this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6" w:name="page27"/>
    <w:bookmarkEnd w:id="26"/>
    <w:p>
      <w:pPr>
        <w:ind w:left="4"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shall not be requested by the Company and need not be made by the Sales Agent at any time when or during any period in which the Company is in possession of material non-public information.</w:t>
      </w:r>
    </w:p>
    <w:p>
      <w:pPr>
        <w:spacing w:after="0" w:line="170" w:lineRule="exact"/>
        <w:rPr>
          <w:sz w:val="20"/>
          <w:szCs w:val="20"/>
          <w:color w:val="auto"/>
        </w:rPr>
      </w:pPr>
    </w:p>
    <w:p>
      <w:pPr>
        <w:ind w:left="4" w:right="100" w:firstLine="987"/>
        <w:spacing w:after="0" w:line="254" w:lineRule="auto"/>
        <w:tabs>
          <w:tab w:leader="none" w:pos="138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acknowledges and agrees that (A) there can be no assurance that the Sales Agent will be successful in selling the Securities, (B) the Sales Agent will not incur liability or obligation to the Company or any other person or entity if such Sales Agent does not sell Securities for any reason other than a failure by the Sales Agent to use its commercially reasonable efforts consistent with its normal trading and sales practices and applicable law and regulations to sell such Securities in accordance with the terms of this Agreement and (C) the Sales Agent shall not be under any obligation to purchase Securities on a principal basis pursuant to this Agreement, except as otherwise specifically agreed in writing by the Sales Agent and the Company. For purposes of clarification, the Sales Agent shall only be deemed to be acting as a sales agent under this Agreement during the period beginning with the delivery of a Placement Notice from the Company to the Sales Agent and ending upon the suspension or termination of such Placement Notice.</w:t>
      </w:r>
    </w:p>
    <w:p>
      <w:pPr>
        <w:spacing w:after="0" w:line="191" w:lineRule="exact"/>
        <w:rPr>
          <w:rFonts w:ascii="Arial" w:cs="Arial" w:eastAsia="Arial" w:hAnsi="Arial"/>
          <w:sz w:val="18"/>
          <w:szCs w:val="18"/>
          <w:color w:val="auto"/>
        </w:rPr>
      </w:pPr>
    </w:p>
    <w:p>
      <w:pPr>
        <w:ind w:left="4" w:right="100" w:firstLine="987"/>
        <w:spacing w:after="0" w:line="254" w:lineRule="auto"/>
        <w:tabs>
          <w:tab w:leader="none" w:pos="134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Company agrees that, during the term of this Agreement, any offer to sell, any solicitation of an offer to buy, or any sales of Securities or sales of Common Stock pursuant to any At the Market Offering (as defined herein and within the meaning of Rule 415(a)(4) under the 1933 Act) shall only be effected by or through the Sales Agent or the Other Agent. Notwithstanding the foregoing or anything to the contrary in this Agreement, during the term of this Agreement, any offer to sell, any solicitation of an offer to buy, or any sales of Securities or sales of Common Stock that do not constitute an At the Market Offering (as defined herein and within the meaning of Rule 415(a)(4) under the 1933 Act), including any underwritten offering or private placement transaction exempt from the requirements of the 1933 Act, may be effected by the Company by or through any person or entity in the Company’s sole discretion.</w:t>
      </w:r>
    </w:p>
    <w:p>
      <w:pPr>
        <w:spacing w:after="0" w:line="195" w:lineRule="exact"/>
        <w:rPr>
          <w:sz w:val="20"/>
          <w:szCs w:val="20"/>
          <w:color w:val="auto"/>
        </w:rPr>
      </w:pPr>
    </w:p>
    <w:p>
      <w:pPr>
        <w:ind w:left="444"/>
        <w:spacing w:after="0"/>
        <w:tabs>
          <w:tab w:leader="none" w:pos="1544"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covenants with the Sales Agent as follows:</w:t>
      </w:r>
    </w:p>
    <w:p>
      <w:pPr>
        <w:spacing w:after="0" w:line="225" w:lineRule="exact"/>
        <w:rPr>
          <w:sz w:val="20"/>
          <w:szCs w:val="20"/>
          <w:color w:val="auto"/>
        </w:rPr>
      </w:pPr>
    </w:p>
    <w:p>
      <w:pPr>
        <w:ind w:left="4" w:right="400" w:firstLine="987"/>
        <w:spacing w:after="0" w:line="291" w:lineRule="auto"/>
        <w:tabs>
          <w:tab w:leader="none" w:pos="1375" w:val="left"/>
        </w:tabs>
        <w:numPr>
          <w:ilvl w:val="1"/>
          <w:numId w:val="30"/>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w:t>
      </w:r>
      <w:r>
        <w:rPr>
          <w:rFonts w:ascii="Arial" w:cs="Arial" w:eastAsia="Arial" w:hAnsi="Arial"/>
          <w:sz w:val="16"/>
          <w:szCs w:val="16"/>
          <w:color w:val="auto"/>
        </w:rPr>
        <w:t>. The Company,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3(c)</w:t>
      </w:r>
      <w:r>
        <w:rPr>
          <w:rFonts w:ascii="Arial" w:cs="Arial" w:eastAsia="Arial" w:hAnsi="Arial"/>
          <w:sz w:val="16"/>
          <w:szCs w:val="16"/>
          <w:color w:val="auto"/>
        </w:rPr>
        <w:t>, will comply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Rule 415, Rule 430B, Rule 497 and Rule 424(b), and will notify the Sales Agent immediately, and confirm the notice in writing,</w:t>
      </w:r>
    </w:p>
    <w:p>
      <w:pPr>
        <w:ind w:left="4" w:hanging="4"/>
        <w:spacing w:after="0" w:line="281" w:lineRule="auto"/>
        <w:tabs>
          <w:tab w:leader="none" w:pos="219" w:val="left"/>
        </w:tabs>
        <w:numPr>
          <w:ilvl w:val="0"/>
          <w:numId w:val="31"/>
        </w:numPr>
        <w:rPr>
          <w:rFonts w:ascii="Arial" w:cs="Arial" w:eastAsia="Arial" w:hAnsi="Arial"/>
          <w:sz w:val="16"/>
          <w:szCs w:val="16"/>
          <w:color w:val="auto"/>
        </w:rPr>
      </w:pPr>
      <w:r>
        <w:rPr>
          <w:rFonts w:ascii="Arial" w:cs="Arial" w:eastAsia="Arial" w:hAnsi="Arial"/>
          <w:sz w:val="16"/>
          <w:szCs w:val="16"/>
          <w:color w:val="auto"/>
        </w:rPr>
        <w:t>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w:t>
      </w:r>
    </w:p>
    <w:p>
      <w:pPr>
        <w:spacing w:after="0" w:line="3" w:lineRule="exact"/>
        <w:rPr>
          <w:rFonts w:ascii="Arial" w:cs="Arial" w:eastAsia="Arial" w:hAnsi="Arial"/>
          <w:sz w:val="16"/>
          <w:szCs w:val="16"/>
          <w:color w:val="auto"/>
        </w:rPr>
      </w:pPr>
    </w:p>
    <w:p>
      <w:pPr>
        <w:ind w:left="4" w:right="80" w:hanging="4"/>
        <w:spacing w:after="0" w:line="255" w:lineRule="auto"/>
        <w:tabs>
          <w:tab w:leader="none" w:pos="259"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the Company becomes the subject of a proceeding under Section 8A of the 1933 Act in connection with the offering of the Securities. The Company will effect all filings required under Rule 424(b) and Rule 497 within the time period required by Rule 424(b) or Rule 497, as applicable, and will take such steps as it deems necessary</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4" w:right="479" w:bottom="1440" w:gutter="0" w:footer="0" w:header="0"/>
        </w:sectPr>
      </w:pPr>
    </w:p>
    <w:bookmarkStart w:id="27" w:name="page28"/>
    <w:bookmarkEnd w:id="27"/>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w:t>
      </w:r>
    </w:p>
    <w:p>
      <w:pPr>
        <w:spacing w:after="0" w:line="165" w:lineRule="exact"/>
        <w:rPr>
          <w:sz w:val="20"/>
          <w:szCs w:val="20"/>
          <w:color w:val="auto"/>
        </w:rPr>
      </w:pPr>
    </w:p>
    <w:p>
      <w:pPr>
        <w:ind w:firstLine="987"/>
        <w:spacing w:after="0" w:line="254" w:lineRule="auto"/>
        <w:tabs>
          <w:tab w:leader="none" w:pos="1381"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Filing of Amendments</w:t>
      </w:r>
      <w:r>
        <w:rPr>
          <w:rFonts w:ascii="Arial" w:cs="Arial" w:eastAsia="Arial" w:hAnsi="Arial"/>
          <w:sz w:val="18"/>
          <w:szCs w:val="18"/>
          <w:color w:val="auto"/>
        </w:rPr>
        <w:t>. The Company will give the Sales Agent notice of its intention to file or prepare any amendment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(including any filing under Rule 462(b)) or to the Prospectus and will furnish the Sales Agent with copies of any such documents within a reasonable amount of time prior to such proposed filing or use, as the case may be, and will not file or use any such document to which the Sales Agent or counsel for the Sales Agent shall object. The Company shall give the Sales Agent notice of its intention to make any filings pursuant to the 1934 Act or the 1934 Rules and Regulations within 48 hours prior to the Applicable Time and will furnish the Sales Agent with copies of any such documents a reasonable amount of time prior to such proposed filing, as the case may be, and will not file or use any such document to which the Sales Agent or counsel for the Sales Agent shall reasonably object.</w:t>
      </w:r>
    </w:p>
    <w:p>
      <w:pPr>
        <w:spacing w:after="0" w:line="194" w:lineRule="exact"/>
        <w:rPr>
          <w:rFonts w:ascii="Arial" w:cs="Arial" w:eastAsia="Arial" w:hAnsi="Arial"/>
          <w:sz w:val="18"/>
          <w:szCs w:val="18"/>
          <w:color w:val="auto"/>
        </w:rPr>
      </w:pPr>
    </w:p>
    <w:p>
      <w:pPr>
        <w:ind w:firstLine="987"/>
        <w:spacing w:after="0" w:line="267" w:lineRule="auto"/>
        <w:tabs>
          <w:tab w:leader="none" w:pos="1371"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Continued Compliance with Securities Laws</w:t>
      </w:r>
      <w:r>
        <w:rPr>
          <w:rFonts w:ascii="Arial" w:cs="Arial" w:eastAsia="Arial" w:hAnsi="Arial"/>
          <w:sz w:val="17"/>
          <w:szCs w:val="17"/>
          <w:color w:val="auto"/>
        </w:rPr>
        <w:t>. The Company will use its commercially reasonable efforts to comply with the 1933 Act</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1933 Act Regulations so as to permit the completion of the distribution of the Securities as contemplated in this Agreement and in the Registration Statement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Sales Agent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Prospectus in order that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Prospectus, as the case may be, in order to comply with the requirements of the 1933 Act or the 1933 Act Regulations, the Company will promptly (A) give the Sales Agent notice of such event, (B) prepare any amendment or supplement as may be necessary to correct such statement or omission or to make the Registration Statement or the Prospectus comply with such requirements and, a reasonable amount of time prior to any proposed filing or use, furnish the Sales Agent with copies of any such amendment or supplement and (C) file with the Commission any such amendment or supplement. The Company will furnish to the Sales Agent such number of copies of such amendment or supplement as the Sales Agent may reasonably request. The Company has given the Sales Agent notice of any filings made pursuant to the 1934 Act or 1934 Act Regulations within 48 hours prior to the Applicable Time; the Company shall give the Sales Agent notice of its intention to make any such filing and shall furnish the Sales Agent with copies of any such documents a reasonable amount of time prior to such proposed filing or use, as the case may be.</w:t>
      </w:r>
    </w:p>
    <w:p>
      <w:pPr>
        <w:spacing w:after="0" w:line="191" w:lineRule="exact"/>
        <w:rPr>
          <w:rFonts w:ascii="Arial" w:cs="Arial" w:eastAsia="Arial" w:hAnsi="Arial"/>
          <w:sz w:val="17"/>
          <w:szCs w:val="17"/>
          <w:color w:val="auto"/>
        </w:rPr>
      </w:pPr>
    </w:p>
    <w:p>
      <w:pPr>
        <w:ind w:right="220" w:firstLine="987"/>
        <w:spacing w:after="0" w:line="277" w:lineRule="auto"/>
        <w:tabs>
          <w:tab w:leader="none" w:pos="1381"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Delivery of Commission Filings</w:t>
      </w:r>
      <w:r>
        <w:rPr>
          <w:rFonts w:ascii="Arial" w:cs="Arial" w:eastAsia="Arial" w:hAnsi="Arial"/>
          <w:sz w:val="18"/>
          <w:szCs w:val="18"/>
          <w:color w:val="auto"/>
        </w:rPr>
        <w:t>. The Company has furnished or, upon written request of the Sales Agent, shall deliver to the Sales</w:t>
      </w:r>
      <w:r>
        <w:rPr>
          <w:rFonts w:ascii="Arial" w:cs="Arial" w:eastAsia="Arial" w:hAnsi="Arial"/>
          <w:sz w:val="18"/>
          <w:szCs w:val="18"/>
          <w:i w:val="1"/>
          <w:iCs w:val="1"/>
          <w:color w:val="auto"/>
        </w:rPr>
        <w:t xml:space="preserve"> </w:t>
      </w:r>
      <w:r>
        <w:rPr>
          <w:rFonts w:ascii="Arial" w:cs="Arial" w:eastAsia="Arial" w:hAnsi="Arial"/>
          <w:sz w:val="18"/>
          <w:szCs w:val="18"/>
          <w:color w:val="auto"/>
        </w:rPr>
        <w:t>Agent and counsel for the Sales Agent,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28" w:name="page29"/>
    <w:bookmarkEnd w:id="28"/>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charge, conformed copies of the Registration Statement, as originally filed, and of each amendment thereto (including exhibits filed therewith) and conformed copies of all consents and certificates of experts, and will also deliver to the Sales Agent, without charge, a conformed copy of the Registration Statement as originally filed and of each amendment thereto (without exhibits) for the Sales Agent. The copies of the Registration Statement and each amendment thereto furnished to the Sales Agent will be identical to the electronically transmitted copies thereof filed with the Commission pursuant to EDGAR, except to the extent permitted by Regulation S-T.</w:t>
      </w:r>
    </w:p>
    <w:p>
      <w:pPr>
        <w:spacing w:after="0" w:line="188" w:lineRule="exact"/>
        <w:rPr>
          <w:sz w:val="20"/>
          <w:szCs w:val="20"/>
          <w:color w:val="auto"/>
        </w:rPr>
      </w:pPr>
    </w:p>
    <w:p>
      <w:pPr>
        <w:ind w:right="40" w:firstLine="987"/>
        <w:spacing w:after="0" w:line="301" w:lineRule="auto"/>
        <w:tabs>
          <w:tab w:leader="none" w:pos="1371" w:val="left"/>
        </w:tabs>
        <w:numPr>
          <w:ilvl w:val="0"/>
          <w:numId w:val="34"/>
        </w:numPr>
        <w:rPr>
          <w:rFonts w:ascii="Arial" w:cs="Arial" w:eastAsia="Arial" w:hAnsi="Arial"/>
          <w:sz w:val="16"/>
          <w:szCs w:val="16"/>
          <w:color w:val="auto"/>
        </w:rPr>
      </w:pPr>
      <w:r>
        <w:rPr>
          <w:rFonts w:ascii="Arial" w:cs="Arial" w:eastAsia="Arial" w:hAnsi="Arial"/>
          <w:sz w:val="16"/>
          <w:szCs w:val="16"/>
          <w:i w:val="1"/>
          <w:iCs w:val="1"/>
          <w:color w:val="auto"/>
        </w:rPr>
        <w:t>Delivery of Prospectuses</w:t>
      </w:r>
      <w:r>
        <w:rPr>
          <w:rFonts w:ascii="Arial" w:cs="Arial" w:eastAsia="Arial" w:hAnsi="Arial"/>
          <w:sz w:val="16"/>
          <w:szCs w:val="16"/>
          <w:color w:val="auto"/>
        </w:rPr>
        <w:t>. The Company will furnish to the Sales Agent, without charge, during the period when a prospectus relating</w:t>
      </w:r>
      <w:r>
        <w:rPr>
          <w:rFonts w:ascii="Arial" w:cs="Arial" w:eastAsia="Arial" w:hAnsi="Arial"/>
          <w:sz w:val="16"/>
          <w:szCs w:val="16"/>
          <w:i w:val="1"/>
          <w:iCs w:val="1"/>
          <w:color w:val="auto"/>
        </w:rPr>
        <w:t xml:space="preserve"> </w:t>
      </w:r>
      <w:r>
        <w:rPr>
          <w:rFonts w:ascii="Arial" w:cs="Arial" w:eastAsia="Arial" w:hAnsi="Arial"/>
          <w:sz w:val="16"/>
          <w:szCs w:val="16"/>
          <w:color w:val="auto"/>
        </w:rPr>
        <w:t>to the Securities is required to be delivered under the 1933 Act, such number of copies of the Prospectus (as amended or supplemented) as the Sales Agent may reasonably request. The Prospectus and any amendments or supplements thereto furnished to the Sales Agent will be identical to the electronically transmitted copies thereof filed with the Commission pursuant to EDGAR, except to the extent permitted by Regulation S-T.</w:t>
      </w:r>
    </w:p>
    <w:p>
      <w:pPr>
        <w:spacing w:after="0" w:line="157" w:lineRule="exact"/>
        <w:rPr>
          <w:rFonts w:ascii="Arial" w:cs="Arial" w:eastAsia="Arial" w:hAnsi="Arial"/>
          <w:sz w:val="16"/>
          <w:szCs w:val="16"/>
          <w:color w:val="auto"/>
        </w:rPr>
      </w:pPr>
    </w:p>
    <w:p>
      <w:pPr>
        <w:ind w:right="20" w:firstLine="987"/>
        <w:spacing w:after="0" w:line="255" w:lineRule="auto"/>
        <w:tabs>
          <w:tab w:leader="none" w:pos="1351"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Blue Sky Qualifications</w:t>
      </w:r>
      <w:r>
        <w:rPr>
          <w:rFonts w:ascii="Arial" w:cs="Arial" w:eastAsia="Arial" w:hAnsi="Arial"/>
          <w:sz w:val="18"/>
          <w:szCs w:val="18"/>
          <w:color w:val="auto"/>
        </w:rPr>
        <w:t>. The Company will use its commercially reasonable efforts, in cooperation with the Sales Agent, to qualify</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for offering and sale under the applicable securities laws of such states and other jurisdictions (domestic or foreign) as the Sales Agent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92" w:lineRule="exact"/>
        <w:rPr>
          <w:rFonts w:ascii="Arial" w:cs="Arial" w:eastAsia="Arial" w:hAnsi="Arial"/>
          <w:sz w:val="18"/>
          <w:szCs w:val="18"/>
          <w:color w:val="auto"/>
        </w:rPr>
      </w:pPr>
    </w:p>
    <w:p>
      <w:pPr>
        <w:ind w:firstLine="987"/>
        <w:spacing w:after="0" w:line="279" w:lineRule="auto"/>
        <w:tabs>
          <w:tab w:leader="none" w:pos="1381"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Rule 158</w:t>
      </w:r>
      <w:r>
        <w:rPr>
          <w:rFonts w:ascii="Arial" w:cs="Arial" w:eastAsia="Arial" w:hAnsi="Arial"/>
          <w:sz w:val="17"/>
          <w:szCs w:val="17"/>
          <w:color w:val="auto"/>
        </w:rPr>
        <w:t>. The Company will make generally available to its securityholders as soon as practicable an earnings statement that satisfies</w:t>
      </w:r>
      <w:r>
        <w:rPr>
          <w:rFonts w:ascii="Arial" w:cs="Arial" w:eastAsia="Arial" w:hAnsi="Arial"/>
          <w:sz w:val="17"/>
          <w:szCs w:val="17"/>
          <w:i w:val="1"/>
          <w:iCs w:val="1"/>
          <w:color w:val="auto"/>
        </w:rPr>
        <w:t xml:space="preserve"> </w:t>
      </w:r>
      <w:r>
        <w:rPr>
          <w:rFonts w:ascii="Arial" w:cs="Arial" w:eastAsia="Arial" w:hAnsi="Arial"/>
          <w:sz w:val="17"/>
          <w:szCs w:val="17"/>
          <w:color w:val="auto"/>
        </w:rPr>
        <w:t>the provisions 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w:t>
      </w:r>
    </w:p>
    <w:p>
      <w:pPr>
        <w:spacing w:after="0" w:line="171" w:lineRule="exact"/>
        <w:rPr>
          <w:rFonts w:ascii="Arial" w:cs="Arial" w:eastAsia="Arial" w:hAnsi="Arial"/>
          <w:sz w:val="17"/>
          <w:szCs w:val="17"/>
          <w:color w:val="auto"/>
        </w:rPr>
      </w:pPr>
    </w:p>
    <w:p>
      <w:pPr>
        <w:ind w:right="200" w:firstLine="987"/>
        <w:spacing w:after="0" w:line="277" w:lineRule="auto"/>
        <w:tabs>
          <w:tab w:leader="none" w:pos="1381"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 will use its commercially reasonable best efforts to maintain the listing of the Common Stock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on the Nasdaq Global Select Market.</w:t>
      </w:r>
    </w:p>
    <w:p>
      <w:pPr>
        <w:spacing w:after="0" w:line="170" w:lineRule="exact"/>
        <w:rPr>
          <w:rFonts w:ascii="Arial" w:cs="Arial" w:eastAsia="Arial" w:hAnsi="Arial"/>
          <w:sz w:val="18"/>
          <w:szCs w:val="18"/>
          <w:color w:val="auto"/>
        </w:rPr>
      </w:pPr>
    </w:p>
    <w:p>
      <w:pPr>
        <w:ind w:right="140" w:firstLine="987"/>
        <w:spacing w:after="0" w:line="277" w:lineRule="auto"/>
        <w:tabs>
          <w:tab w:leader="none" w:pos="1341"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DTC. </w:t>
      </w:r>
      <w:r>
        <w:rPr>
          <w:rFonts w:ascii="Arial" w:cs="Arial" w:eastAsia="Arial" w:hAnsi="Arial"/>
          <w:sz w:val="18"/>
          <w:szCs w:val="18"/>
          <w:color w:val="auto"/>
        </w:rPr>
        <w:t>The Company will cooperate with the Sales Agent and use its commercially reasonable efforts to permit the offered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to be eligible for clearance and settlement through the facilities of DTC.</w:t>
      </w:r>
    </w:p>
    <w:p>
      <w:pPr>
        <w:spacing w:after="0" w:line="170" w:lineRule="exact"/>
        <w:rPr>
          <w:rFonts w:ascii="Arial" w:cs="Arial" w:eastAsia="Arial" w:hAnsi="Arial"/>
          <w:sz w:val="18"/>
          <w:szCs w:val="18"/>
          <w:color w:val="auto"/>
        </w:rPr>
      </w:pPr>
    </w:p>
    <w:p>
      <w:pPr>
        <w:ind w:right="40" w:firstLine="987"/>
        <w:spacing w:after="0" w:line="279" w:lineRule="auto"/>
        <w:tabs>
          <w:tab w:leader="none" w:pos="1341" w:val="left"/>
        </w:tabs>
        <w:numPr>
          <w:ilvl w:val="0"/>
          <w:numId w:val="34"/>
        </w:numPr>
        <w:rPr>
          <w:rFonts w:ascii="Arial" w:cs="Arial" w:eastAsia="Arial" w:hAnsi="Arial"/>
          <w:sz w:val="17"/>
          <w:szCs w:val="17"/>
          <w:color w:val="auto"/>
        </w:rPr>
      </w:pPr>
      <w:r>
        <w:rPr>
          <w:rFonts w:ascii="Arial" w:cs="Arial" w:eastAsia="Arial" w:hAnsi="Arial"/>
          <w:sz w:val="17"/>
          <w:szCs w:val="17"/>
          <w:i w:val="1"/>
          <w:iCs w:val="1"/>
          <w:color w:val="auto"/>
        </w:rPr>
        <w:t>Use of Proceeds; OFAC</w:t>
      </w:r>
      <w:r>
        <w:rPr>
          <w:rFonts w:ascii="Arial" w:cs="Arial" w:eastAsia="Arial" w:hAnsi="Arial"/>
          <w:sz w:val="17"/>
          <w:szCs w:val="17"/>
          <w:color w:val="auto"/>
        </w:rPr>
        <w:t>. The Company will use the net proceeds received by it from the sale of the Securities in the manner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Registration Statement and the Prospectus under “Use of Proceeds.” The Company will not directly or, to its knowledge,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29" w:name="page30"/>
    <w:bookmarkEnd w:id="29"/>
    <w:p>
      <w:pPr>
        <w:ind w:left="4"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w:t>
      </w:r>
    </w:p>
    <w:p>
      <w:pPr>
        <w:spacing w:after="0" w:line="165" w:lineRule="exact"/>
        <w:rPr>
          <w:sz w:val="20"/>
          <w:szCs w:val="20"/>
          <w:color w:val="auto"/>
        </w:rPr>
      </w:pPr>
    </w:p>
    <w:p>
      <w:pPr>
        <w:ind w:left="4" w:right="220" w:firstLine="987"/>
        <w:spacing w:after="0" w:line="263" w:lineRule="auto"/>
        <w:tabs>
          <w:tab w:leader="none" w:pos="1385"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required to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1933 Act, will file all documents required to be filed with the Commission pursuant to the 1934 Act within the time periods required by the 1934 Act and 1934 Act Regulations.</w:t>
      </w:r>
    </w:p>
    <w:p>
      <w:pPr>
        <w:spacing w:after="0" w:line="183" w:lineRule="exact"/>
        <w:rPr>
          <w:rFonts w:ascii="Arial" w:cs="Arial" w:eastAsia="Arial" w:hAnsi="Arial"/>
          <w:sz w:val="18"/>
          <w:szCs w:val="18"/>
          <w:color w:val="auto"/>
        </w:rPr>
      </w:pPr>
    </w:p>
    <w:p>
      <w:pPr>
        <w:ind w:left="4" w:firstLine="987"/>
        <w:spacing w:after="0" w:line="311" w:lineRule="auto"/>
        <w:tabs>
          <w:tab w:leader="none" w:pos="1345"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Business Development Company Status</w:t>
      </w:r>
      <w:r>
        <w:rPr>
          <w:rFonts w:ascii="Arial" w:cs="Arial" w:eastAsia="Arial" w:hAnsi="Arial"/>
          <w:sz w:val="16"/>
          <w:szCs w:val="16"/>
          <w:color w:val="auto"/>
        </w:rPr>
        <w:t>. The Company will use its commercially reasonable efforts to maintain its status as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company; provided, however, the Company may cease to be, or withdraw its election as, a business development company, with the approval of the board of directors and a vote of stockholders as required by Section 58 of the 1940 Act or any successor provision.</w:t>
      </w:r>
    </w:p>
    <w:p>
      <w:pPr>
        <w:spacing w:after="0" w:line="148" w:lineRule="exact"/>
        <w:rPr>
          <w:rFonts w:ascii="Arial" w:cs="Arial" w:eastAsia="Arial" w:hAnsi="Arial"/>
          <w:sz w:val="16"/>
          <w:szCs w:val="16"/>
          <w:color w:val="auto"/>
        </w:rPr>
      </w:pPr>
    </w:p>
    <w:p>
      <w:pPr>
        <w:jc w:val="both"/>
        <w:ind w:left="4" w:right="140" w:firstLine="987"/>
        <w:spacing w:after="0" w:line="263" w:lineRule="auto"/>
        <w:tabs>
          <w:tab w:leader="none" w:pos="1435"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Regulated Investment Company Status</w:t>
      </w:r>
      <w:r>
        <w:rPr>
          <w:rFonts w:ascii="Arial" w:cs="Arial" w:eastAsia="Arial" w:hAnsi="Arial"/>
          <w:sz w:val="18"/>
          <w:szCs w:val="18"/>
          <w:color w:val="auto"/>
        </w:rPr>
        <w:t>. The Company will use its commercially reasonable efforts to maintain its qualification as a</w:t>
      </w:r>
      <w:r>
        <w:rPr>
          <w:rFonts w:ascii="Arial" w:cs="Arial" w:eastAsia="Arial" w:hAnsi="Arial"/>
          <w:sz w:val="18"/>
          <w:szCs w:val="18"/>
          <w:i w:val="1"/>
          <w:iCs w:val="1"/>
          <w:color w:val="auto"/>
        </w:rPr>
        <w:t xml:space="preserve"> </w:t>
      </w:r>
      <w:r>
        <w:rPr>
          <w:rFonts w:ascii="Arial" w:cs="Arial" w:eastAsia="Arial" w:hAnsi="Arial"/>
          <w:sz w:val="18"/>
          <w:szCs w:val="18"/>
          <w:color w:val="auto"/>
        </w:rPr>
        <w:t>regulated investment company under Subchapter M of the Code for each full fiscal year during which it is a business development company under the 1940 Act.</w:t>
      </w:r>
    </w:p>
    <w:p>
      <w:pPr>
        <w:spacing w:after="0" w:line="183" w:lineRule="exact"/>
        <w:rPr>
          <w:rFonts w:ascii="Arial" w:cs="Arial" w:eastAsia="Arial" w:hAnsi="Arial"/>
          <w:sz w:val="18"/>
          <w:szCs w:val="18"/>
          <w:color w:val="auto"/>
        </w:rPr>
      </w:pPr>
    </w:p>
    <w:p>
      <w:pPr>
        <w:ind w:left="4" w:right="20" w:firstLine="987"/>
        <w:spacing w:after="0" w:line="259" w:lineRule="auto"/>
        <w:tabs>
          <w:tab w:leader="none" w:pos="1385" w:val="left"/>
        </w:tabs>
        <w:numPr>
          <w:ilvl w:val="1"/>
          <w:numId w:val="35"/>
        </w:numPr>
        <w:rPr>
          <w:rFonts w:ascii="Arial" w:cs="Arial" w:eastAsia="Arial" w:hAnsi="Arial"/>
          <w:sz w:val="18"/>
          <w:szCs w:val="18"/>
          <w:color w:val="auto"/>
        </w:rPr>
      </w:pPr>
      <w:r>
        <w:rPr>
          <w:rFonts w:ascii="Arial" w:cs="Arial" w:eastAsia="Arial" w:hAnsi="Arial"/>
          <w:sz w:val="18"/>
          <w:szCs w:val="18"/>
          <w:i w:val="1"/>
          <w:iCs w:val="1"/>
          <w:color w:val="auto"/>
        </w:rPr>
        <w:t>Annual Compliance Reviews</w:t>
      </w:r>
      <w:r>
        <w:rPr>
          <w:rFonts w:ascii="Arial" w:cs="Arial" w:eastAsia="Arial" w:hAnsi="Arial"/>
          <w:sz w:val="18"/>
          <w:szCs w:val="18"/>
          <w:color w:val="auto"/>
        </w:rPr>
        <w:t>. The Company will retain qualified accountants and qualified tax experts to (i) test procedures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annual 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w:t>
      </w:r>
    </w:p>
    <w:p>
      <w:pPr>
        <w:spacing w:after="0" w:line="186" w:lineRule="exact"/>
        <w:rPr>
          <w:rFonts w:ascii="Arial" w:cs="Arial" w:eastAsia="Arial" w:hAnsi="Arial"/>
          <w:sz w:val="18"/>
          <w:szCs w:val="18"/>
          <w:color w:val="auto"/>
        </w:rPr>
      </w:pPr>
    </w:p>
    <w:p>
      <w:pPr>
        <w:ind w:left="4" w:right="440" w:firstLine="987"/>
        <w:spacing w:after="0" w:line="291" w:lineRule="auto"/>
        <w:tabs>
          <w:tab w:leader="none" w:pos="1385" w:val="left"/>
        </w:tabs>
        <w:numPr>
          <w:ilvl w:val="1"/>
          <w:numId w:val="35"/>
        </w:numPr>
        <w:rPr>
          <w:rFonts w:ascii="Arial" w:cs="Arial" w:eastAsia="Arial" w:hAnsi="Arial"/>
          <w:sz w:val="16"/>
          <w:szCs w:val="16"/>
          <w:color w:val="auto"/>
        </w:rPr>
      </w:pPr>
      <w:r>
        <w:rPr>
          <w:rFonts w:ascii="Arial" w:cs="Arial" w:eastAsia="Arial" w:hAnsi="Arial"/>
          <w:sz w:val="16"/>
          <w:szCs w:val="16"/>
          <w:i w:val="1"/>
          <w:iCs w:val="1"/>
          <w:color w:val="auto"/>
        </w:rPr>
        <w:t>Accounting Controls</w:t>
      </w:r>
      <w:r>
        <w:rPr>
          <w:rFonts w:ascii="Arial" w:cs="Arial" w:eastAsia="Arial" w:hAnsi="Arial"/>
          <w:sz w:val="16"/>
          <w:szCs w:val="16"/>
          <w:color w:val="auto"/>
        </w:rPr>
        <w:t>. The Company will use commercially reasonable efforts to establish and maintain a system of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controls sufficient to provide reasonable assurances that (A) transactions are executed in accordance with management’s authorization;</w:t>
      </w:r>
    </w:p>
    <w:p>
      <w:pPr>
        <w:ind w:left="4" w:right="320" w:hanging="4"/>
        <w:spacing w:after="0" w:line="281" w:lineRule="auto"/>
        <w:tabs>
          <w:tab w:leader="none" w:pos="289" w:val="left"/>
        </w:tabs>
        <w:numPr>
          <w:ilvl w:val="0"/>
          <w:numId w:val="36"/>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w:t>
      </w:r>
    </w:p>
    <w:p>
      <w:pPr>
        <w:spacing w:after="0" w:line="1" w:lineRule="exact"/>
        <w:rPr>
          <w:rFonts w:ascii="Arial" w:cs="Arial" w:eastAsia="Arial" w:hAnsi="Arial"/>
          <w:sz w:val="16"/>
          <w:szCs w:val="16"/>
          <w:color w:val="auto"/>
        </w:rPr>
      </w:pPr>
    </w:p>
    <w:p>
      <w:pPr>
        <w:ind w:left="4" w:right="60" w:hanging="4"/>
        <w:spacing w:after="0" w:line="271" w:lineRule="auto"/>
        <w:tabs>
          <w:tab w:leader="none" w:pos="279"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material information 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178" w:lineRule="exact"/>
        <w:rPr>
          <w:rFonts w:ascii="Arial" w:cs="Arial" w:eastAsia="Arial" w:hAnsi="Arial"/>
          <w:sz w:val="17"/>
          <w:szCs w:val="17"/>
          <w:color w:val="auto"/>
        </w:rPr>
      </w:pPr>
    </w:p>
    <w:p>
      <w:pPr>
        <w:ind w:left="4" w:right="620" w:firstLine="987"/>
        <w:spacing w:after="0" w:line="277" w:lineRule="auto"/>
        <w:tabs>
          <w:tab w:leader="none" w:pos="1385" w:val="left"/>
        </w:tabs>
        <w:numPr>
          <w:ilvl w:val="1"/>
          <w:numId w:val="37"/>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Company will use commercially reasonable efforts to establish and employ disclosure controls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that are designed to ensure that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30" w:name="page31"/>
    <w:bookmarkEnd w:id="30"/>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87" w:lineRule="exact"/>
        <w:rPr>
          <w:sz w:val="20"/>
          <w:szCs w:val="20"/>
          <w:color w:val="auto"/>
        </w:rPr>
      </w:pPr>
    </w:p>
    <w:p>
      <w:pPr>
        <w:ind w:left="4" w:right="100" w:firstLine="987"/>
        <w:spacing w:after="0" w:line="293" w:lineRule="auto"/>
        <w:tabs>
          <w:tab w:leader="none" w:pos="1385"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w:t>
      </w:r>
      <w:r>
        <w:rPr>
          <w:rFonts w:ascii="Arial" w:cs="Arial" w:eastAsia="Arial" w:hAnsi="Arial"/>
          <w:sz w:val="16"/>
          <w:szCs w:val="16"/>
          <w:color w:val="auto"/>
        </w:rPr>
        <w:t>. The Company represents and agrees that, without the prior consent of the Sales Agent (i) it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 any offering material other than the Registration Statement or the Prospectus, and (ii) it has not made and will not make any offer relating to the Securities that would constitute a “free writing prospectus” as defined in Rule 405 under the 1933 Act,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64" w:lineRule="exact"/>
        <w:rPr>
          <w:rFonts w:ascii="Arial" w:cs="Arial" w:eastAsia="Arial" w:hAnsi="Arial"/>
          <w:sz w:val="16"/>
          <w:szCs w:val="16"/>
          <w:color w:val="auto"/>
        </w:rPr>
      </w:pPr>
    </w:p>
    <w:p>
      <w:pPr>
        <w:ind w:left="4" w:firstLine="987"/>
        <w:spacing w:after="0" w:line="254" w:lineRule="auto"/>
        <w:tabs>
          <w:tab w:leader="none" w:pos="135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Due Diligence Matters. </w:t>
      </w:r>
      <w:r>
        <w:rPr>
          <w:rFonts w:ascii="Arial" w:cs="Arial" w:eastAsia="Arial" w:hAnsi="Arial"/>
          <w:sz w:val="18"/>
          <w:szCs w:val="18"/>
          <w:color w:val="auto"/>
        </w:rPr>
        <w:t>The Company will cooperate with any reasonable due diligence review conducted by the Sales Agent or its</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agents in connection with the transactions contemplated hereby, including, without limitation, providing information and making available documents and senior officers, during regular business hours and at the Company’s principal offices, as either Agent may reasonably request. The parties acknowledge that the due diligence review contemplated by this Section 2(r) will include, without limitation, during the term of this Agreement a quarterly diligence conference to occur within five business days after each 10-Q filing or 10-K filing whereby the Company will make its senior corporate officers available to address diligence inquiries of the Sales Agent and will provide such additional information and documents as the Sales Agent may reasonably request.</w:t>
      </w:r>
    </w:p>
    <w:p>
      <w:pPr>
        <w:spacing w:after="0" w:line="194" w:lineRule="exact"/>
        <w:rPr>
          <w:rFonts w:ascii="Arial" w:cs="Arial" w:eastAsia="Arial" w:hAnsi="Arial"/>
          <w:sz w:val="18"/>
          <w:szCs w:val="18"/>
          <w:color w:val="auto"/>
        </w:rPr>
      </w:pPr>
    </w:p>
    <w:p>
      <w:pPr>
        <w:ind w:left="4" w:right="320" w:firstLine="987"/>
        <w:spacing w:after="0" w:line="277" w:lineRule="auto"/>
        <w:tabs>
          <w:tab w:leader="none" w:pos="1365" w:val="left"/>
        </w:tabs>
        <w:numPr>
          <w:ilvl w:val="0"/>
          <w:numId w:val="38"/>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Company will not take, directly or indirectly, any action designed to or that could reasonably be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cause or result in any stabilization or manipulation of the price of the Securities.</w:t>
      </w:r>
    </w:p>
    <w:p>
      <w:pPr>
        <w:spacing w:after="0" w:line="170" w:lineRule="exact"/>
        <w:rPr>
          <w:rFonts w:ascii="Arial" w:cs="Arial" w:eastAsia="Arial" w:hAnsi="Arial"/>
          <w:sz w:val="18"/>
          <w:szCs w:val="18"/>
          <w:color w:val="auto"/>
        </w:rPr>
      </w:pPr>
    </w:p>
    <w:p>
      <w:pPr>
        <w:ind w:left="4" w:right="140" w:firstLine="987"/>
        <w:spacing w:after="0" w:line="259" w:lineRule="auto"/>
        <w:tabs>
          <w:tab w:leader="none" w:pos="1342"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 agrees that any offer to sell, any solicitation of an offer to buy, or any sales of Securities pursuant to this Agreement, the Sales Agreement or any Terms Agreement shall only be effected by or through only one of Agent or the Other Agent, as applicable, at any given time as determined by the Company, but in no event by more than one of them, and the Company shall in no event request that more than one of Agent or the Other Agent sell Securities during such time period.</w:t>
      </w:r>
    </w:p>
    <w:p>
      <w:pPr>
        <w:spacing w:after="0" w:line="187"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shall pay or cause to be paid all expenses incident to the performance of its obligations under this Agreement, including (i) the preparation and filing of the Registration Statement, the Prospectus and any amendments or supplements thereto, and the printing and furnishing of copies of each thereof to the Sales Agent (including costs of mailing and shipment), (ii) the printing and delivery to the Sales Agent of this Agreement and such other documents as may be required in connection with the offering, purchase, sale or delivery of the Securities,</w:t>
      </w:r>
    </w:p>
    <w:p>
      <w:pPr>
        <w:spacing w:after="0" w:line="1" w:lineRule="exact"/>
        <w:rPr>
          <w:sz w:val="20"/>
          <w:szCs w:val="20"/>
          <w:color w:val="auto"/>
        </w:rPr>
      </w:pPr>
    </w:p>
    <w:p>
      <w:pPr>
        <w:ind w:left="324" w:hanging="324"/>
        <w:spacing w:after="0"/>
        <w:tabs>
          <w:tab w:leader="none" w:pos="324"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delivery of Securities to the Sales Agent, including any stock or other transfer taxes and any stamp or other duties payable upon the sale or</w:t>
      </w:r>
    </w:p>
    <w:p>
      <w:pPr>
        <w:spacing w:after="0" w:line="166" w:lineRule="exact"/>
        <w:rPr>
          <w:rFonts w:ascii="Arial" w:cs="Arial" w:eastAsia="Arial" w:hAnsi="Arial"/>
          <w:sz w:val="16"/>
          <w:szCs w:val="16"/>
          <w:color w:val="auto"/>
        </w:rPr>
      </w:pPr>
    </w:p>
    <w:p>
      <w:pPr>
        <w:ind w:left="5424"/>
        <w:spacing w:after="0"/>
        <w:rPr>
          <w:rFonts w:ascii="Arial" w:cs="Arial" w:eastAsia="Arial" w:hAnsi="Arial"/>
          <w:sz w:val="16"/>
          <w:szCs w:val="16"/>
          <w:color w:val="auto"/>
        </w:rPr>
      </w:pPr>
      <w:r>
        <w:rPr>
          <w:rFonts w:ascii="Arial" w:cs="Arial" w:eastAsia="Arial" w:hAnsi="Arial"/>
          <w:sz w:val="18"/>
          <w:szCs w:val="18"/>
          <w:color w:val="auto"/>
        </w:rPr>
        <w:t>26</w:t>
      </w:r>
    </w:p>
    <w:p>
      <w:pPr>
        <w:sectPr>
          <w:pgSz w:w="11900" w:h="16838" w:orient="portrait"/>
          <w:cols w:equalWidth="0" w:num="1">
            <w:col w:w="11024"/>
          </w:cols>
          <w:pgMar w:left="436" w:top="274" w:right="439" w:bottom="1440" w:gutter="0" w:footer="0" w:header="0"/>
        </w:sectPr>
      </w:pPr>
    </w:p>
    <w:bookmarkStart w:id="31" w:name="page32"/>
    <w:bookmarkEnd w:id="31"/>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delivery of the Securities to the Sales Agent, (iv) the fees and disbursements of the Company’s counsel, accountants and other advisors, (v) the qualification of the Securities under securities laws in accordance with the provisions of this Agreement, including filing fees and the reasonable fees and disbursements of counsel for the Sales Agent in connection therewith and in connection with the preparation of blue sky surveys and any supplement thereto, (vi) the printing and delivery to the Sales Agent of copies of the Prospectus and any amendments or supplements thereto, (vii) the preparation and delivery to the Sales Agent of copies of the blue sky survey, if any, and any supplement thereto, (viii) the fees and expenses of any transfer agent or registrar for the Securities, (ix) the reasonable legal fees and expenses of counsel to the Sales Agent in connection with their performance under this Agreement, in an aggregate amount of $40,000 in connection with the entry into this Agreement and the Sales Agreement and up to $7,500 per fiscal quarter during the term of this Agreement and the Sales Agreement, which amount shall include legal fees and expenses relating to the review by FINRA of the terms of the sale of the Securities and (x) the filing fees incident to the review by FINRA of the terms of the sale of the Securities. Except as set forth herein, the Sales Agent will pay all of its other out-of-pocket costs and expenses incurred in connection with entering into this Agreement and the transactions contemplated by this Agreement, including, without limitation, travel and similar expenses, whether or not the transactions contemplated hereby are consummated or this Agreement is terminated.</w:t>
      </w:r>
    </w:p>
    <w:p>
      <w:pPr>
        <w:spacing w:after="0" w:line="179"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Conditions of the Sales Agent’s Obligations</w:t>
      </w:r>
      <w:r>
        <w:rPr>
          <w:rFonts w:ascii="Arial" w:cs="Arial" w:eastAsia="Arial" w:hAnsi="Arial"/>
          <w:sz w:val="16"/>
          <w:szCs w:val="16"/>
          <w:color w:val="auto"/>
        </w:rPr>
        <w:t>. The obligations of the Sales Agent hereunder are subject to the accuracy of the representations and warranties of the Company, the Adviser and the Administrator contained herein or in certificates of any officer of the Company, any of the Subsidiaries, the Adviser or the Administrator delivered pursuant to the provisions hereof, to the performance by the Company, the Adviser and the Administrator of their respective covenants and other obligations hereunder, and to the following further conditions:</w:t>
      </w:r>
    </w:p>
    <w:p>
      <w:pPr>
        <w:spacing w:after="0" w:line="157" w:lineRule="exact"/>
        <w:rPr>
          <w:sz w:val="20"/>
          <w:szCs w:val="20"/>
          <w:color w:val="auto"/>
        </w:rPr>
      </w:pPr>
    </w:p>
    <w:p>
      <w:pPr>
        <w:ind w:right="80" w:firstLine="987"/>
        <w:spacing w:after="0" w:line="285" w:lineRule="auto"/>
        <w:tabs>
          <w:tab w:leader="none" w:pos="1371"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Registration Statement</w:t>
      </w:r>
      <w:r>
        <w:rPr>
          <w:rFonts w:ascii="Arial" w:cs="Arial" w:eastAsia="Arial" w:hAnsi="Arial"/>
          <w:sz w:val="16"/>
          <w:szCs w:val="16"/>
          <w:color w:val="auto"/>
        </w:rPr>
        <w:t>. No stop order suspending the effectiveness of the Registration Statement or any post-effective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thereto has been issued under the 1933 Act, no order preventing or suspending the use of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Rule 433(d).</w:t>
      </w:r>
    </w:p>
    <w:p>
      <w:pPr>
        <w:spacing w:after="0" w:line="210" w:lineRule="exact"/>
        <w:rPr>
          <w:rFonts w:ascii="Arial" w:cs="Arial" w:eastAsia="Arial" w:hAnsi="Arial"/>
          <w:sz w:val="16"/>
          <w:szCs w:val="16"/>
          <w:color w:val="auto"/>
        </w:rPr>
      </w:pPr>
    </w:p>
    <w:p>
      <w:pPr>
        <w:ind w:firstLine="987"/>
        <w:spacing w:after="0" w:line="270" w:lineRule="auto"/>
        <w:tabs>
          <w:tab w:leader="none" w:pos="1381"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Opinions of Counsel for the Company, the Adviser and the Administrator</w:t>
      </w:r>
      <w:r>
        <w:rPr>
          <w:rFonts w:ascii="Arial" w:cs="Arial" w:eastAsia="Arial" w:hAnsi="Arial"/>
          <w:sz w:val="17"/>
          <w:szCs w:val="17"/>
          <w:color w:val="auto"/>
        </w:rPr>
        <w:t>. Within five business days after (i) each date on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files a quarterly report on Form 10-Q or an annual report on Form 10-K, (ii) each date on which Securities are delivered to the Sales Agent pursuant to a Terms Agreement, or (iii) such date as the Sales Agent may reasonably request (the date of commencement of the offering of the Securities under this Agreement, the date of commencement of the offering of the Securities under this Agreement following the termination of a Suspension Period and each date referred to in subclauses (i), (ii) and (iii) above, each a “Representation Date”), the Sales Agent shall have received the favorable opinions, dated the Representation Date, of Dechert LLP, counsel for the Company, the Adviser and the Administrator, and of Venable LLP, counsel for the Company, in form and substance reasonably satisfactory to counsel for the Sales Agent. Such counsels may state that insofar as such opinions involve factual matters, they have relied, to the extent they deem proper, upon certificates of officers of the Company and the Subsidiaries, the Adviser and the Administrator and certificates of public officials.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32" w:name="page33"/>
    <w:bookmarkEnd w:id="32"/>
    <w:p>
      <w:pPr>
        <w:ind w:left="-20" w:right="140" w:firstLine="987"/>
        <w:spacing w:after="0" w:line="279" w:lineRule="auto"/>
        <w:tabs>
          <w:tab w:leader="none" w:pos="1351" w:val="left"/>
        </w:tabs>
        <w:numPr>
          <w:ilvl w:val="1"/>
          <w:numId w:val="41"/>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Opinion of Counsel for the Sales Agent</w:t>
      </w:r>
      <w:r>
        <w:rPr>
          <w:rFonts w:ascii="Arial" w:cs="Arial" w:eastAsia="Arial" w:hAnsi="Arial"/>
          <w:sz w:val="17"/>
          <w:szCs w:val="17"/>
          <w:color w:val="auto"/>
        </w:rPr>
        <w:t>. Within five business days after each Representation Date, the Sales Agent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the favorable opinion, dated the Representation Date, of Proskauer Rose LLP, counsel for the Sales Agent. Such counsel may also state that, insofar as such opinion involves factual matters, they have relied, to the extent they deem proper, upon certificates of officers and other representatives of the Company, the Subsidiaries, the Adviser and the Administrator and certificates of public officials.</w:t>
      </w:r>
    </w:p>
    <w:p>
      <w:pPr>
        <w:spacing w:after="0" w:line="171" w:lineRule="exact"/>
        <w:rPr>
          <w:rFonts w:ascii="Arial" w:cs="Arial" w:eastAsia="Arial" w:hAnsi="Arial"/>
          <w:sz w:val="17"/>
          <w:szCs w:val="17"/>
          <w:color w:val="auto"/>
        </w:rPr>
      </w:pPr>
    </w:p>
    <w:p>
      <w:pPr>
        <w:ind w:left="1360" w:hanging="393"/>
        <w:spacing w:after="0"/>
        <w:tabs>
          <w:tab w:leader="none" w:pos="1360" w:val="left"/>
        </w:tabs>
        <w:numPr>
          <w:ilvl w:val="1"/>
          <w:numId w:val="41"/>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20" w:firstLine="948"/>
        <w:spacing w:after="0" w:line="269" w:lineRule="auto"/>
        <w:tabs>
          <w:tab w:leader="none" w:pos="1718" w:val="left"/>
        </w:tabs>
        <w:numPr>
          <w:ilvl w:val="2"/>
          <w:numId w:val="41"/>
        </w:numPr>
        <w:rPr>
          <w:rFonts w:ascii="Arial" w:cs="Arial" w:eastAsia="Arial" w:hAnsi="Arial"/>
          <w:sz w:val="17"/>
          <w:szCs w:val="17"/>
          <w:color w:val="auto"/>
        </w:rPr>
      </w:pPr>
      <w:r>
        <w:rPr>
          <w:rFonts w:ascii="Arial" w:cs="Arial" w:eastAsia="Arial" w:hAnsi="Arial"/>
          <w:sz w:val="17"/>
          <w:szCs w:val="17"/>
          <w:color w:val="auto"/>
        </w:rPr>
        <w:t xml:space="preserve">Within five business days after each Representation Date, there shall not have been, since the date hereof or since the respective dates as of which information is given in the Registration Statement, or the Prospectus, any material adverse change in the business, properties, management, financial condition, prospects or results of operations of the Company and the Subsidiaries considered as one enterprise, whether or not arising in the ordinary course of business, and the Sales Agent shall have received a certificate of the chief executive officer or the president of the Company and of the chief financial or chief accounting officer of the Company, dated the Representation Date, to the effect that (A) there has been no such material adverse change, (B) the representations and warranties of the Company in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of this Agreement are true and correct with the same force and effect as though expressly made at and as of the Representation Date, (C) the Company has complied with all agreements and satisfied all conditions on its part to be performed or satisfied at or prior to the Representation Date, and (D) no stop order suspending the effectiveness of the Registration Statement under the 1933 Act has been issued, no order preventing or suspending the use of the Prospectus has been issued and no proceedings for any of those purposes have been instituted or are pending or, to their knowledge, contemplated by the Commission.</w:t>
      </w:r>
    </w:p>
    <w:p>
      <w:pPr>
        <w:spacing w:after="0" w:line="73" w:lineRule="exact"/>
        <w:rPr>
          <w:rFonts w:ascii="Arial" w:cs="Arial" w:eastAsia="Arial" w:hAnsi="Arial"/>
          <w:sz w:val="17"/>
          <w:szCs w:val="17"/>
          <w:color w:val="auto"/>
        </w:rPr>
      </w:pPr>
    </w:p>
    <w:p>
      <w:pPr>
        <w:ind w:left="420" w:firstLine="948"/>
        <w:spacing w:after="0" w:line="287" w:lineRule="auto"/>
        <w:tabs>
          <w:tab w:leader="none" w:pos="1768" w:val="left"/>
        </w:tabs>
        <w:numPr>
          <w:ilvl w:val="2"/>
          <w:numId w:val="41"/>
        </w:numPr>
        <w:rPr>
          <w:rFonts w:ascii="Arial" w:cs="Arial" w:eastAsia="Arial" w:hAnsi="Arial"/>
          <w:sz w:val="16"/>
          <w:szCs w:val="16"/>
          <w:color w:val="auto"/>
        </w:rPr>
      </w:pPr>
      <w:r>
        <w:rPr>
          <w:rFonts w:ascii="Arial" w:cs="Arial" w:eastAsia="Arial" w:hAnsi="Arial"/>
          <w:sz w:val="16"/>
          <w:szCs w:val="16"/>
          <w:color w:val="auto"/>
        </w:rPr>
        <w:t>Within five business days after each Representation Date, there shall not have been, since the date hereof or since the respective dates as of which information is given in the Prospectus, an Adviser/Administrator Material Adverse Effect, and the Sales Agent shall have received certificates of the managing member of each of the Adviser and the Administrator, dated the Representation Date, to the effect that</w:t>
      </w:r>
    </w:p>
    <w:p>
      <w:pPr>
        <w:spacing w:after="0" w:line="2" w:lineRule="exact"/>
        <w:rPr>
          <w:rFonts w:ascii="Arial" w:cs="Arial" w:eastAsia="Arial" w:hAnsi="Arial"/>
          <w:sz w:val="16"/>
          <w:szCs w:val="16"/>
          <w:color w:val="auto"/>
        </w:rPr>
      </w:pPr>
    </w:p>
    <w:p>
      <w:pPr>
        <w:ind w:left="420" w:right="80" w:hanging="4"/>
        <w:spacing w:after="0" w:line="295" w:lineRule="auto"/>
        <w:tabs>
          <w:tab w:leader="none" w:pos="715" w:val="left"/>
        </w:tabs>
        <w:numPr>
          <w:ilvl w:val="0"/>
          <w:numId w:val="42"/>
        </w:numPr>
        <w:rPr>
          <w:rFonts w:ascii="Arial" w:cs="Arial" w:eastAsia="Arial" w:hAnsi="Arial"/>
          <w:sz w:val="16"/>
          <w:szCs w:val="16"/>
          <w:color w:val="auto"/>
        </w:rPr>
      </w:pPr>
      <w:r>
        <w:rPr>
          <w:rFonts w:ascii="Arial" w:cs="Arial" w:eastAsia="Arial" w:hAnsi="Arial"/>
          <w:sz w:val="16"/>
          <w:szCs w:val="16"/>
          <w:color w:val="auto"/>
        </w:rPr>
        <w:t xml:space="preserve">there has been no such Adviser/Administrator Material Adverse Effect with respect to the Adviser or the Administrator, as applicable, (B) the representations and warranties of the Adviser or the Administrator, as applicable, in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of this Agreement are true and correct with the same force and effect as though expressly made at and as of the Representation Date and (C) the Adviser or the Administrator, as applicable, has complied with all agreements and satisfied all conditions on their part to be performed or satisfied at or prior to the Representation Date.</w:t>
      </w:r>
    </w:p>
    <w:p>
      <w:pPr>
        <w:spacing w:after="0" w:line="161" w:lineRule="exact"/>
        <w:rPr>
          <w:rFonts w:ascii="Arial" w:cs="Arial" w:eastAsia="Arial" w:hAnsi="Arial"/>
          <w:sz w:val="16"/>
          <w:szCs w:val="16"/>
          <w:color w:val="auto"/>
        </w:rPr>
      </w:pPr>
    </w:p>
    <w:p>
      <w:pPr>
        <w:ind w:left="-20" w:right="340" w:firstLine="987"/>
        <w:spacing w:after="0" w:line="259" w:lineRule="auto"/>
        <w:tabs>
          <w:tab w:leader="none" w:pos="1351" w:val="left"/>
        </w:tabs>
        <w:numPr>
          <w:ilvl w:val="1"/>
          <w:numId w:val="42"/>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Within five business days after each Representation Date, the Sales Agent shall have received from</w:t>
      </w:r>
      <w:r>
        <w:rPr>
          <w:rFonts w:ascii="Arial" w:cs="Arial" w:eastAsia="Arial" w:hAnsi="Arial"/>
          <w:sz w:val="18"/>
          <w:szCs w:val="18"/>
          <w:i w:val="1"/>
          <w:iCs w:val="1"/>
          <w:color w:val="auto"/>
        </w:rPr>
        <w:t xml:space="preserve"> </w:t>
      </w:r>
      <w:r>
        <w:rPr>
          <w:rFonts w:ascii="Arial" w:cs="Arial" w:eastAsia="Arial" w:hAnsi="Arial"/>
          <w:sz w:val="18"/>
          <w:szCs w:val="18"/>
          <w:color w:val="auto"/>
        </w:rPr>
        <w:t>RSM US LLP a letter, dated such date, in form and substance satisfactory to the Sales Agent, containing statements and information of the type ordinarily included in accountants’ “comfort letters” to underwriters with respect to the Company’s financial statements and certain financial information included or incorporated by reference in the Registration Statement and the Prospectus.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60" w:top="274" w:right="459" w:bottom="1440" w:gutter="0" w:footer="0" w:header="0"/>
        </w:sectPr>
      </w:pPr>
    </w:p>
    <w:bookmarkStart w:id="33" w:name="page34"/>
    <w:bookmarkEnd w:id="33"/>
    <w:p>
      <w:pPr>
        <w:ind w:right="140" w:firstLine="987"/>
        <w:spacing w:after="0" w:line="296" w:lineRule="auto"/>
        <w:tabs>
          <w:tab w:leader="none" w:pos="1351"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Documents</w:t>
      </w:r>
      <w:r>
        <w:rPr>
          <w:rFonts w:ascii="Arial" w:cs="Arial" w:eastAsia="Arial" w:hAnsi="Arial"/>
          <w:sz w:val="16"/>
          <w:szCs w:val="16"/>
          <w:color w:val="auto"/>
        </w:rPr>
        <w:t>. Within five business days after each Representation Date, counsel for the Sales Agent shall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the Adviser and the Administrator in connection with the issuance and sale of the Securities as herein contemplated shall be satisfactory in form and substance to the Sales Agent and counsel for the Sales Agent.</w:t>
      </w:r>
    </w:p>
    <w:p>
      <w:pPr>
        <w:spacing w:after="0" w:line="161"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180" w:firstLine="987"/>
        <w:spacing w:after="0" w:line="259" w:lineRule="auto"/>
        <w:tabs>
          <w:tab w:leader="none" w:pos="1371"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Indemnification of the Sales Agent by the Company, the Adviser and the Administrator</w:t>
      </w:r>
      <w:r>
        <w:rPr>
          <w:rFonts w:ascii="Arial" w:cs="Arial" w:eastAsia="Arial" w:hAnsi="Arial"/>
          <w:sz w:val="18"/>
          <w:szCs w:val="18"/>
          <w:color w:val="auto"/>
        </w:rPr>
        <w:t>. The Company, the Adviser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severally and not jointly, agree to indemnify and hold harmless the Sales Agent, its affiliates (as such term is defined in Rule 501(b) under the 1933 Act (each, an “Affiliate”)), its selling agents and each person, if any, who controls the Sales Agent within the meaning of Section 15 of the 1933 Act or Section 20 of the 1934 Act as follows:</w:t>
      </w:r>
    </w:p>
    <w:p>
      <w:pPr>
        <w:spacing w:after="0" w:line="78" w:lineRule="exact"/>
        <w:rPr>
          <w:rFonts w:ascii="Arial" w:cs="Arial" w:eastAsia="Arial" w:hAnsi="Arial"/>
          <w:sz w:val="18"/>
          <w:szCs w:val="18"/>
          <w:color w:val="auto"/>
        </w:rPr>
      </w:pPr>
    </w:p>
    <w:p>
      <w:pPr>
        <w:ind w:left="440" w:right="20" w:firstLine="948"/>
        <w:spacing w:after="0" w:line="289" w:lineRule="auto"/>
        <w:tabs>
          <w:tab w:leader="none" w:pos="1742" w:val="left"/>
        </w:tabs>
        <w:numPr>
          <w:ilvl w:val="1"/>
          <w:numId w:val="44"/>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arising out of any untrue statement or alleged untrue statement of a material fact contained in the Registration Statement (or any amendment thereto), including any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Issuer Free Writing Prospectus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Issuer Free Writing Prospectus, the Prospectus or any Marketing Materials of a material fact necessary in order to make the statements therein, in the light of the circumstances under which they were made, not misleading;</w:t>
      </w:r>
    </w:p>
    <w:p>
      <w:pPr>
        <w:spacing w:after="0" w:line="58" w:lineRule="exact"/>
        <w:rPr>
          <w:rFonts w:ascii="Arial" w:cs="Arial" w:eastAsia="Arial" w:hAnsi="Arial"/>
          <w:sz w:val="16"/>
          <w:szCs w:val="16"/>
          <w:color w:val="auto"/>
        </w:rPr>
      </w:pPr>
    </w:p>
    <w:p>
      <w:pPr>
        <w:ind w:left="440" w:right="140" w:firstLine="948"/>
        <w:spacing w:after="0" w:line="279" w:lineRule="auto"/>
        <w:tabs>
          <w:tab w:leader="none" w:pos="1792" w:val="left"/>
        </w:tabs>
        <w:numPr>
          <w:ilvl w:val="1"/>
          <w:numId w:val="44"/>
        </w:numPr>
        <w:rPr>
          <w:rFonts w:ascii="Arial" w:cs="Arial" w:eastAsia="Arial" w:hAnsi="Arial"/>
          <w:sz w:val="17"/>
          <w:szCs w:val="17"/>
          <w:color w:val="auto"/>
        </w:rPr>
      </w:pPr>
      <w:r>
        <w:rPr>
          <w:rFonts w:ascii="Arial" w:cs="Arial" w:eastAsia="Arial" w:hAnsi="Arial"/>
          <w:sz w:val="17"/>
          <w:szCs w:val="17"/>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Arial" w:cs="Arial" w:eastAsia="Arial" w:hAnsi="Arial"/>
          <w:sz w:val="17"/>
          <w:szCs w:val="17"/>
          <w:u w:val="single" w:color="auto"/>
          <w:color w:val="auto"/>
        </w:rPr>
        <w:t>Section 6(d)</w:t>
      </w:r>
      <w:r>
        <w:rPr>
          <w:rFonts w:ascii="Arial" w:cs="Arial" w:eastAsia="Arial" w:hAnsi="Arial"/>
          <w:sz w:val="17"/>
          <w:szCs w:val="17"/>
          <w:color w:val="auto"/>
        </w:rPr>
        <w:t xml:space="preserve"> below) any such settlement is effected with the written consent of the Company; and</w:t>
      </w:r>
    </w:p>
    <w:p>
      <w:pPr>
        <w:spacing w:after="0" w:line="63" w:lineRule="exact"/>
        <w:rPr>
          <w:rFonts w:ascii="Arial" w:cs="Arial" w:eastAsia="Arial" w:hAnsi="Arial"/>
          <w:sz w:val="17"/>
          <w:szCs w:val="17"/>
          <w:color w:val="auto"/>
        </w:rPr>
      </w:pPr>
    </w:p>
    <w:p>
      <w:pPr>
        <w:ind w:left="440" w:firstLine="948"/>
        <w:spacing w:after="0" w:line="277" w:lineRule="auto"/>
        <w:tabs>
          <w:tab w:leader="none" w:pos="1842" w:val="left"/>
        </w:tabs>
        <w:numPr>
          <w:ilvl w:val="1"/>
          <w:numId w:val="44"/>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reasonably incurred and documented fees and disbursements of counsel chosen by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34" w:name="page35"/>
    <w:bookmarkEnd w:id="34"/>
    <w:p>
      <w:pPr>
        <w:ind w:left="420"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Sales Agent),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Rule 430B Information or the Prospectus (or any amendment or supplement thereto) in reliance upon and in conformity with the Sales Agent Information; and provided, further the Adviser’s indemnity shall only apply to statements described in (i) above regarding the Adviser and the Administrator’s indemnity shall apply only statements described in (i) above regarding the Administrator.</w:t>
      </w:r>
    </w:p>
    <w:p>
      <w:pPr>
        <w:spacing w:after="0" w:line="178" w:lineRule="exact"/>
        <w:rPr>
          <w:sz w:val="20"/>
          <w:szCs w:val="20"/>
          <w:color w:val="auto"/>
        </w:rPr>
      </w:pPr>
    </w:p>
    <w:p>
      <w:pPr>
        <w:ind w:left="-20" w:firstLine="987"/>
        <w:spacing w:after="0" w:line="272" w:lineRule="auto"/>
        <w:tabs>
          <w:tab w:leader="none" w:pos="1361" w:val="left"/>
        </w:tabs>
        <w:numPr>
          <w:ilvl w:val="0"/>
          <w:numId w:val="45"/>
        </w:numPr>
        <w:rPr>
          <w:rFonts w:ascii="Arial" w:cs="Arial" w:eastAsia="Arial" w:hAnsi="Arial"/>
          <w:sz w:val="17"/>
          <w:szCs w:val="17"/>
          <w:color w:val="auto"/>
        </w:rPr>
      </w:pPr>
      <w:r>
        <w:rPr>
          <w:rFonts w:ascii="Arial" w:cs="Arial" w:eastAsia="Arial" w:hAnsi="Arial"/>
          <w:sz w:val="17"/>
          <w:szCs w:val="17"/>
          <w:i w:val="1"/>
          <w:iCs w:val="1"/>
          <w:color w:val="auto"/>
        </w:rPr>
        <w:t>Indemnification of Company, Directors, Officers, Adviser and Administrator</w:t>
      </w:r>
      <w:r>
        <w:rPr>
          <w:rFonts w:ascii="Arial" w:cs="Arial" w:eastAsia="Arial" w:hAnsi="Arial"/>
          <w:sz w:val="17"/>
          <w:szCs w:val="17"/>
          <w:color w:val="auto"/>
        </w:rPr>
        <w:t>. The Sales Agent agrees to indemnify and hold harmless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the Adviser, the Administrator their directors, each of the Company’s officers who signed the Registration Statement and each person, if any, who controls the Company, the Adviser or the Administrator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Rule 430B Information, any Issuer Free Writing Prospectus or the Prospectus (or any amendment or supplement thereto) in reliance upon and in conformity with the Sales Agent Information.</w:t>
      </w:r>
    </w:p>
    <w:p>
      <w:pPr>
        <w:spacing w:after="0" w:line="177" w:lineRule="exact"/>
        <w:rPr>
          <w:rFonts w:ascii="Arial" w:cs="Arial" w:eastAsia="Arial" w:hAnsi="Arial"/>
          <w:sz w:val="17"/>
          <w:szCs w:val="17"/>
          <w:color w:val="auto"/>
        </w:rPr>
      </w:pPr>
    </w:p>
    <w:p>
      <w:pPr>
        <w:ind w:left="-20" w:firstLine="987"/>
        <w:spacing w:after="0" w:line="286" w:lineRule="auto"/>
        <w:tabs>
          <w:tab w:leader="none" w:pos="1351" w:val="left"/>
        </w:tabs>
        <w:numPr>
          <w:ilvl w:val="0"/>
          <w:numId w:val="45"/>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indemnifying party of 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above, counsel to the indemnified parties shall be selected by the Sales Agent, and, in the case of parties indemnified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(whether or not the indemnified parties are actual or potential parties thereto), unless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60" w:top="274" w:right="479" w:bottom="1440" w:gutter="0" w:footer="0" w:header="0"/>
        </w:sectPr>
      </w:pPr>
    </w:p>
    <w:bookmarkStart w:id="35" w:name="page36"/>
    <w:bookmarkEnd w:id="35"/>
    <w:p>
      <w:pPr>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84" w:lineRule="exact"/>
        <w:rPr>
          <w:sz w:val="20"/>
          <w:szCs w:val="20"/>
          <w:color w:val="auto"/>
        </w:rPr>
      </w:pPr>
    </w:p>
    <w:p>
      <w:pPr>
        <w:ind w:firstLine="987"/>
        <w:spacing w:after="0" w:line="255" w:lineRule="auto"/>
        <w:tabs>
          <w:tab w:leader="none" w:pos="1381"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Settlement without Consent if Failure to Reimburse</w:t>
      </w:r>
      <w:r>
        <w:rPr>
          <w:rFonts w:ascii="Arial" w:cs="Arial" w:eastAsia="Arial" w:hAnsi="Arial"/>
          <w:sz w:val="18"/>
          <w:szCs w:val="18"/>
          <w:color w:val="auto"/>
        </w:rPr>
        <w:t>. If at any time an indemnified party shall have requested an indemnifying party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reimburse the indemnified party for fees and expenses of counsel, such indemnifying party agrees that it shall be liable for any settlement of the nature contemplated by </w:t>
      </w:r>
      <w:r>
        <w:rPr>
          <w:rFonts w:ascii="Arial" w:cs="Arial" w:eastAsia="Arial" w:hAnsi="Arial"/>
          <w:sz w:val="18"/>
          <w:szCs w:val="18"/>
          <w:u w:val="single" w:color="auto"/>
          <w:color w:val="auto"/>
        </w:rPr>
        <w:t>Section 6(a)(ii)</w:t>
      </w:r>
      <w:r>
        <w:rPr>
          <w:rFonts w:ascii="Arial" w:cs="Arial" w:eastAsia="Arial" w:hAnsi="Arial"/>
          <w:sz w:val="18"/>
          <w:szCs w:val="18"/>
          <w:color w:val="auto"/>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9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the indemnification provided for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the Adviser and the Administrator, on the one hand, and the Sales Agent,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the Adviser and the Administrator, on the one hand, and of the Sales Agent, on the other hand, in connection with the statements or omissions which resulted in such losses, liabilities, claims, damages or expenses, as well as any other relevant equitable considerations. For the avoidance of doubt, the Adviser’s and the Administrator’s contribution agreement shall only apply to instances in which the Adviser or the Administrator has an indemnity obligation as described above in </w:t>
      </w:r>
      <w:r>
        <w:rPr>
          <w:rFonts w:ascii="Arial" w:cs="Arial" w:eastAsia="Arial" w:hAnsi="Arial"/>
          <w:sz w:val="17"/>
          <w:szCs w:val="17"/>
          <w:u w:val="single" w:color="auto"/>
          <w:color w:val="auto"/>
        </w:rPr>
        <w:t>Section 6(a)</w:t>
      </w:r>
      <w:r>
        <w:rPr>
          <w:rFonts w:ascii="Arial" w:cs="Arial" w:eastAsia="Arial" w:hAnsi="Arial"/>
          <w:sz w:val="17"/>
          <w:szCs w:val="17"/>
          <w:color w:val="auto"/>
        </w:rPr>
        <w:t>.</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relative benefits received by the Company, the Adviser and the Administrator, on the one hand, and the Sales Agent,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commissions received by the Sales Agent, on the other hand, in each case as set forth on the cover of the Prospectus, bear to the aggregate Net Proceeds.</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relative fault of the Company, the Adviser and the Administrator, on the one hand, and the Sales Agent, on the other hand, shall be determined by reference to, among other things, whether any such untrue or alleged untrue statement of a material fact or omission or alleged omission to state a material fact relates to information supplied by the Company, the Adviser and the Administrator or by the Sales Agent and the parties’ relative intent, knowledge, access to information and opportunity to correct or prevent such statement or omission.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6" w:name="page37"/>
    <w:bookmarkEnd w:id="36"/>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Company, the Adviser, the Administrator and the Sales Agent agree that it would not be just and equitable if contribution pursuant to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above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The aggregate amount of losses, liabilities, claims, damages and expenses incurred by an indemnified party and referred to above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Notwithstanding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the Sales Agent shall not be required to contribute any amount in excess of the commissions received by the Sales Agent in connection with the Securities sold by it.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Notwithstanding anything in this Agreement to the contrary, any indemnification and contribution by the Company shall be subject to the requirements and limitations of Section 17(i) of the 1940 Act and any applicable guidance from the Commission or its staff thereunder.</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7</w:t>
      </w:r>
      <w:r>
        <w:rPr>
          <w:rFonts w:ascii="Arial" w:cs="Arial" w:eastAsia="Arial" w:hAnsi="Arial"/>
          <w:sz w:val="18"/>
          <w:szCs w:val="18"/>
          <w:color w:val="auto"/>
        </w:rPr>
        <w:t>, each person, if any, who controls the Sales Agent within the meaning of Section 15 of the 1933 Act or Section 20 of the 1934 Act and the Sales Agent’s Affiliates and selling agents shall have the same rights to contribution as the Sales Agent, and each director of the Company, each officer of the Company who signed the Registration Statement, and each person, if any, who controls the Company, the Adviser or the Administrator within the meaning of Section 15 of the 1933 Act or Section 20 of the 1934 Act shall have the same rights to contribution as the Company, the Adviser or the Administrator, as the case may be.</w:t>
      </w:r>
    </w:p>
    <w:p>
      <w:pPr>
        <w:spacing w:after="0" w:line="18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Representations, Warranties and Agreements to Survive</w:t>
      </w:r>
      <w:r>
        <w:rPr>
          <w:rFonts w:ascii="Arial" w:cs="Arial" w:eastAsia="Arial" w:hAnsi="Arial"/>
          <w:sz w:val="18"/>
          <w:szCs w:val="18"/>
          <w:color w:val="auto"/>
        </w:rPr>
        <w:t>. All representations, warranties and agreements contained in this Agreement or in certificates of officers of the Company, any of the Subsidiaries, the Adviser or the Administrator submitted pursuant hereto, shall remain operative and in full force and effect regardless of (i) any investigation made by or on behalf of the Sales Agent or its Affiliates or selling agents, any person controlling the Sales Agent, its officers or directors or any person controlling the Company and (ii) delivery of and payment for the Securities.</w:t>
      </w:r>
    </w:p>
    <w:p>
      <w:pPr>
        <w:spacing w:after="0" w:line="188"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w:t>
      </w:r>
    </w:p>
    <w:p>
      <w:pPr>
        <w:spacing w:after="0" w:line="225" w:lineRule="exact"/>
        <w:rPr>
          <w:sz w:val="20"/>
          <w:szCs w:val="20"/>
          <w:color w:val="auto"/>
        </w:rPr>
      </w:pPr>
    </w:p>
    <w:p>
      <w:pPr>
        <w:ind w:firstLine="987"/>
        <w:spacing w:after="0" w:line="277" w:lineRule="auto"/>
        <w:tabs>
          <w:tab w:leader="none" w:pos="1371"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Termination by the Company, the Adviser and the Administrator</w:t>
      </w:r>
      <w:r>
        <w:rPr>
          <w:rFonts w:ascii="Arial" w:cs="Arial" w:eastAsia="Arial" w:hAnsi="Arial"/>
          <w:sz w:val="18"/>
          <w:szCs w:val="18"/>
          <w:color w:val="auto"/>
        </w:rPr>
        <w:t>. The Company, the Adviser and the Administrator may terminate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by giving one day advance notice to the Sales Agent, at any time.</w:t>
      </w:r>
    </w:p>
    <w:p>
      <w:pPr>
        <w:spacing w:after="0" w:line="170" w:lineRule="exact"/>
        <w:rPr>
          <w:rFonts w:ascii="Arial" w:cs="Arial" w:eastAsia="Arial" w:hAnsi="Arial"/>
          <w:sz w:val="18"/>
          <w:szCs w:val="18"/>
          <w:color w:val="auto"/>
        </w:rPr>
      </w:pPr>
    </w:p>
    <w:p>
      <w:pPr>
        <w:ind w:right="140" w:firstLine="987"/>
        <w:spacing w:after="0" w:line="263" w:lineRule="auto"/>
        <w:tabs>
          <w:tab w:leader="none" w:pos="1381"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Termination by the Sales Agent</w:t>
      </w:r>
      <w:r>
        <w:rPr>
          <w:rFonts w:ascii="Arial" w:cs="Arial" w:eastAsia="Arial" w:hAnsi="Arial"/>
          <w:sz w:val="18"/>
          <w:szCs w:val="18"/>
          <w:color w:val="auto"/>
        </w:rPr>
        <w:t>. The Sales Agent may terminate this Agreement, by giving one day advance notice to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at any time (i) if there has been, in the judgment of the Sales Agent, since the time of execution of this Agreement or since the respective dates as of which information is given in the Registration Statement or the Prospectus,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7" w:name="page38"/>
    <w:bookmarkEnd w:id="37"/>
    <w:p>
      <w:pPr>
        <w:ind w:left="4"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material adverse change in the business, properties, management, financial condition, prospects or results of operations of the Company and the Subsidiaries taken as one enterprise or the Adviser or the Administrator, whether or not arising in the ordinary course of business, which would make it impracticable or inadvisable to proceed with the public offering or the delivery of the Securities on the terms and in the manner contemplated in the Registration Statement and the Prospectus,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 impracticable or inadvisable to proceed with the completion of the offering or to enforce contracts for the sale of the Securities, (iii) if trading in any securities of the Company has been suspended or materially limited by the Commission or The Nasdaq Stock Market,</w:t>
      </w:r>
    </w:p>
    <w:p>
      <w:pPr>
        <w:spacing w:after="0" w:line="1" w:lineRule="exact"/>
        <w:rPr>
          <w:sz w:val="20"/>
          <w:szCs w:val="20"/>
          <w:color w:val="auto"/>
        </w:rPr>
      </w:pPr>
    </w:p>
    <w:p>
      <w:pPr>
        <w:ind w:left="4" w:right="40" w:hanging="4"/>
        <w:spacing w:after="0" w:line="253" w:lineRule="auto"/>
        <w:tabs>
          <w:tab w:leader="none" w:pos="309"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trading generally on the NYSE Amex or The New York Stock Exchange or The Nasdaq Stock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90" w:lineRule="exact"/>
        <w:rPr>
          <w:rFonts w:ascii="Arial" w:cs="Arial" w:eastAsia="Arial" w:hAnsi="Arial"/>
          <w:sz w:val="18"/>
          <w:szCs w:val="18"/>
          <w:color w:val="auto"/>
        </w:rPr>
      </w:pPr>
    </w:p>
    <w:p>
      <w:pPr>
        <w:ind w:left="4" w:firstLine="987"/>
        <w:spacing w:after="0" w:line="263" w:lineRule="auto"/>
        <w:tabs>
          <w:tab w:leader="none" w:pos="1375" w:val="left"/>
        </w:tabs>
        <w:numPr>
          <w:ilvl w:val="1"/>
          <w:numId w:val="48"/>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such termination shall be without liability of any party to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party except as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provided that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6, 7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w:t>
      </w:r>
      <w:r>
        <w:rPr>
          <w:rFonts w:ascii="Arial" w:cs="Arial" w:eastAsia="Arial" w:hAnsi="Arial"/>
          <w:sz w:val="18"/>
          <w:szCs w:val="18"/>
          <w:u w:val="single" w:color="auto"/>
          <w:color w:val="auto"/>
        </w:rPr>
        <w:t>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16</w:t>
      </w:r>
      <w:r>
        <w:rPr>
          <w:rFonts w:ascii="Arial" w:cs="Arial" w:eastAsia="Arial" w:hAnsi="Arial"/>
          <w:sz w:val="18"/>
          <w:szCs w:val="18"/>
          <w:color w:val="auto"/>
        </w:rPr>
        <w:t xml:space="preserve"> shall survive such termination and remain in full force and effect.</w:t>
      </w:r>
    </w:p>
    <w:p>
      <w:pPr>
        <w:spacing w:after="0" w:line="184"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 Joint Venture</w:t>
      </w:r>
      <w:r>
        <w:rPr>
          <w:rFonts w:ascii="Arial" w:cs="Arial" w:eastAsia="Arial" w:hAnsi="Arial"/>
          <w:sz w:val="18"/>
          <w:szCs w:val="18"/>
          <w:color w:val="auto"/>
        </w:rPr>
        <w:t>. The Company, the Adviser, the Administrator and the Sales Agent expressly acknowledge, understand and agree that the Sales Agent and the Other Agent are not, and shall not be deemed for any purpose, to be acting as an joint venture or partner of one another and that neither the Sales Agent nor the Other Agent assume responsibility or liability, express or implied, for any actions or omissions of, or the performance of services by the Sales Agent or the Other Agent, respectively, in connection with the offering of the shares of Common Stock pursuant to this Agreement or the Sales Agreement, or otherwise. The obligations of the Sales Agent hereunder and of the Other Agent under the Sales Agreement shall be several and not joint.</w:t>
      </w:r>
    </w:p>
    <w:p>
      <w:pPr>
        <w:spacing w:after="0" w:line="192" w:lineRule="exact"/>
        <w:rPr>
          <w:sz w:val="20"/>
          <w:szCs w:val="20"/>
          <w:color w:val="auto"/>
        </w:rPr>
      </w:pPr>
    </w:p>
    <w:p>
      <w:pPr>
        <w:ind w:left="4" w:right="20" w:firstLine="440"/>
        <w:spacing w:after="0" w:line="25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 by any standard form of telecommunication. Notices to the Sales Agent shall be directed to JMP Securities LLC at 600 Montgomery Street, Suite 1100, San Francisco, California 94111, Facsimile: (415) 835-8920, Attention: Equity Securities, with a copy (which shall not constitute notice) to Proskauer Rose LLP at 1001 Pennsylvania Ave., NW, Suite 600 South, Washington, D.C. 20004, Attention: William Tuttle. Notices to the Company, the Adviser and the Administrator shall be directed to them at 590 Madison Avenue, 15th Floor, New York, NY 10022, facsimile No. (212) 905-1075, Attention: Arthur Penn.</w:t>
      </w:r>
    </w:p>
    <w:p>
      <w:pPr>
        <w:spacing w:after="0" w:line="1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4"/>
          </w:cols>
          <w:pgMar w:left="436" w:top="274" w:right="479" w:bottom="1440" w:gutter="0" w:footer="0" w:header="0"/>
        </w:sectPr>
      </w:pPr>
    </w:p>
    <w:bookmarkStart w:id="38" w:name="page39"/>
    <w:bookmarkEnd w:id="38"/>
    <w:p>
      <w:pPr>
        <w:ind w:left="4"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Sales Agent, on the other hand, (b) in connection with the offering of the Securities and the process leading thereto, the Sales Agent is and has been acting solely as a principal and is not the agent or fiduciary of the Company, any of the Subsidiaries or their respective stockholders, creditors, employees or any other party, (c) the Sales Agent has not assumed or will assume an advisory or fiduciary responsibility in favor of the Company with respect to the offering of the Securities or the process leading thereto (irrespective of whether the Sales Agent has advised or is currently advising the Company or any of its subsidiaries on other matters) and the Sales Agent has no obligation to the Company with respect to the offering of the Securities except the obligations expressly set forth in this Agreement, (d) the Sales Agent and its respective affiliates may be engaged in a broad range of transactions that involve interests that differ from those of the Company and</w:t>
      </w:r>
    </w:p>
    <w:p>
      <w:pPr>
        <w:spacing w:after="0" w:line="6" w:lineRule="exact"/>
        <w:rPr>
          <w:sz w:val="20"/>
          <w:szCs w:val="20"/>
          <w:color w:val="auto"/>
        </w:rPr>
      </w:pPr>
    </w:p>
    <w:p>
      <w:pPr>
        <w:ind w:left="4" w:right="200" w:hanging="4"/>
        <w:spacing w:after="0" w:line="260" w:lineRule="auto"/>
        <w:tabs>
          <w:tab w:leader="none" w:pos="24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Sales Agent has not provided any legal, accounting, regulatory or tax advice with respect to the offering of the Securities and the Company has consulted its own respective legal, accounting, regulatory and tax advisors to the extent it deemed appropriate.</w:t>
      </w:r>
    </w:p>
    <w:p>
      <w:pPr>
        <w:spacing w:after="0" w:line="185" w:lineRule="exact"/>
        <w:rPr>
          <w:sz w:val="20"/>
          <w:szCs w:val="20"/>
          <w:color w:val="auto"/>
        </w:rPr>
      </w:pPr>
    </w:p>
    <w:p>
      <w:pPr>
        <w:ind w:left="4" w:right="80" w:firstLine="440"/>
        <w:spacing w:after="0" w:line="290"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Parties</w:t>
      </w:r>
      <w:r>
        <w:rPr>
          <w:rFonts w:ascii="Arial" w:cs="Arial" w:eastAsia="Arial" w:hAnsi="Arial"/>
          <w:sz w:val="16"/>
          <w:szCs w:val="16"/>
          <w:color w:val="auto"/>
        </w:rPr>
        <w:t xml:space="preserve">. This Agreement shall each inure to the benefit of and be binding upon the Sales Agent, the Company, the Adviser, the Administrator and their respective successors. Nothing expressed or mentioned in this Agreement is intended or shall be construed to give any person, firm or corporation, other than the Sales Agent, the Company, the Adviser and the Administrator and their respective successors and the controlling persons and officers and directors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 the Company, the Adviser and the Administrator and their respective successors, and said controlling persons and officers and directors and their heirs and legal representatives, and for the benefit of no other person, firm or corporation. No purchaser of Securities from the Sales Agent shall be deemed to be a successor by reason merely of such purchase.</w:t>
      </w:r>
    </w:p>
    <w:p>
      <w:pPr>
        <w:spacing w:after="0" w:line="165" w:lineRule="exact"/>
        <w:rPr>
          <w:sz w:val="20"/>
          <w:szCs w:val="20"/>
          <w:color w:val="auto"/>
        </w:rPr>
      </w:pPr>
    </w:p>
    <w:p>
      <w:pPr>
        <w:ind w:left="4" w:right="220" w:firstLine="440"/>
        <w:spacing w:after="0" w:line="286"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Trial by Jury</w:t>
      </w:r>
      <w:r>
        <w:rPr>
          <w:rFonts w:ascii="Arial" w:cs="Arial" w:eastAsia="Arial" w:hAnsi="Arial"/>
          <w:sz w:val="17"/>
          <w:szCs w:val="17"/>
          <w:color w:val="auto"/>
        </w:rPr>
        <w:t>. The Company (on its behalf and, to the extent permitted by applicable law, on behalf of its stockholders and affiliates), the Adviser, the Administrator and the Sales Agent hereby irrevocably waives, to the fullest extent permitted by applicable law, any and all right to trial by jury in any legal proceeding arising out of or relating to this Agreement or the transactions contemplated hereby.</w:t>
      </w:r>
    </w:p>
    <w:p>
      <w:pPr>
        <w:spacing w:after="0" w:line="16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39" w:name="page40"/>
    <w:bookmarkEnd w:id="39"/>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 </w:t>
      </w:r>
      <w:r>
        <w:rPr>
          <w:rFonts w:ascii="Arial" w:cs="Arial" w:eastAsia="Arial" w:hAnsi="Arial"/>
          <w:sz w:val="17"/>
          <w:szCs w:val="17"/>
          <w:u w:val="single" w:color="auto"/>
          <w:color w:val="auto"/>
        </w:rPr>
        <w:t>Consent to Jurisdiction; Waiver of Immunity</w:t>
      </w:r>
      <w:r>
        <w:rPr>
          <w:rFonts w:ascii="Arial" w:cs="Arial" w:eastAsia="Arial" w:hAnsi="Arial"/>
          <w:sz w:val="17"/>
          <w:szCs w:val="17"/>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8"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affect the construction hereof.</w:t>
      </w:r>
    </w:p>
    <w:p>
      <w:pPr>
        <w:spacing w:after="0" w:line="225"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6"/>
          <w:szCs w:val="16"/>
          <w:u w:val="single" w:color="auto"/>
          <w:color w:val="auto"/>
        </w:rPr>
        <w:t>Recognition of the U.S. Special Resolution Regimes</w:t>
      </w:r>
      <w:r>
        <w:rPr>
          <w:rFonts w:ascii="Arial" w:cs="Arial" w:eastAsia="Arial" w:hAnsi="Arial"/>
          <w:sz w:val="16"/>
          <w:szCs w:val="16"/>
          <w:color w:val="auto"/>
        </w:rPr>
        <w:t>.</w:t>
      </w:r>
    </w:p>
    <w:p>
      <w:pPr>
        <w:spacing w:after="0" w:line="225" w:lineRule="exact"/>
        <w:rPr>
          <w:sz w:val="20"/>
          <w:szCs w:val="20"/>
          <w:color w:val="auto"/>
        </w:rPr>
      </w:pPr>
    </w:p>
    <w:p>
      <w:pPr>
        <w:jc w:val="both"/>
        <w:ind w:right="40" w:firstLine="987"/>
        <w:spacing w:after="0" w:line="259" w:lineRule="auto"/>
        <w:tabs>
          <w:tab w:leader="none" w:pos="1371"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event that the Sales Agent that is a Covered Entity becomes subject to a proceeding under a U.S. Special Resolution Regime, the transfer from the Sales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right="60" w:firstLine="987"/>
        <w:spacing w:after="0" w:line="259" w:lineRule="auto"/>
        <w:tabs>
          <w:tab w:leader="none" w:pos="1381"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event that the Sales Agent that is a Covered Entity or a BHC Act Affiliate of the Sales Agent becomes subject to a proceeding under a U.S. Special Resolution Regime, Default Rights under this Agreement that may be exercised against the Sales Agent are permitted to be exercised to no greater extent than such Default Rights could be exercised under the U.S. Special Resolution Regime if this Agreement were governed by the laws of the United States or a state of the United States.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4" w:right="499" w:bottom="1440" w:gutter="0" w:footer="0" w:header="0"/>
        </w:sectPr>
      </w:pPr>
    </w:p>
    <w:bookmarkStart w:id="40" w:name="page41"/>
    <w:bookmarkEnd w:id="40"/>
    <w:p>
      <w:pPr>
        <w:jc w:val="both"/>
        <w:ind w:left="4" w:firstLine="987"/>
        <w:spacing w:after="0" w:line="285" w:lineRule="auto"/>
        <w:tabs>
          <w:tab w:leader="none" w:pos="1375" w:val="left"/>
        </w:tabs>
        <w:numPr>
          <w:ilvl w:val="1"/>
          <w:numId w:val="5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this </w:t>
      </w:r>
      <w:r>
        <w:rPr>
          <w:rFonts w:ascii="Arial" w:cs="Arial" w:eastAsia="Arial" w:hAnsi="Arial"/>
          <w:sz w:val="16"/>
          <w:szCs w:val="16"/>
          <w:u w:val="single" w:color="auto"/>
          <w:color w:val="auto"/>
        </w:rPr>
        <w:t>Section 20</w:t>
      </w:r>
      <w:r>
        <w:rPr>
          <w:rFonts w:ascii="Arial" w:cs="Arial" w:eastAsia="Arial" w:hAnsi="Arial"/>
          <w:sz w:val="16"/>
          <w:szCs w:val="16"/>
          <w:color w:val="auto"/>
        </w:rPr>
        <w:t>,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w:t>
      </w:r>
    </w:p>
    <w:p>
      <w:pPr>
        <w:spacing w:after="0" w:line="1" w:lineRule="exact"/>
        <w:rPr>
          <w:rFonts w:ascii="Arial" w:cs="Arial" w:eastAsia="Arial" w:hAnsi="Arial"/>
          <w:sz w:val="16"/>
          <w:szCs w:val="16"/>
          <w:color w:val="auto"/>
        </w:rPr>
      </w:pPr>
    </w:p>
    <w:p>
      <w:pPr>
        <w:ind w:left="4" w:right="120" w:hanging="4"/>
        <w:spacing w:after="0" w:line="260" w:lineRule="auto"/>
        <w:tabs>
          <w:tab w:leader="none" w:pos="21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41" w:name="page42"/>
    <w:bookmarkEnd w:id="41"/>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Sales Agent, the Company, the Adviser and the Administrator in accordance with its terms.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ADMINISTRATION,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Managing Member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Sales Agreement – JMP]</w:t>
      </w:r>
    </w:p>
    <w:p>
      <w:pPr>
        <w:sectPr>
          <w:pgSz w:w="11900" w:h="16838" w:orient="portrait"/>
          <w:cols w:equalWidth="0" w:num="1">
            <w:col w:w="10960"/>
          </w:cols>
          <w:pgMar w:left="440" w:top="274" w:right="49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CONFIRMED AND ACCEPTED,</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JMP SECURITIES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Jonathan Dever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Jonathan Dever</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jc w:val="right"/>
        <w:ind w:right="2939"/>
        <w:spacing w:after="0"/>
        <w:rPr>
          <w:sz w:val="20"/>
          <w:szCs w:val="20"/>
          <w:color w:val="auto"/>
        </w:rPr>
      </w:pPr>
      <w:r>
        <w:rPr>
          <w:rFonts w:ascii="Arial" w:cs="Arial" w:eastAsia="Arial" w:hAnsi="Arial"/>
          <w:sz w:val="18"/>
          <w:szCs w:val="18"/>
          <w:color w:val="auto"/>
        </w:rPr>
        <w:t>[Signature Page to Sales Agreement – JMP]</w:t>
      </w:r>
    </w:p>
    <w:p>
      <w:pPr>
        <w:sectPr>
          <w:pgSz w:w="11900" w:h="16838" w:orient="portrait"/>
          <w:cols w:equalWidth="0" w:num="1">
            <w:col w:w="10019"/>
          </w:cols>
          <w:pgMar w:left="440" w:top="274" w:right="1440" w:bottom="1440" w:gutter="0" w:footer="0" w:header="0"/>
        </w:sectPr>
      </w:pPr>
    </w:p>
    <w:bookmarkStart w:id="43" w:name="page44"/>
    <w:bookmarkEnd w:id="43"/>
    <w:p>
      <w:pPr>
        <w:jc w:val="right"/>
        <w:ind w:right="39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subsidiaries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Funding 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Funding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CLO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CLO 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CLO I Depositor,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PFLT Investment Holdings, LLC</w:t>
      </w:r>
    </w:p>
    <w:p>
      <w:pPr>
        <w:sectPr>
          <w:pgSz w:w="11900" w:h="16838" w:orient="portrait"/>
          <w:cols w:equalWidth="0" w:num="1">
            <w:col w:w="10019"/>
          </w:cols>
          <w:pgMar w:left="440" w:top="270" w:right="1440" w:bottom="1440" w:gutter="0" w:footer="0" w:header="0"/>
        </w:sectPr>
      </w:pPr>
    </w:p>
    <w:bookmarkStart w:id="44" w:name="page45"/>
    <w:bookmarkEnd w:id="44"/>
    <w:p>
      <w:pPr>
        <w:jc w:val="right"/>
        <w:ind w:right="39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Authorized Representatives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Cheung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Agent Authorized Representatives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Jonathan Dever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Aidan Whitehead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Walter Conroy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JMP Compliance</w:t>
      </w:r>
    </w:p>
    <w:p>
      <w:pPr>
        <w:sectPr>
          <w:pgSz w:w="11900" w:h="16838" w:orient="portrait"/>
          <w:cols w:equalWidth="0" w:num="1">
            <w:col w:w="10019"/>
          </w:cols>
          <w:pgMar w:left="440" w:top="270"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377190</wp:posOffset>
            </wp:positionV>
            <wp:extent cx="6995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PENNANTPARK FLOATING RATE CAPITAL LTD.</w:t>
      </w: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 Maryland corporation)</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Common Stock, Par Value $0.001 Per Share</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u w:val="single" w:color="auto"/>
          <w:color w:val="auto"/>
        </w:rPr>
        <w:t>EQUITY DISTRIBUTION AGREEMENT</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Dated: August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186055</wp:posOffset>
            </wp:positionV>
            <wp:extent cx="6995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PENNANTPARK FLOATING RATE CAPITAL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Maryland corporation)</w:t>
      </w:r>
    </w:p>
    <w:p>
      <w:pPr>
        <w:spacing w:after="0" w:line="225"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Common Stock, Par Value $0.001 Per Share</w:t>
      </w:r>
    </w:p>
    <w:p>
      <w:pPr>
        <w:spacing w:after="0" w:line="2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EQUITY DISTRIBUTION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Raymond James &amp; Associates,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880 Carillon Parkway|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Petersburg, Florida 33716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PennantPark Floating Rate Capital Ltd., a Maryland corporation (the “Company”), PennantPark Investment Advisers, LLC, a Delaware limited liability company (the “Adviser”) and PennantPark Investment Administration, LLC, a Delaware limited liability company (the “Administrator”), each confirms its agreement with Raymond James &amp; Associates, Inc. (the “Sales Agent”) with respect to the sale by the Company of shares of common stock, par value $0.001 per share, of the Company (“Common Stock”), having an aggregate offering price of up to $75 million. The shares of Common Stock to be sold by the Sales Agent are herein called, collectively, the “Securities.” The Company, the Adviser and the Administrator have also entered into a sales agreement in substantially similar form to this Agreement (the “Sales Agreement”), dated of even date herewith, with JMP Securities LLC (the “Other Agent”). The aggregate amount of Securities that may be sold collectively pursuant to this Agreement and the Sales Agreement shall not exceed the lesser of $75 million and the dollar amount of Securities permitted to be sold under the Registration Statement (as defined below).</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The Company has filed with the Securities and Exchange Commission (the “Commission”) a shelf registration statement on Form N-2 (File No. 333-235532), relating to the registration of the Securities and certain of the Company’s other securities under the Securities Act of 1933, as amended (the “1933 Act”), which registration statement was most declared effective by the Commission on January 29, 2020. The Company has also filed with the Commission a prospectus supplement, dated the date hereof, as such prospectus supplement may be amended (the “Prospectus”), which contains a base prospectus, dated January 29, 2020, in accordance with the provisions of Rule 430B (“Rule 430B”) of the rules and regulations of the Commission promulgated under the 1933 Act (such provisions, the “1933 Act Regulations”) and Rule 424(b) (“Rule 424(b)”) of the 1933 Act Regulations.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under the 1933 Act and deemed to be part of the registration statement and also including any registration statement filed pursuant to Rule 462(b) of the 1933 Act Regulations, is herein called the “Registration Statement.” All references in this Agreement to amendments or supplements to the Registration Statement or the Prospectus, including those made pursuant to</w:t>
      </w:r>
    </w:p>
    <w:p>
      <w:pPr>
        <w:sectPr>
          <w:pgSz w:w="11900" w:h="16838" w:orient="portrait"/>
          <w:cols w:equalWidth="0" w:num="1">
            <w:col w:w="11000"/>
          </w:cols>
          <w:pgMar w:left="440" w:top="274" w:right="459" w:bottom="1440" w:gutter="0" w:footer="0" w:header="0"/>
        </w:sectPr>
      </w:pPr>
    </w:p>
    <w:bookmarkStart w:id="47" w:name="page48"/>
    <w:bookmarkEnd w:id="47"/>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Rule 424(b) under the 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the Prospectus or any amendment or supplement to any of the foregoing shall be deemed to include the copy filed with the Commission pursuant to its Electronic Data Gathering, Analysis and Retrieval system or any successor system (“EDGAR”).</w:t>
      </w:r>
    </w:p>
    <w:p>
      <w:pPr>
        <w:spacing w:after="0" w:line="19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Form N-54A Notification of Election to be Subject to Sections 55 through 65 of the Investment Company Act of 1940 Filed Pursuant to Section 54(a) of the Investment Company Act (File No. 814-00743) was filed with the Commission on April 7, 2011 under the Investment Company Act of 1940, as amended (the “1940 Act”), and the rules and regulations and any applicable guidance and/or interpretation of the Commission or its staff thereunder (the “1940 Act Regulations”).</w:t>
      </w:r>
    </w:p>
    <w:p>
      <w:pPr>
        <w:spacing w:after="0" w:line="187" w:lineRule="exact"/>
        <w:rPr>
          <w:sz w:val="20"/>
          <w:szCs w:val="20"/>
          <w:color w:val="auto"/>
        </w:rPr>
      </w:pPr>
    </w:p>
    <w:p>
      <w:pPr>
        <w:jc w:val="both"/>
        <w:ind w:right="800"/>
        <w:spacing w:after="0" w:line="263" w:lineRule="auto"/>
        <w:rPr>
          <w:sz w:val="20"/>
          <w:szCs w:val="20"/>
          <w:color w:val="auto"/>
        </w:rPr>
      </w:pPr>
      <w:r>
        <w:rPr>
          <w:rFonts w:ascii="Arial" w:cs="Arial" w:eastAsia="Arial" w:hAnsi="Arial"/>
          <w:sz w:val="18"/>
          <w:szCs w:val="18"/>
          <w:color w:val="auto"/>
        </w:rPr>
        <w:t>The Company has entered into that certain Second Amended and Restated Investment Advisory Agreement, dated as of February 2, 2016 (the “Investment Management Agreement”), with the Adviser. The Company has entered into that certain Administration Agreement, dated as of April 7, 2011 (the “Administration Agreement”), with the Administrator.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 “Applicable Time” means the time of each sale of the applicable Securities pursuant to this Agreement.</w:t>
      </w:r>
    </w:p>
    <w:p>
      <w:pPr>
        <w:spacing w:after="0" w:line="225"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w:t>
      </w:r>
    </w:p>
    <w:p>
      <w:pPr>
        <w:spacing w:after="0" w:line="225" w:lineRule="exact"/>
        <w:rPr>
          <w:sz w:val="20"/>
          <w:szCs w:val="20"/>
          <w:color w:val="auto"/>
        </w:rPr>
      </w:pPr>
    </w:p>
    <w:p>
      <w:pPr>
        <w:ind w:right="40" w:firstLine="987"/>
        <w:spacing w:after="0" w:line="279" w:lineRule="auto"/>
        <w:tabs>
          <w:tab w:leader="none" w:pos="1371"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Representations and Warranties by the Company</w:t>
      </w:r>
      <w:r>
        <w:rPr>
          <w:rFonts w:ascii="Arial" w:cs="Arial" w:eastAsia="Arial" w:hAnsi="Arial"/>
          <w:sz w:val="17"/>
          <w:szCs w:val="17"/>
          <w:color w:val="auto"/>
        </w:rPr>
        <w:t>. The Company represents and warrants to the Sales Agent as of the date hereof,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Time, each Representation Date (as defined below) and any Date of Delivery (as defined below) and agrees with the Sales Agent, and the Adviser and the Administrator, jointly and severally, represent and warrant to and agree with the Sales Agent as of the date hereof, the Applicable Time, each Representation Date (as defined below) and any Date of Delivery Time (as defined below), as follows:</w:t>
      </w:r>
    </w:p>
    <w:p>
      <w:pPr>
        <w:spacing w:after="0" w:line="63" w:lineRule="exact"/>
        <w:rPr>
          <w:rFonts w:ascii="Arial" w:cs="Arial" w:eastAsia="Arial" w:hAnsi="Arial"/>
          <w:sz w:val="17"/>
          <w:szCs w:val="17"/>
          <w:color w:val="auto"/>
        </w:rPr>
      </w:pPr>
    </w:p>
    <w:p>
      <w:pPr>
        <w:ind w:left="440" w:firstLine="948"/>
        <w:spacing w:after="0" w:line="273" w:lineRule="auto"/>
        <w:tabs>
          <w:tab w:leader="none" w:pos="1742" w:val="left"/>
        </w:tabs>
        <w:numPr>
          <w:ilvl w:val="1"/>
          <w:numId w:val="53"/>
        </w:numPr>
        <w:rPr>
          <w:rFonts w:ascii="Arial" w:cs="Arial" w:eastAsia="Arial" w:hAnsi="Arial"/>
          <w:sz w:val="17"/>
          <w:szCs w:val="17"/>
          <w:color w:val="auto"/>
        </w:rPr>
      </w:pPr>
      <w:r>
        <w:rPr>
          <w:rFonts w:ascii="Arial" w:cs="Arial" w:eastAsia="Arial" w:hAnsi="Arial"/>
          <w:sz w:val="17"/>
          <w:szCs w:val="17"/>
          <w:u w:val="single" w:color="auto"/>
          <w:color w:val="auto"/>
        </w:rPr>
        <w:t>Registration Statement and Prospectuses</w:t>
      </w:r>
      <w:r>
        <w:rPr>
          <w:rFonts w:ascii="Arial" w:cs="Arial" w:eastAsia="Arial" w:hAnsi="Arial"/>
          <w:sz w:val="17"/>
          <w:szCs w:val="17"/>
          <w:color w:val="auto"/>
        </w:rPr>
        <w:t>.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w:t>
      </w:r>
    </w:p>
    <w:p>
      <w:pPr>
        <w:spacing w:after="0" w:line="70"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Each of the Registration Statement and any post-effective amendment thereto, at the time it became effective, complied in all material respects with the requirements of the 1933</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8" w:name="page49"/>
    <w:bookmarkEnd w:id="48"/>
    <w:p>
      <w:pPr>
        <w:jc w:val="both"/>
        <w:ind w:left="4" w:right="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Act, the 1933 Act Regulations, the 1940 Act and the 1940 Act Regulations. The Prospectus and any amendment or supplement thereto, at the time each was filed with the Commission, complied in all material respects with the requirements of the 1933 Act, the 1933 Act Regulations, the 1940 Act and the 1940 Act Regulations. The Prospectus delivered to the Sales Agent for use in connection with this offering was or will be identical to the electronically transmitted copies thereof filed with the Commission pursuant to EDGAR, except to the extent permitted by Regulation S-T.</w:t>
      </w:r>
    </w:p>
    <w:p>
      <w:pPr>
        <w:spacing w:after="0" w:line="49" w:lineRule="exact"/>
        <w:rPr>
          <w:sz w:val="20"/>
          <w:szCs w:val="20"/>
          <w:color w:val="auto"/>
        </w:rPr>
      </w:pPr>
    </w:p>
    <w:p>
      <w:pPr>
        <w:ind w:left="4" w:right="60" w:firstLine="948"/>
        <w:spacing w:after="0" w:line="286" w:lineRule="auto"/>
        <w:tabs>
          <w:tab w:leader="none" w:pos="1355" w:val="left"/>
        </w:tabs>
        <w:numPr>
          <w:ilvl w:val="1"/>
          <w:numId w:val="54"/>
        </w:numPr>
        <w:rPr>
          <w:rFonts w:ascii="Arial" w:cs="Arial" w:eastAsia="Arial" w:hAnsi="Arial"/>
          <w:sz w:val="16"/>
          <w:szCs w:val="16"/>
          <w:color w:val="auto"/>
        </w:rPr>
      </w:pPr>
      <w:r>
        <w:rPr>
          <w:rFonts w:ascii="Arial" w:cs="Arial" w:eastAsia="Arial" w:hAnsi="Arial"/>
          <w:sz w:val="16"/>
          <w:szCs w:val="16"/>
          <w:u w:val="single" w:color="auto"/>
          <w:color w:val="auto"/>
        </w:rPr>
        <w:t>Issuer Free Writing Prospectus</w:t>
      </w:r>
      <w:r>
        <w:rPr>
          <w:rFonts w:ascii="Arial" w:cs="Arial" w:eastAsia="Arial" w:hAnsi="Arial"/>
          <w:sz w:val="16"/>
          <w:szCs w:val="16"/>
          <w:color w:val="auto"/>
        </w:rPr>
        <w:t>. The Company (including its agents and representatives, other than the Sales Agent in its capacity as such) has not made, used, prepared, authorized, approved or referred to and will not prepare, make, use, authorize, approve or refer to any “written communication” (as defined in Rule 405 under the 1933 Act) that constitutes an offer to sell or solicitation of an offer to buy the Securities (each such communication by the Company or its agents and representatives (other than a communication referred to in clauses (i), (ii),</w:t>
      </w:r>
    </w:p>
    <w:p>
      <w:pPr>
        <w:spacing w:after="0" w:line="1" w:lineRule="exact"/>
        <w:rPr>
          <w:rFonts w:ascii="Arial" w:cs="Arial" w:eastAsia="Arial" w:hAnsi="Arial"/>
          <w:sz w:val="16"/>
          <w:szCs w:val="16"/>
          <w:color w:val="auto"/>
        </w:rPr>
      </w:pPr>
    </w:p>
    <w:p>
      <w:pPr>
        <w:ind w:left="4" w:right="20" w:hanging="4"/>
        <w:spacing w:after="0" w:line="290" w:lineRule="auto"/>
        <w:tabs>
          <w:tab w:leader="none" w:pos="318"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and (iv) below) an “Issuer Free Writing Prospectus”) other than (i) any document not constituting a prospectus pursuant to Section 2(a)(10)(a) of the 1933 Act or Rule 134 under the 1933 Act, (ii) the Registration Statement, (iii) the Prospectus, and (iv) any electronic road show or other written communications, in each case approved in writing in advance by the Sales Agent, such approval not to be unreasonably withheld. Each such Issuer Free Writing Prospectus, if any, complies in all material respects with the 1933 Act, has been or will be (within the time period specified in Rule 433) filed in accordance with the 1933 Act (to the extent required thereby). No Issuer Free Writing Prospectus conflicts or will conflict with the information contained in the Registration Statement or the Prospectus that has not been superseded or modified.</w:t>
      </w:r>
    </w:p>
    <w:p>
      <w:pPr>
        <w:spacing w:after="0" w:line="55" w:lineRule="exact"/>
        <w:rPr>
          <w:rFonts w:ascii="Arial" w:cs="Arial" w:eastAsia="Arial" w:hAnsi="Arial"/>
          <w:sz w:val="16"/>
          <w:szCs w:val="16"/>
          <w:color w:val="auto"/>
        </w:rPr>
      </w:pPr>
    </w:p>
    <w:p>
      <w:pPr>
        <w:ind w:left="4" w:right="180" w:firstLine="948"/>
        <w:spacing w:after="0" w:line="263" w:lineRule="auto"/>
        <w:tabs>
          <w:tab w:leader="none" w:pos="1405"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Documents Incorporated by Reference</w:t>
      </w:r>
      <w:r>
        <w:rPr>
          <w:rFonts w:ascii="Arial" w:cs="Arial" w:eastAsia="Arial" w:hAnsi="Arial"/>
          <w:sz w:val="18"/>
          <w:szCs w:val="18"/>
          <w:color w:val="auto"/>
        </w:rPr>
        <w:t>. The documents incorporated by reference in each of the Registration Statement, the Prospectus, when they were filed or when they will be filed with the Commission, as the case may be, conformed or will conform in all material respects to the requirements of the 1934 Act.</w:t>
      </w:r>
    </w:p>
    <w:p>
      <w:pPr>
        <w:spacing w:after="0" w:line="75" w:lineRule="exact"/>
        <w:rPr>
          <w:rFonts w:ascii="Arial" w:cs="Arial" w:eastAsia="Arial" w:hAnsi="Arial"/>
          <w:sz w:val="18"/>
          <w:szCs w:val="18"/>
          <w:color w:val="auto"/>
        </w:rPr>
      </w:pPr>
    </w:p>
    <w:p>
      <w:pPr>
        <w:ind w:left="4" w:firstLine="948"/>
        <w:spacing w:after="0" w:line="293" w:lineRule="auto"/>
        <w:tabs>
          <w:tab w:leader="none" w:pos="1395" w:val="left"/>
        </w:tabs>
        <w:numPr>
          <w:ilvl w:val="1"/>
          <w:numId w:val="55"/>
        </w:numPr>
        <w:rPr>
          <w:rFonts w:ascii="Arial" w:cs="Arial" w:eastAsia="Arial" w:hAnsi="Arial"/>
          <w:sz w:val="16"/>
          <w:szCs w:val="16"/>
          <w:color w:val="auto"/>
        </w:rPr>
      </w:pPr>
      <w:r>
        <w:rPr>
          <w:rFonts w:ascii="Arial" w:cs="Arial" w:eastAsia="Arial" w:hAnsi="Arial"/>
          <w:sz w:val="16"/>
          <w:szCs w:val="16"/>
          <w:u w:val="single" w:color="auto"/>
          <w:color w:val="auto"/>
        </w:rPr>
        <w:t>Accurate Disclosure</w:t>
      </w:r>
      <w:r>
        <w:rPr>
          <w:rFonts w:ascii="Arial" w:cs="Arial" w:eastAsia="Arial" w:hAnsi="Arial"/>
          <w:sz w:val="16"/>
          <w:szCs w:val="16"/>
          <w:color w:val="auto"/>
        </w:rPr>
        <w:t>. Neither the Registration Statement nor any amendment thereto, at its effective time, at the Applicable Time or at any Date of Delivery, contained, contains or will contain an untrue statement of a material fact or omitted, omits or will omit to state a material fact required to be stated therein or necessary to make the statements therein, not misleading. Neither the Prospectus nor any amendment or supplement thereto, as of their respective date(s), at the time of any filing with the Commission pursuant to Rule 424(b)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56" w:lineRule="exact"/>
        <w:rPr>
          <w:sz w:val="20"/>
          <w:szCs w:val="20"/>
          <w:color w:val="auto"/>
        </w:rPr>
      </w:pPr>
    </w:p>
    <w:p>
      <w:pPr>
        <w:ind w:left="4" w:right="100"/>
        <w:spacing w:after="0" w:line="279" w:lineRule="auto"/>
        <w:rPr>
          <w:sz w:val="20"/>
          <w:szCs w:val="20"/>
          <w:color w:val="auto"/>
        </w:rPr>
      </w:pPr>
      <w:r>
        <w:rPr>
          <w:rFonts w:ascii="Arial" w:cs="Arial" w:eastAsia="Arial" w:hAnsi="Arial"/>
          <w:sz w:val="17"/>
          <w:szCs w:val="17"/>
          <w:color w:val="auto"/>
        </w:rPr>
        <w:t>The representations and warranties in this subsection shall not apply to statements in or omissions from the Registration Statement (or any amendment thereto) or the Prospectus (or any amendment or supplement thereto) made in reliance upon and in conformity with written information furnished to the Company by the Sales Agent expressly for use therein (collectively, the “Sales Agent Information”). For purposes of this Agreement, the only Sales Agent Information shall be the final paragraph of the “Plan of Distribution” in the Prospectus.</w:t>
      </w:r>
    </w:p>
    <w:p>
      <w:pPr>
        <w:spacing w:after="0" w:line="10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4"/>
          </w:cols>
          <w:pgMar w:left="876" w:top="274" w:right="459" w:bottom="1440" w:gutter="0" w:footer="0" w:header="0"/>
        </w:sectPr>
      </w:pPr>
    </w:p>
    <w:bookmarkStart w:id="49" w:name="page50"/>
    <w:bookmarkEnd w:id="49"/>
    <w:p>
      <w:pPr>
        <w:ind w:right="160" w:firstLine="948"/>
        <w:spacing w:after="0" w:line="257" w:lineRule="auto"/>
        <w:tabs>
          <w:tab w:leader="none" w:pos="134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Not Ineligible Issuer</w:t>
      </w:r>
      <w:r>
        <w:rPr>
          <w:rFonts w:ascii="Arial" w:cs="Arial" w:eastAsia="Arial" w:hAnsi="Arial"/>
          <w:sz w:val="18"/>
          <w:szCs w:val="18"/>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79" w:lineRule="exact"/>
        <w:rPr>
          <w:rFonts w:ascii="Arial" w:cs="Arial" w:eastAsia="Arial" w:hAnsi="Arial"/>
          <w:sz w:val="18"/>
          <w:szCs w:val="18"/>
          <w:color w:val="auto"/>
        </w:rPr>
      </w:pPr>
    </w:p>
    <w:p>
      <w:pPr>
        <w:ind w:right="180" w:firstLine="948"/>
        <w:spacing w:after="0" w:line="259" w:lineRule="auto"/>
        <w:tabs>
          <w:tab w:leader="none" w:pos="139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Independent Accountants of the Company</w:t>
      </w:r>
      <w:r>
        <w:rPr>
          <w:rFonts w:ascii="Arial" w:cs="Arial" w:eastAsia="Arial" w:hAnsi="Arial"/>
          <w:sz w:val="18"/>
          <w:szCs w:val="18"/>
          <w:color w:val="auto"/>
        </w:rPr>
        <w:t>. The accountants who audited or reviewed the financial statements and supporting schedules of the Company included or incorporated by reference in the Registration Statement and the Prospectus are independent registered public accountants with respect to the Company within the applicable rules and regulations of the Commission and the Public Company Accounting Oversight Board (United States) and as required by the 1933 Act.</w:t>
      </w:r>
    </w:p>
    <w:p>
      <w:pPr>
        <w:spacing w:after="0" w:line="78" w:lineRule="exact"/>
        <w:rPr>
          <w:rFonts w:ascii="Arial" w:cs="Arial" w:eastAsia="Arial" w:hAnsi="Arial"/>
          <w:sz w:val="18"/>
          <w:szCs w:val="18"/>
          <w:color w:val="auto"/>
        </w:rPr>
      </w:pPr>
    </w:p>
    <w:p>
      <w:pPr>
        <w:ind w:firstLine="948"/>
        <w:spacing w:after="0" w:line="268" w:lineRule="auto"/>
        <w:tabs>
          <w:tab w:leader="none" w:pos="1441"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included or incorporated by reference in the Registration Statement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or the Prospectus under the 1933 Act or the 1933 Act Regulations.</w:t>
      </w:r>
    </w:p>
    <w:p>
      <w:pPr>
        <w:spacing w:after="0" w:line="78" w:lineRule="exact"/>
        <w:rPr>
          <w:rFonts w:ascii="Arial" w:cs="Arial" w:eastAsia="Arial" w:hAnsi="Arial"/>
          <w:sz w:val="17"/>
          <w:szCs w:val="17"/>
          <w:color w:val="auto"/>
        </w:rPr>
      </w:pPr>
    </w:p>
    <w:p>
      <w:pPr>
        <w:ind w:right="80" w:firstLine="948"/>
        <w:spacing w:after="0" w:line="254" w:lineRule="auto"/>
        <w:tabs>
          <w:tab w:leader="none" w:pos="1491"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Except as otherwise stated therein, since the respective dates as of which information is given in the Registration Statement or the Prospectus, (A) 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w:t>
      </w:r>
    </w:p>
    <w:p>
      <w:pPr>
        <w:spacing w:after="0" w:line="127"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880" w:top="274" w:right="459" w:bottom="1440" w:gutter="0" w:footer="0" w:header="0"/>
        </w:sectPr>
      </w:pPr>
    </w:p>
    <w:bookmarkStart w:id="50" w:name="page51"/>
    <w:bookmarkEnd w:id="50"/>
    <w:p>
      <w:pPr>
        <w:ind w:right="60" w:firstLine="948"/>
        <w:spacing w:after="0" w:line="272" w:lineRule="auto"/>
        <w:tabs>
          <w:tab w:leader="none" w:pos="1391" w:val="left"/>
        </w:tabs>
        <w:numPr>
          <w:ilvl w:val="0"/>
          <w:numId w:val="5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Standing of the Company</w:t>
      </w:r>
      <w:r>
        <w:rPr>
          <w:rFonts w:ascii="Arial" w:cs="Arial" w:eastAsia="Arial" w:hAnsi="Arial"/>
          <w:sz w:val="17"/>
          <w:szCs w:val="17"/>
          <w:color w:val="auto"/>
        </w:rPr>
        <w:t>.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and the Prospectus and to enter into this Agreement and perform its obligations under this Agreement, the Investment Management Agreement, the Administration Agreement and the Securities;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69" w:lineRule="exact"/>
        <w:rPr>
          <w:rFonts w:ascii="Arial" w:cs="Arial" w:eastAsia="Arial" w:hAnsi="Arial"/>
          <w:sz w:val="17"/>
          <w:szCs w:val="17"/>
          <w:color w:val="auto"/>
        </w:rPr>
      </w:pPr>
    </w:p>
    <w:p>
      <w:pPr>
        <w:ind w:firstLine="948"/>
        <w:spacing w:after="0" w:line="285" w:lineRule="auto"/>
        <w:tabs>
          <w:tab w:leader="none" w:pos="1341"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Subsidiaries of the Company; Portfolio Companies</w:t>
      </w:r>
      <w:r>
        <w:rPr>
          <w:rFonts w:ascii="Arial" w:cs="Arial" w:eastAsia="Arial" w:hAnsi="Arial"/>
          <w:sz w:val="16"/>
          <w:szCs w:val="16"/>
          <w:color w:val="auto"/>
        </w:rPr>
        <w:t xml:space="preserve">. The Company’s only subsidiaries that were consolidated with the Company for financial reporting purposes under GAAP as of June 30, 2021 are those listed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and the Prospectus under the caption “Portfolio Companies” (each a “Portfolio Company” and collectively the “Portfolio Companies”). Except as otherwise disclosed in the Prospectus, the Company does not control (as such term is defined in Section 2(a)(9) of the 1940 Act), any of the Portfolio Companies or any corporation or other entity in which it invested since the most recent quarter end.</w:t>
      </w:r>
    </w:p>
    <w:p>
      <w:pPr>
        <w:spacing w:after="0" w:line="68" w:lineRule="exact"/>
        <w:rPr>
          <w:rFonts w:ascii="Arial" w:cs="Arial" w:eastAsia="Arial" w:hAnsi="Arial"/>
          <w:sz w:val="16"/>
          <w:szCs w:val="16"/>
          <w:color w:val="auto"/>
        </w:rPr>
      </w:pPr>
    </w:p>
    <w:p>
      <w:pPr>
        <w:ind w:right="240" w:firstLine="948"/>
        <w:spacing w:after="0" w:line="259" w:lineRule="auto"/>
        <w:tabs>
          <w:tab w:leader="none" w:pos="1391"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Capitalization</w:t>
      </w:r>
      <w:r>
        <w:rPr>
          <w:rFonts w:ascii="Arial" w:cs="Arial" w:eastAsia="Arial" w:hAnsi="Arial"/>
          <w:sz w:val="18"/>
          <w:szCs w:val="18"/>
          <w:color w:val="auto"/>
        </w:rPr>
        <w:t>. The authorized shares of capital stock of the Company are as set forth in the Registration Statement and the Prospectus under the caption “Description of Our Capital Stock.” The total issued and outstanding shares of capital stock of the Company as of August 19, 2021 are as set forth in the Prospectus Supplement under the caption “The Offering.” The outstanding shares of capital stock of the Company have</w:t>
      </w:r>
    </w:p>
    <w:p>
      <w:pPr>
        <w:spacing w:after="0" w:line="11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880" w:top="274" w:right="479" w:bottom="1440" w:gutter="0" w:footer="0" w:header="0"/>
        </w:sectPr>
      </w:pPr>
    </w:p>
    <w:bookmarkStart w:id="51" w:name="page52"/>
    <w:bookmarkEnd w:id="51"/>
    <w:p>
      <w:pPr>
        <w:ind w:right="22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49" w:lineRule="exact"/>
        <w:rPr>
          <w:sz w:val="20"/>
          <w:szCs w:val="20"/>
          <w:color w:val="auto"/>
        </w:rPr>
      </w:pPr>
    </w:p>
    <w:p>
      <w:pPr>
        <w:ind w:left="1440" w:hanging="492"/>
        <w:spacing w:after="0"/>
        <w:tabs>
          <w:tab w:leader="none" w:pos="144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Agreements</w:t>
      </w:r>
      <w:r>
        <w:rPr>
          <w:rFonts w:ascii="Arial" w:cs="Arial" w:eastAsia="Arial" w:hAnsi="Arial"/>
          <w:sz w:val="18"/>
          <w:szCs w:val="18"/>
          <w:color w:val="auto"/>
        </w:rPr>
        <w:t>. This Agreement has been duly authorized, executed and delivered by the Company.</w:t>
      </w:r>
    </w:p>
    <w:p>
      <w:pPr>
        <w:spacing w:after="0" w:line="117" w:lineRule="exact"/>
        <w:rPr>
          <w:rFonts w:ascii="Arial" w:cs="Arial" w:eastAsia="Arial" w:hAnsi="Arial"/>
          <w:sz w:val="18"/>
          <w:szCs w:val="18"/>
          <w:color w:val="auto"/>
        </w:rPr>
      </w:pPr>
    </w:p>
    <w:p>
      <w:pPr>
        <w:ind w:firstLine="948"/>
        <w:spacing w:after="0" w:line="272" w:lineRule="auto"/>
        <w:tabs>
          <w:tab w:leader="none" w:pos="1491"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Authorization and Description of Securities</w:t>
      </w:r>
      <w:r>
        <w:rPr>
          <w:rFonts w:ascii="Arial" w:cs="Arial" w:eastAsia="Arial" w:hAnsi="Arial"/>
          <w:sz w:val="17"/>
          <w:szCs w:val="17"/>
          <w:color w:val="auto"/>
        </w:rPr>
        <w:t>. The Securities to be issued and sold by the Company hereunder have been duly authorized and when issued and paid for as contemplated herein will be validly issued, fully paid and non-assessable; and no preemptive rights of stockholders exist with respect to any of the Securities or the issue and sale thereof. The Common Stock conforms to all statements relating thereto contained in the Registration Statement and the Prospectus and such description conforms to the rights set forth in the instruments defining the same. No holder of the Common Stock will be subject to personal liability by reason of being such a holder. The Company acknowledges and agrees that all stock-related numbers contained in this Agreement shall be adjusted to take into account any stock split, stock dividend or similar event effected with respect to the Securities.</w:t>
      </w:r>
    </w:p>
    <w:p>
      <w:pPr>
        <w:spacing w:after="0" w:line="69" w:lineRule="exact"/>
        <w:rPr>
          <w:rFonts w:ascii="Arial" w:cs="Arial" w:eastAsia="Arial" w:hAnsi="Arial"/>
          <w:sz w:val="17"/>
          <w:szCs w:val="17"/>
          <w:color w:val="auto"/>
        </w:rPr>
      </w:pPr>
    </w:p>
    <w:p>
      <w:pPr>
        <w:ind w:right="180" w:firstLine="948"/>
        <w:spacing w:after="0" w:line="263" w:lineRule="auto"/>
        <w:tabs>
          <w:tab w:leader="none" w:pos="148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There are no persons with registration rights or other similar rights to have any securities registered for sale pursuant to the Registration Statement or otherwise registered for sale or sold by the Company under the 1933 Act pursuant to this Agreement.</w:t>
      </w:r>
    </w:p>
    <w:p>
      <w:pPr>
        <w:spacing w:after="0" w:line="75" w:lineRule="exact"/>
        <w:rPr>
          <w:rFonts w:ascii="Arial" w:cs="Arial" w:eastAsia="Arial" w:hAnsi="Arial"/>
          <w:sz w:val="18"/>
          <w:szCs w:val="18"/>
          <w:color w:val="auto"/>
        </w:rPr>
      </w:pPr>
    </w:p>
    <w:p>
      <w:pPr>
        <w:ind w:right="40" w:firstLine="948"/>
        <w:spacing w:after="0" w:line="270" w:lineRule="auto"/>
        <w:tabs>
          <w:tab w:leader="none" w:pos="1431"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Absence of Violations and Defaults</w:t>
      </w:r>
      <w:r>
        <w:rPr>
          <w:rFonts w:ascii="Arial" w:cs="Arial" w:eastAsia="Arial" w:hAnsi="Arial"/>
          <w:sz w:val="17"/>
          <w:szCs w:val="17"/>
          <w:color w:val="auto"/>
        </w:rPr>
        <w:t>. Neither the Company nor any of the Subsidiaries is (A) in violation of its charter, bylaws or similar organizational document, each as amended or supplemented from time to time,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w:t>
      </w:r>
    </w:p>
    <w:p>
      <w:pPr>
        <w:spacing w:after="0" w:line="72" w:lineRule="exact"/>
        <w:rPr>
          <w:rFonts w:ascii="Arial" w:cs="Arial" w:eastAsia="Arial" w:hAnsi="Arial"/>
          <w:sz w:val="17"/>
          <w:szCs w:val="17"/>
          <w:color w:val="auto"/>
        </w:rPr>
      </w:pPr>
    </w:p>
    <w:p>
      <w:pPr>
        <w:ind w:right="60" w:firstLine="948"/>
        <w:spacing w:after="0" w:line="308" w:lineRule="auto"/>
        <w:tabs>
          <w:tab w:leader="none" w:pos="1481"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Absence of Conflicts</w:t>
      </w:r>
      <w:r>
        <w:rPr>
          <w:rFonts w:ascii="Arial" w:cs="Arial" w:eastAsia="Arial" w:hAnsi="Arial"/>
          <w:sz w:val="17"/>
          <w:szCs w:val="17"/>
          <w:color w:val="auto"/>
        </w:rPr>
        <w:t>. The execution, delivery and performance of this Agreement, and the Securities, the performance of the Investment Management Agreement and the Administration Agreement and the consummation of the transactions</w:t>
      </w:r>
    </w:p>
    <w:p>
      <w:pPr>
        <w:spacing w:after="0" w:line="7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40"/>
          </w:cols>
          <w:pgMar w:left="880" w:top="274" w:right="479" w:bottom="1440" w:gutter="0" w:footer="0" w:header="0"/>
        </w:sectPr>
      </w:pPr>
    </w:p>
    <w:bookmarkStart w:id="52" w:name="page53"/>
    <w:bookmarkEnd w:id="5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contemplated herein and therein and in the Registration Statement and the Prospectus (including the issuance and sale of the Securities and the use of the proceeds from the sale of the Securities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 (b) any law, statute, rule, regulation, judgment, order, writ or decree of any Governmental Entity, except, in the case of (b) 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any of the Subsidiaries.</w:t>
      </w:r>
    </w:p>
    <w:p>
      <w:pPr>
        <w:spacing w:after="0" w:line="60" w:lineRule="exact"/>
        <w:rPr>
          <w:sz w:val="20"/>
          <w:szCs w:val="20"/>
          <w:color w:val="auto"/>
        </w:rPr>
      </w:pPr>
    </w:p>
    <w:p>
      <w:pPr>
        <w:ind w:left="1520" w:hanging="572"/>
        <w:spacing w:after="0"/>
        <w:tabs>
          <w:tab w:leader="none" w:pos="15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Employees</w:t>
      </w:r>
      <w:r>
        <w:rPr>
          <w:rFonts w:ascii="Arial" w:cs="Arial" w:eastAsia="Arial" w:hAnsi="Arial"/>
          <w:sz w:val="18"/>
          <w:szCs w:val="18"/>
          <w:color w:val="auto"/>
        </w:rPr>
        <w:t>. Neither the Company nor any of the Subsidiaries has any employees.</w:t>
      </w:r>
    </w:p>
    <w:p>
      <w:pPr>
        <w:spacing w:after="0" w:line="117" w:lineRule="exact"/>
        <w:rPr>
          <w:rFonts w:ascii="Arial" w:cs="Arial" w:eastAsia="Arial" w:hAnsi="Arial"/>
          <w:sz w:val="18"/>
          <w:szCs w:val="18"/>
          <w:color w:val="auto"/>
        </w:rPr>
      </w:pPr>
    </w:p>
    <w:p>
      <w:pPr>
        <w:ind w:firstLine="948"/>
        <w:spacing w:after="0" w:line="255" w:lineRule="auto"/>
        <w:tabs>
          <w:tab w:leader="none" w:pos="1581"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Except as disclosed in the Registration Statement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the Administration Agreement or the Securities or the performance by the Company of its obligations hereunder or thereunder.</w:t>
      </w:r>
    </w:p>
    <w:p>
      <w:pPr>
        <w:spacing w:after="0" w:line="84" w:lineRule="exact"/>
        <w:rPr>
          <w:rFonts w:ascii="Arial" w:cs="Arial" w:eastAsia="Arial" w:hAnsi="Arial"/>
          <w:sz w:val="18"/>
          <w:szCs w:val="18"/>
          <w:color w:val="auto"/>
        </w:rPr>
      </w:pPr>
    </w:p>
    <w:p>
      <w:pPr>
        <w:ind w:right="180" w:firstLine="948"/>
        <w:spacing w:after="0" w:line="342" w:lineRule="auto"/>
        <w:tabs>
          <w:tab w:leader="none" w:pos="1481"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Accuracy of Exhibits</w:t>
      </w:r>
      <w:r>
        <w:rPr>
          <w:rFonts w:ascii="Arial" w:cs="Arial" w:eastAsia="Arial" w:hAnsi="Arial"/>
          <w:sz w:val="16"/>
          <w:szCs w:val="16"/>
          <w:color w:val="auto"/>
        </w:rPr>
        <w:t>. There are no contracts or documents which are required to be described in the Registration Statement or the Prospectus or to be filed as exhibits to the Registration Statement which have not been so described and filed as required.</w:t>
      </w:r>
    </w:p>
    <w:p>
      <w:pPr>
        <w:spacing w:after="0" w:line="15" w:lineRule="exact"/>
        <w:rPr>
          <w:rFonts w:ascii="Arial" w:cs="Arial" w:eastAsia="Arial" w:hAnsi="Arial"/>
          <w:sz w:val="16"/>
          <w:szCs w:val="16"/>
          <w:color w:val="auto"/>
        </w:rPr>
      </w:pPr>
    </w:p>
    <w:p>
      <w:pPr>
        <w:ind w:right="40" w:firstLine="948"/>
        <w:spacing w:after="0" w:line="296" w:lineRule="auto"/>
        <w:tabs>
          <w:tab w:leader="none" w:pos="1431" w:val="left"/>
        </w:tabs>
        <w:numPr>
          <w:ilvl w:val="0"/>
          <w:numId w:val="59"/>
        </w:numPr>
        <w:rPr>
          <w:rFonts w:ascii="Arial" w:cs="Arial" w:eastAsia="Arial" w:hAnsi="Arial"/>
          <w:sz w:val="16"/>
          <w:szCs w:val="16"/>
          <w:color w:val="auto"/>
        </w:rPr>
      </w:pPr>
      <w:r>
        <w:rPr>
          <w:rFonts w:ascii="Arial" w:cs="Arial" w:eastAsia="Arial" w:hAnsi="Arial"/>
          <w:sz w:val="16"/>
          <w:szCs w:val="16"/>
          <w:u w:val="single" w:color="auto"/>
          <w:color w:val="auto"/>
        </w:rPr>
        <w:t>Absence of Further Requirements</w:t>
      </w:r>
      <w:r>
        <w:rPr>
          <w:rFonts w:ascii="Arial" w:cs="Arial" w:eastAsia="Arial" w:hAnsi="Arial"/>
          <w:sz w:val="16"/>
          <w:szCs w:val="16"/>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the Investment Management Agreement, the Administration Agreement, the Securities or the Prospectus (including the issuance and sale of the Securities and the use of the proceeds from the sale of the Securities as described in the Prospectus under the caption “Use of</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60"/>
          </w:cols>
          <w:pgMar w:left="880" w:top="274" w:right="459" w:bottom="1440" w:gutter="0" w:footer="0" w:header="0"/>
        </w:sectPr>
      </w:pPr>
    </w:p>
    <w:bookmarkStart w:id="53" w:name="page54"/>
    <w:bookmarkEnd w:id="53"/>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Proceeds”), except (A) such as have been already made or obtained, including under the 1933 Act, the 1933 Act Regulations, the 1940 Act, the 1940 Act Regulations,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w:t>
      </w:r>
    </w:p>
    <w:p>
      <w:pPr>
        <w:spacing w:after="0" w:line="80" w:lineRule="exact"/>
        <w:rPr>
          <w:sz w:val="20"/>
          <w:szCs w:val="20"/>
          <w:color w:val="auto"/>
        </w:rPr>
      </w:pPr>
    </w:p>
    <w:p>
      <w:pPr>
        <w:ind w:firstLine="948"/>
        <w:spacing w:after="0" w:line="269" w:lineRule="auto"/>
        <w:tabs>
          <w:tab w:leader="none" w:pos="148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Possession of Licenses and Permits</w:t>
      </w:r>
      <w:r>
        <w:rPr>
          <w:rFonts w:ascii="Arial" w:cs="Arial" w:eastAsia="Arial" w:hAnsi="Arial"/>
          <w:sz w:val="17"/>
          <w:szCs w:val="17"/>
          <w:color w:val="auto"/>
        </w:rPr>
        <w:t>.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77" w:lineRule="exact"/>
        <w:rPr>
          <w:rFonts w:ascii="Arial" w:cs="Arial" w:eastAsia="Arial" w:hAnsi="Arial"/>
          <w:sz w:val="17"/>
          <w:szCs w:val="17"/>
          <w:color w:val="auto"/>
        </w:rPr>
      </w:pPr>
    </w:p>
    <w:p>
      <w:pPr>
        <w:ind w:right="120" w:firstLine="948"/>
        <w:spacing w:after="0" w:line="255" w:lineRule="auto"/>
        <w:tabs>
          <w:tab w:leader="none" w:pos="1531"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Title to Property</w:t>
      </w:r>
      <w:r>
        <w:rPr>
          <w:rFonts w:ascii="Arial" w:cs="Arial" w:eastAsia="Arial" w:hAnsi="Arial"/>
          <w:sz w:val="18"/>
          <w:szCs w:val="18"/>
          <w:color w:val="auto"/>
        </w:rPr>
        <w:t>.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84" w:lineRule="exact"/>
        <w:rPr>
          <w:rFonts w:ascii="Arial" w:cs="Arial" w:eastAsia="Arial" w:hAnsi="Arial"/>
          <w:sz w:val="18"/>
          <w:szCs w:val="18"/>
          <w:color w:val="auto"/>
        </w:rPr>
      </w:pPr>
    </w:p>
    <w:p>
      <w:pPr>
        <w:ind w:right="20" w:firstLine="948"/>
        <w:spacing w:after="0" w:line="270" w:lineRule="auto"/>
        <w:tabs>
          <w:tab w:leader="none" w:pos="1581"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Possession of Intellectual Property</w:t>
      </w:r>
      <w:r>
        <w:rPr>
          <w:rFonts w:ascii="Arial" w:cs="Arial" w:eastAsia="Arial" w:hAnsi="Arial"/>
          <w:sz w:val="17"/>
          <w:szCs w:val="17"/>
          <w:color w:val="auto"/>
        </w:rPr>
        <w:t>.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11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54" w:name="page55"/>
    <w:bookmarkEnd w:id="54"/>
    <w:p>
      <w:pPr>
        <w:ind w:firstLine="948"/>
        <w:spacing w:after="0" w:line="269" w:lineRule="auto"/>
        <w:tabs>
          <w:tab w:leader="none" w:pos="1571"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Accounting Controls</w:t>
      </w:r>
      <w:r>
        <w:rPr>
          <w:rFonts w:ascii="Arial" w:cs="Arial" w:eastAsia="Arial" w:hAnsi="Arial"/>
          <w:sz w:val="17"/>
          <w:szCs w:val="17"/>
          <w:color w:val="auto"/>
        </w:rPr>
        <w:t>.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 as amended).</w:t>
      </w:r>
    </w:p>
    <w:p>
      <w:pPr>
        <w:spacing w:after="0" w:line="70" w:lineRule="exact"/>
        <w:rPr>
          <w:rFonts w:ascii="Arial" w:cs="Arial" w:eastAsia="Arial" w:hAnsi="Arial"/>
          <w:sz w:val="17"/>
          <w:szCs w:val="17"/>
          <w:color w:val="auto"/>
        </w:rPr>
      </w:pPr>
    </w:p>
    <w:p>
      <w:pPr>
        <w:ind w:right="20" w:firstLine="948"/>
        <w:spacing w:after="0" w:line="286" w:lineRule="auto"/>
        <w:tabs>
          <w:tab w:leader="none" w:pos="1521"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Taxes and Tax Returns</w:t>
      </w:r>
      <w:r>
        <w:rPr>
          <w:rFonts w:ascii="Arial" w:cs="Arial" w:eastAsia="Arial" w:hAnsi="Arial"/>
          <w:sz w:val="16"/>
          <w:szCs w:val="16"/>
          <w:color w:val="auto"/>
        </w:rPr>
        <w:t>.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returns of the Company through the fiscal year ended September 30, 2020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w:t>
      </w:r>
    </w:p>
    <w:p>
      <w:pPr>
        <w:spacing w:after="0" w:line="65" w:lineRule="exact"/>
        <w:rPr>
          <w:rFonts w:ascii="Arial" w:cs="Arial" w:eastAsia="Arial" w:hAnsi="Arial"/>
          <w:sz w:val="16"/>
          <w:szCs w:val="16"/>
          <w:color w:val="auto"/>
        </w:rPr>
      </w:pPr>
    </w:p>
    <w:p>
      <w:pPr>
        <w:ind w:right="220" w:firstLine="948"/>
        <w:spacing w:after="0" w:line="277" w:lineRule="auto"/>
        <w:tabs>
          <w:tab w:leader="none" w:pos="157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the Subsidiaries carry or are entitled to the benefits of insurance, with financially sound and reputable insurers, in such</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55" w:name="page56"/>
    <w:bookmarkEnd w:id="55"/>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w:t>
      </w:r>
    </w:p>
    <w:p>
      <w:pPr>
        <w:spacing w:after="0" w:line="79" w:lineRule="exact"/>
        <w:rPr>
          <w:sz w:val="20"/>
          <w:szCs w:val="20"/>
          <w:color w:val="auto"/>
        </w:rPr>
      </w:pPr>
    </w:p>
    <w:p>
      <w:pPr>
        <w:ind w:right="200" w:firstLine="948"/>
        <w:spacing w:after="0" w:line="263" w:lineRule="auto"/>
        <w:tabs>
          <w:tab w:leader="none" w:pos="162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Investment Company Act</w:t>
      </w:r>
      <w:r>
        <w:rPr>
          <w:rFonts w:ascii="Arial" w:cs="Arial" w:eastAsia="Arial" w:hAnsi="Arial"/>
          <w:sz w:val="18"/>
          <w:szCs w:val="18"/>
          <w:color w:val="auto"/>
        </w:rPr>
        <w:t>. The Company is not required and, upon the issuance and sale of the Securities as herein contemplated and the application of the net proceeds therefrom as described in the Prospectus, will not be required to register as an “investment company” as such term is used in the 1940 Act.</w:t>
      </w:r>
    </w:p>
    <w:p>
      <w:pPr>
        <w:spacing w:after="0" w:line="75" w:lineRule="exact"/>
        <w:rPr>
          <w:rFonts w:ascii="Arial" w:cs="Arial" w:eastAsia="Arial" w:hAnsi="Arial"/>
          <w:sz w:val="18"/>
          <w:szCs w:val="18"/>
          <w:color w:val="auto"/>
        </w:rPr>
      </w:pPr>
    </w:p>
    <w:p>
      <w:pPr>
        <w:ind w:right="60" w:firstLine="948"/>
        <w:spacing w:after="0" w:line="286" w:lineRule="auto"/>
        <w:tabs>
          <w:tab w:leader="none" w:pos="1671"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Stabilization and Manipulation</w:t>
      </w:r>
      <w:r>
        <w:rPr>
          <w:rFonts w:ascii="Arial" w:cs="Arial" w:eastAsia="Arial" w:hAnsi="Arial"/>
          <w:sz w:val="17"/>
          <w:szCs w:val="17"/>
          <w:color w:val="auto"/>
        </w:rPr>
        <w:t>. The Company has not taken, nor will it take, directly or indirectly, without giving effect to any activities by the Sales Agent, any action designed, or that would reasonably be expected, to cause or result in, or that constitutes, any stabilization or manipulation of the price of the Securities, other than activity permitted pursuant to Rule 10b-18 under the 1934 Act.</w:t>
      </w:r>
    </w:p>
    <w:p>
      <w:pPr>
        <w:spacing w:after="0" w:line="57" w:lineRule="exact"/>
        <w:rPr>
          <w:rFonts w:ascii="Arial" w:cs="Arial" w:eastAsia="Arial" w:hAnsi="Arial"/>
          <w:sz w:val="17"/>
          <w:szCs w:val="17"/>
          <w:color w:val="auto"/>
        </w:rPr>
      </w:pPr>
    </w:p>
    <w:p>
      <w:pPr>
        <w:ind w:firstLine="948"/>
        <w:spacing w:after="0" w:line="269" w:lineRule="auto"/>
        <w:tabs>
          <w:tab w:leader="none" w:pos="1571"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 Act</w:t>
      </w:r>
      <w:r>
        <w:rPr>
          <w:rFonts w:ascii="Arial" w:cs="Arial" w:eastAsia="Arial" w:hAnsi="Arial"/>
          <w:sz w:val="17"/>
          <w:szCs w:val="17"/>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aware of, has taken or will take any action, directly or indirectly, that would result in a violation by such persons of the Foreign Corrupt Practices Act of 1977, as amended, and the rules and regulations thereunder (the “FCPA”),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Company, the Company and its Subsidiaries have conducted their businesses in compliance with the FCPA and have instituted and maintain policies and procedures designed to ensure, and which are reasonably expected to continue to ensure, continued compliance therewith.</w:t>
      </w:r>
    </w:p>
    <w:p>
      <w:pPr>
        <w:spacing w:after="0" w:line="77" w:lineRule="exact"/>
        <w:rPr>
          <w:rFonts w:ascii="Arial" w:cs="Arial" w:eastAsia="Arial" w:hAnsi="Arial"/>
          <w:sz w:val="17"/>
          <w:szCs w:val="17"/>
          <w:color w:val="auto"/>
        </w:rPr>
      </w:pPr>
    </w:p>
    <w:p>
      <w:pPr>
        <w:ind w:firstLine="948"/>
        <w:spacing w:after="0" w:line="254" w:lineRule="auto"/>
        <w:tabs>
          <w:tab w:leader="none" w:pos="1521"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The operations of the Company and the Subsidiaries are and have been conducted at all times in compliance with applicable financial recordkeeping and reporting requirements of the Currency and Foreign Transactions Reporting Act of 1970, as amended, the applicable anti-money laundering statutes of the jurisdictions in which the Company and the Subsidiaries conduct business, the rules and regulations thereunder and any other relevant laws, rules, regulations or guidelines, issued, administered or enforced by any Governmental Entity (collectively, the “Anti-Money Laundering Laws”); and no action, suit or proceeding by or before any Governmental Entity involving the Company or any of the Subsidiaries with respect to the Anti-Money Laundering Laws is pending or, to the best knowledge of the Company, threatened.</w:t>
      </w:r>
    </w:p>
    <w:p>
      <w:pPr>
        <w:spacing w:after="0" w:line="12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0"/>
          </w:cols>
          <w:pgMar w:left="880" w:top="274" w:right="479" w:bottom="1440" w:gutter="0" w:footer="0" w:header="0"/>
        </w:sectPr>
      </w:pPr>
    </w:p>
    <w:bookmarkStart w:id="56" w:name="page57"/>
    <w:bookmarkEnd w:id="56"/>
    <w:p>
      <w:pPr>
        <w:ind w:right="80" w:firstLine="948"/>
        <w:spacing w:after="0" w:line="290" w:lineRule="auto"/>
        <w:tabs>
          <w:tab w:leader="none" w:pos="1571"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OFAC</w:t>
      </w:r>
      <w:r>
        <w:rPr>
          <w:rFonts w:ascii="Arial" w:cs="Arial" w:eastAsia="Arial" w:hAnsi="Arial"/>
          <w:sz w:val="16"/>
          <w:szCs w:val="16"/>
          <w:color w:val="auto"/>
        </w:rPr>
        <w:t>. None of the Company, any of the Subsidiaries, or, to the knowledge of the Company, any director, officer or employee of the Company or any of the Subsidiaries or any agent, controlled affiliate or other person acting on behalf of the Company or any of the Subsidiaries is an individual or entity (“Person”), or is controlled by a Person that is, (i) currently the subject or target of any sanctions administered or enforced by the United States Government, including the U.S. Department of the Treasury’s Office of Foreign Assets Control (“OFAC”), the United Nations Security Council, the European Union, Her Majesty’s Treasury, or other relevant sanctions authority (collectively, “Sanctions”), or (ii) located, organized or resident in a country or territory that is itself the subject of Sanctions. In the past five (5) years, the Company and the Subsidiaries have not knowingly engaged in, and are not now knowingly engaged in, any unauthorized dealings or transactions with any Person that at the time of the dealing or transaction is or was the subject or target of Sanctions.</w:t>
      </w:r>
    </w:p>
    <w:p>
      <w:pPr>
        <w:spacing w:after="0" w:line="57" w:lineRule="exact"/>
        <w:rPr>
          <w:rFonts w:ascii="Arial" w:cs="Arial" w:eastAsia="Arial" w:hAnsi="Arial"/>
          <w:sz w:val="16"/>
          <w:szCs w:val="16"/>
          <w:color w:val="auto"/>
        </w:rPr>
      </w:pPr>
    </w:p>
    <w:p>
      <w:pPr>
        <w:ind w:right="40" w:firstLine="948"/>
        <w:spacing w:after="0" w:line="263" w:lineRule="auto"/>
        <w:tabs>
          <w:tab w:leader="none" w:pos="162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Lending Relationship</w:t>
      </w:r>
      <w:r>
        <w:rPr>
          <w:rFonts w:ascii="Arial" w:cs="Arial" w:eastAsia="Arial" w:hAnsi="Arial"/>
          <w:sz w:val="18"/>
          <w:szCs w:val="18"/>
          <w:color w:val="auto"/>
        </w:rPr>
        <w:t>. Except as disclosed in the Registration Statement and the Prospectus, the Company (i) does not have any material lending or other relationship with any bank or lending affiliate of the Sales Agent and (ii) does not intend to use any of the proceeds from the sale of the Securities to repay any outstanding debt owed to any affiliate of the Sales Agent.</w:t>
      </w:r>
    </w:p>
    <w:p>
      <w:pPr>
        <w:spacing w:after="0" w:line="75" w:lineRule="exact"/>
        <w:rPr>
          <w:rFonts w:ascii="Arial" w:cs="Arial" w:eastAsia="Arial" w:hAnsi="Arial"/>
          <w:sz w:val="18"/>
          <w:szCs w:val="18"/>
          <w:color w:val="auto"/>
        </w:rPr>
      </w:pPr>
    </w:p>
    <w:p>
      <w:pPr>
        <w:jc w:val="both"/>
        <w:ind w:right="220" w:firstLine="948"/>
        <w:spacing w:after="0" w:line="286" w:lineRule="auto"/>
        <w:tabs>
          <w:tab w:leader="none" w:pos="1671"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Statistical and Market-Related Data</w:t>
      </w:r>
      <w:r>
        <w:rPr>
          <w:rFonts w:ascii="Arial" w:cs="Arial" w:eastAsia="Arial" w:hAnsi="Arial"/>
          <w:sz w:val="17"/>
          <w:szCs w:val="17"/>
          <w:color w:val="auto"/>
        </w:rPr>
        <w:t>. Any statistical and market-related data included or incorporated by reference in the Registration Statement or the Prospectus are based on or derived from sources that the Company believes to be reliable and accurate and, to the extent required, the Company has obtained the written consent to the use of such data from such sources.</w:t>
      </w:r>
    </w:p>
    <w:p>
      <w:pPr>
        <w:spacing w:after="0" w:line="57" w:lineRule="exact"/>
        <w:rPr>
          <w:rFonts w:ascii="Arial" w:cs="Arial" w:eastAsia="Arial" w:hAnsi="Arial"/>
          <w:sz w:val="17"/>
          <w:szCs w:val="17"/>
          <w:color w:val="auto"/>
        </w:rPr>
      </w:pPr>
    </w:p>
    <w:p>
      <w:pPr>
        <w:ind w:firstLine="948"/>
        <w:spacing w:after="0" w:line="263" w:lineRule="auto"/>
        <w:tabs>
          <w:tab w:leader="none" w:pos="166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r>
        <w:rPr>
          <w:rFonts w:ascii="Arial" w:cs="Arial" w:eastAsia="Arial" w:hAnsi="Arial"/>
          <w:sz w:val="18"/>
          <w:szCs w:val="18"/>
          <w:color w:val="auto"/>
        </w:rPr>
        <w:t>. There are no business relationships or related party transactions involving the Company, any of the Subsidiaries or any other person required to be described in the Registration Statement or the Prospectus which have not been described as required.</w:t>
      </w:r>
    </w:p>
    <w:p>
      <w:pPr>
        <w:spacing w:after="0" w:line="75" w:lineRule="exact"/>
        <w:rPr>
          <w:rFonts w:ascii="Arial" w:cs="Arial" w:eastAsia="Arial" w:hAnsi="Arial"/>
          <w:sz w:val="18"/>
          <w:szCs w:val="18"/>
          <w:color w:val="auto"/>
        </w:rPr>
      </w:pPr>
    </w:p>
    <w:p>
      <w:pPr>
        <w:ind w:right="80" w:firstLine="948"/>
        <w:spacing w:after="0" w:line="259" w:lineRule="auto"/>
        <w:tabs>
          <w:tab w:leader="none" w:pos="161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Notification of Election</w:t>
      </w:r>
      <w:r>
        <w:rPr>
          <w:rFonts w:ascii="Arial" w:cs="Arial" w:eastAsia="Arial" w:hAnsi="Arial"/>
          <w:sz w:val="18"/>
          <w:szCs w:val="18"/>
          <w:color w:val="auto"/>
        </w:rPr>
        <w:t>. When the Notification of Election was filed with the Commission, it (A) contained all statements required to be stated therein in accordance with, and complied in all material respects with the requirements of, the 1940 Act and (B) did not include any untrue statement of a material fact or omit to state a material fact necessary in order to make the statements therein, in the light of the circumstances under which they were made, not misleading.</w:t>
      </w:r>
    </w:p>
    <w:p>
      <w:pPr>
        <w:spacing w:after="0" w:line="78" w:lineRule="exact"/>
        <w:rPr>
          <w:rFonts w:ascii="Arial" w:cs="Arial" w:eastAsia="Arial" w:hAnsi="Arial"/>
          <w:sz w:val="18"/>
          <w:szCs w:val="18"/>
          <w:color w:val="auto"/>
        </w:rPr>
      </w:pPr>
    </w:p>
    <w:p>
      <w:pPr>
        <w:ind w:right="20" w:firstLine="948"/>
        <w:spacing w:after="0" w:line="273" w:lineRule="auto"/>
        <w:tabs>
          <w:tab w:leader="none" w:pos="1661"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Investment Management Agreement and Administration Agreement</w:t>
      </w:r>
      <w:r>
        <w:rPr>
          <w:rFonts w:ascii="Arial" w:cs="Arial" w:eastAsia="Arial" w:hAnsi="Arial"/>
          <w:sz w:val="17"/>
          <w:szCs w:val="17"/>
          <w:color w:val="auto"/>
        </w:rPr>
        <w:t>.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and the Administration Agreement have been made in accordance with the requirements of Section 15(a) and (c) of the 1940 Act and the 1940 Act Regulations applicable to companies that have elected to</w:t>
      </w:r>
    </w:p>
    <w:p>
      <w:pPr>
        <w:spacing w:after="0" w:line="110"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540"/>
          </w:cols>
          <w:pgMar w:left="880" w:top="274" w:right="479" w:bottom="1440" w:gutter="0" w:footer="0" w:header="0"/>
        </w:sectPr>
      </w:pPr>
    </w:p>
    <w:bookmarkStart w:id="57" w:name="page58"/>
    <w:bookmarkEnd w:id="57"/>
    <w:p>
      <w:pPr>
        <w:ind w:left="4"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80" w:lineRule="exact"/>
        <w:rPr>
          <w:sz w:val="20"/>
          <w:szCs w:val="20"/>
          <w:color w:val="auto"/>
        </w:rPr>
      </w:pPr>
    </w:p>
    <w:p>
      <w:pPr>
        <w:ind w:left="4" w:firstLine="948"/>
        <w:spacing w:after="0" w:line="291" w:lineRule="auto"/>
        <w:tabs>
          <w:tab w:leader="none" w:pos="1715"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Interested Persons</w:t>
      </w:r>
      <w:r>
        <w:rPr>
          <w:rFonts w:ascii="Arial" w:cs="Arial" w:eastAsia="Arial" w:hAnsi="Arial"/>
          <w:sz w:val="16"/>
          <w:szCs w:val="16"/>
          <w:color w:val="auto"/>
        </w:rPr>
        <w:t>. Except as disclosed in the Registration Statement and the Prospectus (A) no person is serving or acting as an officer, director or investment adviser of the Company, except in accordance with the provisions of the 1940 Act and the Advisers Act, and</w:t>
      </w:r>
    </w:p>
    <w:p>
      <w:pPr>
        <w:ind w:left="4" w:right="240" w:hanging="4"/>
        <w:spacing w:after="0" w:line="260" w:lineRule="auto"/>
        <w:tabs>
          <w:tab w:leader="none" w:pos="288" w:val="left"/>
        </w:tabs>
        <w:numPr>
          <w:ilvl w:val="0"/>
          <w:numId w:val="65"/>
        </w:numPr>
        <w:rPr>
          <w:rFonts w:ascii="Arial" w:cs="Arial" w:eastAsia="Arial" w:hAnsi="Arial"/>
          <w:sz w:val="18"/>
          <w:szCs w:val="18"/>
          <w:color w:val="auto"/>
        </w:rPr>
      </w:pPr>
      <w:r>
        <w:rPr>
          <w:rFonts w:ascii="Arial" w:cs="Arial" w:eastAsia="Arial" w:hAnsi="Arial"/>
          <w:sz w:val="18"/>
          <w:szCs w:val="18"/>
          <w:color w:val="auto"/>
        </w:rPr>
        <w:t>to the knowledge of the Company, no director of the Company is an “interested person” (as defined in the 1940 Act) of the Company or an “affiliated person” (as defined in the 1940 Act) of the Sales Agent.</w:t>
      </w:r>
    </w:p>
    <w:p>
      <w:pPr>
        <w:spacing w:after="0" w:line="77" w:lineRule="exact"/>
        <w:rPr>
          <w:rFonts w:ascii="Arial" w:cs="Arial" w:eastAsia="Arial" w:hAnsi="Arial"/>
          <w:sz w:val="18"/>
          <w:szCs w:val="18"/>
          <w:color w:val="auto"/>
        </w:rPr>
      </w:pPr>
    </w:p>
    <w:p>
      <w:pPr>
        <w:ind w:left="4" w:right="20" w:firstLine="948"/>
        <w:spacing w:after="0" w:line="254" w:lineRule="auto"/>
        <w:tabs>
          <w:tab w:leader="none" w:pos="1765"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Business Development Company</w:t>
      </w:r>
      <w:r>
        <w:rPr>
          <w:rFonts w:ascii="Arial" w:cs="Arial" w:eastAsia="Arial" w:hAnsi="Arial"/>
          <w:sz w:val="18"/>
          <w:szCs w:val="18"/>
          <w:color w:val="auto"/>
        </w:rPr>
        <w:t>.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Securities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w:t>
      </w:r>
    </w:p>
    <w:p>
      <w:pPr>
        <w:spacing w:after="0" w:line="86" w:lineRule="exact"/>
        <w:rPr>
          <w:rFonts w:ascii="Arial" w:cs="Arial" w:eastAsia="Arial" w:hAnsi="Arial"/>
          <w:sz w:val="18"/>
          <w:szCs w:val="18"/>
          <w:color w:val="auto"/>
        </w:rPr>
      </w:pPr>
    </w:p>
    <w:p>
      <w:pPr>
        <w:jc w:val="both"/>
        <w:ind w:left="4" w:right="80" w:firstLine="948"/>
        <w:spacing w:after="0" w:line="311" w:lineRule="auto"/>
        <w:tabs>
          <w:tab w:leader="none" w:pos="1665" w:val="left"/>
        </w:tabs>
        <w:numPr>
          <w:ilvl w:val="1"/>
          <w:numId w:val="65"/>
        </w:numPr>
        <w:rPr>
          <w:rFonts w:ascii="Arial" w:cs="Arial" w:eastAsia="Arial" w:hAnsi="Arial"/>
          <w:sz w:val="16"/>
          <w:szCs w:val="16"/>
          <w:color w:val="auto"/>
        </w:rPr>
      </w:pPr>
      <w:r>
        <w:rPr>
          <w:rFonts w:ascii="Arial" w:cs="Arial" w:eastAsia="Arial" w:hAnsi="Arial"/>
          <w:sz w:val="16"/>
          <w:szCs w:val="16"/>
          <w:u w:val="single" w:color="auto"/>
          <w:color w:val="auto"/>
        </w:rPr>
        <w:t>No Extension of Credit</w:t>
      </w:r>
      <w:r>
        <w:rPr>
          <w:rFonts w:ascii="Arial" w:cs="Arial" w:eastAsia="Arial" w:hAnsi="Arial"/>
          <w:sz w:val="16"/>
          <w:szCs w:val="16"/>
          <w:color w:val="auto"/>
        </w:rPr>
        <w:t>.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w:t>
      </w:r>
    </w:p>
    <w:p>
      <w:pPr>
        <w:spacing w:after="0" w:line="41" w:lineRule="exact"/>
        <w:rPr>
          <w:sz w:val="20"/>
          <w:szCs w:val="20"/>
          <w:color w:val="auto"/>
        </w:rPr>
      </w:pPr>
    </w:p>
    <w:p>
      <w:pPr>
        <w:ind w:left="4" w:right="60" w:firstLine="952"/>
        <w:spacing w:after="0" w:line="279" w:lineRule="auto"/>
        <w:rPr>
          <w:sz w:val="20"/>
          <w:szCs w:val="20"/>
          <w:color w:val="auto"/>
        </w:rPr>
      </w:pPr>
      <w:r>
        <w:rPr>
          <w:rFonts w:ascii="Arial" w:cs="Arial" w:eastAsia="Arial" w:hAnsi="Arial"/>
          <w:sz w:val="17"/>
          <w:szCs w:val="17"/>
          <w:color w:val="auto"/>
        </w:rPr>
        <w:t xml:space="preserve">(xl) </w:t>
      </w:r>
      <w:r>
        <w:rPr>
          <w:rFonts w:ascii="Arial" w:cs="Arial" w:eastAsia="Arial" w:hAnsi="Arial"/>
          <w:sz w:val="17"/>
          <w:szCs w:val="17"/>
          <w:u w:val="single" w:color="auto"/>
          <w:color w:val="auto"/>
        </w:rPr>
        <w:t>Regulated Investment Company</w:t>
      </w:r>
      <w:r>
        <w:rPr>
          <w:rFonts w:ascii="Arial" w:cs="Arial" w:eastAsia="Arial" w:hAnsi="Arial"/>
          <w:sz w:val="17"/>
          <w:szCs w:val="17"/>
          <w:color w:val="auto"/>
        </w:rPr>
        <w:t>.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Securities in a manner as to comply with the requirements of Subchapter M of the Code.</w:t>
      </w:r>
    </w:p>
    <w:p>
      <w:pPr>
        <w:spacing w:after="0" w:line="63" w:lineRule="exact"/>
        <w:rPr>
          <w:sz w:val="20"/>
          <w:szCs w:val="20"/>
          <w:color w:val="auto"/>
        </w:rPr>
      </w:pPr>
    </w:p>
    <w:p>
      <w:pPr>
        <w:ind w:left="4" w:right="140" w:firstLine="952"/>
        <w:spacing w:after="0" w:line="259" w:lineRule="auto"/>
        <w:rPr>
          <w:sz w:val="20"/>
          <w:szCs w:val="20"/>
          <w:color w:val="auto"/>
        </w:rPr>
      </w:pPr>
      <w:r>
        <w:rPr>
          <w:rFonts w:ascii="Arial" w:cs="Arial" w:eastAsia="Arial" w:hAnsi="Arial"/>
          <w:sz w:val="18"/>
          <w:szCs w:val="18"/>
          <w:color w:val="auto"/>
        </w:rPr>
        <w:t xml:space="preserve">(xli) </w:t>
      </w:r>
      <w:r>
        <w:rPr>
          <w:rFonts w:ascii="Arial" w:cs="Arial" w:eastAsia="Arial" w:hAnsi="Arial"/>
          <w:sz w:val="18"/>
          <w:szCs w:val="18"/>
          <w:u w:val="single" w:color="auto"/>
          <w:color w:val="auto"/>
        </w:rPr>
        <w:t>Sarbanes-Oxley Act</w:t>
      </w:r>
      <w:r>
        <w:rPr>
          <w:rFonts w:ascii="Arial" w:cs="Arial" w:eastAsia="Arial" w:hAnsi="Arial"/>
          <w:sz w:val="18"/>
          <w:szCs w:val="18"/>
          <w:color w:val="auto"/>
        </w:rPr>
        <w:t>.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119" w:lineRule="exact"/>
        <w:rPr>
          <w:sz w:val="20"/>
          <w:szCs w:val="20"/>
          <w:color w:val="auto"/>
        </w:rPr>
      </w:pPr>
    </w:p>
    <w:p>
      <w:pPr>
        <w:jc w:val="center"/>
        <w:ind w:right="37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24"/>
          </w:cols>
          <w:pgMar w:left="876" w:top="274" w:right="499" w:bottom="1440" w:gutter="0" w:footer="0" w:header="0"/>
        </w:sectPr>
      </w:pPr>
    </w:p>
    <w:bookmarkStart w:id="58" w:name="page59"/>
    <w:bookmarkEnd w:id="58"/>
    <w:p>
      <w:pPr>
        <w:ind w:left="440" w:right="60" w:firstLine="95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(xlii) </w:t>
      </w:r>
      <w:r>
        <w:rPr>
          <w:rFonts w:ascii="Arial" w:cs="Arial" w:eastAsia="Arial" w:hAnsi="Arial"/>
          <w:sz w:val="18"/>
          <w:szCs w:val="18"/>
          <w:u w:val="single" w:color="auto"/>
          <w:color w:val="auto"/>
        </w:rPr>
        <w:t>Forward-Looking Statements</w:t>
      </w:r>
      <w:r>
        <w:rPr>
          <w:rFonts w:ascii="Arial" w:cs="Arial" w:eastAsia="Arial" w:hAnsi="Arial"/>
          <w:sz w:val="18"/>
          <w:szCs w:val="18"/>
          <w:i w:val="1"/>
          <w:iCs w:val="1"/>
          <w:color w:val="auto"/>
        </w:rPr>
        <w:t>.</w:t>
      </w:r>
      <w:r>
        <w:rPr>
          <w:rFonts w:ascii="Arial" w:cs="Arial" w:eastAsia="Arial" w:hAnsi="Arial"/>
          <w:sz w:val="18"/>
          <w:szCs w:val="18"/>
          <w:color w:val="auto"/>
        </w:rPr>
        <w:t xml:space="preserve"> No forward-looking statement (within the meaning of Section 27A of the 1933 Act and Section 21E of the 1934 Act) contained in the Registration Statement or the Prospectus has been made or reaffirmed without a reasonable basis or has been disclosed other than in good faith.</w:t>
      </w:r>
    </w:p>
    <w:p>
      <w:pPr>
        <w:spacing w:after="0" w:line="76" w:lineRule="exact"/>
        <w:rPr>
          <w:sz w:val="20"/>
          <w:szCs w:val="20"/>
          <w:color w:val="auto"/>
        </w:rPr>
      </w:pPr>
    </w:p>
    <w:p>
      <w:pPr>
        <w:ind w:left="440" w:right="40" w:firstLine="952"/>
        <w:spacing w:after="0" w:line="286" w:lineRule="auto"/>
        <w:rPr>
          <w:sz w:val="20"/>
          <w:szCs w:val="20"/>
          <w:color w:val="auto"/>
        </w:rPr>
      </w:pPr>
      <w:r>
        <w:rPr>
          <w:rFonts w:ascii="Arial" w:cs="Arial" w:eastAsia="Arial" w:hAnsi="Arial"/>
          <w:sz w:val="16"/>
          <w:szCs w:val="16"/>
          <w:color w:val="auto"/>
        </w:rPr>
        <w:t xml:space="preserve">(xliii) </w:t>
      </w:r>
      <w:r>
        <w:rPr>
          <w:rFonts w:ascii="Arial" w:cs="Arial" w:eastAsia="Arial" w:hAnsi="Arial"/>
          <w:sz w:val="16"/>
          <w:szCs w:val="16"/>
          <w:u w:val="single" w:color="auto"/>
          <w:color w:val="auto"/>
        </w:rPr>
        <w:t>IT Systems</w:t>
      </w:r>
      <w:r>
        <w:rPr>
          <w:rFonts w:ascii="Arial" w:cs="Arial" w:eastAsia="Arial" w:hAnsi="Arial"/>
          <w:sz w:val="16"/>
          <w:szCs w:val="16"/>
          <w:color w:val="auto"/>
        </w:rPr>
        <w:t>.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 not reasonably be expected to, individually or in the aggregate, have a Material Adverse Effect.</w:t>
      </w:r>
    </w:p>
    <w:p>
      <w:pPr>
        <w:spacing w:after="0" w:line="171" w:lineRule="exact"/>
        <w:rPr>
          <w:sz w:val="20"/>
          <w:szCs w:val="20"/>
          <w:color w:val="auto"/>
        </w:rPr>
      </w:pPr>
    </w:p>
    <w:p>
      <w:pPr>
        <w:ind w:right="420" w:firstLine="987"/>
        <w:spacing w:after="0" w:line="263" w:lineRule="auto"/>
        <w:tabs>
          <w:tab w:leader="none" w:pos="1381" w:val="left"/>
        </w:tabs>
        <w:numPr>
          <w:ilvl w:val="0"/>
          <w:numId w:val="66"/>
        </w:numPr>
        <w:rPr>
          <w:rFonts w:ascii="Arial" w:cs="Arial" w:eastAsia="Arial" w:hAnsi="Arial"/>
          <w:sz w:val="18"/>
          <w:szCs w:val="18"/>
          <w:color w:val="auto"/>
        </w:rPr>
      </w:pPr>
      <w:r>
        <w:rPr>
          <w:rFonts w:ascii="Arial" w:cs="Arial" w:eastAsia="Arial" w:hAnsi="Arial"/>
          <w:sz w:val="18"/>
          <w:szCs w:val="18"/>
          <w:i w:val="1"/>
          <w:iCs w:val="1"/>
          <w:color w:val="auto"/>
        </w:rPr>
        <w:t>Representations and Warranties by the Adviser and the Administrator</w:t>
      </w:r>
      <w:r>
        <w:rPr>
          <w:rFonts w:ascii="Arial" w:cs="Arial" w:eastAsia="Arial" w:hAnsi="Arial"/>
          <w:sz w:val="18"/>
          <w:szCs w:val="18"/>
          <w:color w:val="auto"/>
        </w:rPr>
        <w:t>. The Adviser and the Administrator, jointly and severally,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 to the Sales Agent as of the date hereof, the Applicable Time, each Representation Date (as defined below) and any Date of Delivery (as defined below), and agrees with the Sales Agent, as follows:</w:t>
      </w:r>
    </w:p>
    <w:p>
      <w:pPr>
        <w:spacing w:after="0" w:line="75" w:lineRule="exact"/>
        <w:rPr>
          <w:rFonts w:ascii="Arial" w:cs="Arial" w:eastAsia="Arial" w:hAnsi="Arial"/>
          <w:sz w:val="18"/>
          <w:szCs w:val="18"/>
          <w:color w:val="auto"/>
        </w:rPr>
      </w:pPr>
    </w:p>
    <w:p>
      <w:pPr>
        <w:ind w:left="440" w:firstLine="948"/>
        <w:spacing w:after="0" w:line="255" w:lineRule="auto"/>
        <w:tabs>
          <w:tab w:leader="none" w:pos="1742"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Except as otherwise stated therein, since the respective dates as of which information is given or incorporated by reference in the Registration Statement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w:t>
      </w:r>
    </w:p>
    <w:p>
      <w:pPr>
        <w:spacing w:after="0" w:line="84" w:lineRule="exact"/>
        <w:rPr>
          <w:rFonts w:ascii="Arial" w:cs="Arial" w:eastAsia="Arial" w:hAnsi="Arial"/>
          <w:sz w:val="18"/>
          <w:szCs w:val="18"/>
          <w:color w:val="auto"/>
        </w:rPr>
      </w:pPr>
    </w:p>
    <w:p>
      <w:pPr>
        <w:ind w:left="440" w:right="80" w:firstLine="948"/>
        <w:spacing w:after="0" w:line="277" w:lineRule="auto"/>
        <w:tabs>
          <w:tab w:leader="none" w:pos="1792" w:val="left"/>
        </w:tabs>
        <w:numPr>
          <w:ilvl w:val="1"/>
          <w:numId w:val="66"/>
        </w:numPr>
        <w:rPr>
          <w:rFonts w:ascii="Arial" w:cs="Arial" w:eastAsia="Arial" w:hAnsi="Arial"/>
          <w:sz w:val="18"/>
          <w:szCs w:val="18"/>
          <w:color w:val="auto"/>
        </w:rPr>
      </w:pPr>
      <w:r>
        <w:rPr>
          <w:rFonts w:ascii="Arial" w:cs="Arial" w:eastAsia="Arial" w:hAnsi="Arial"/>
          <w:sz w:val="18"/>
          <w:szCs w:val="18"/>
          <w:u w:val="single" w:color="auto"/>
          <w:color w:val="auto"/>
        </w:rPr>
        <w:t>Good Standing</w:t>
      </w:r>
      <w:r>
        <w:rPr>
          <w:rFonts w:ascii="Arial" w:cs="Arial" w:eastAsia="Arial" w:hAnsi="Arial"/>
          <w:sz w:val="18"/>
          <w:szCs w:val="18"/>
          <w:color w:val="auto"/>
        </w:rPr>
        <w:t>. Each of the Adviser and the Administrator has been duly organized and is validly existing as a limited liability company, in good standing under the laws of its state of organization and has limited liability company power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59" w:name="page60"/>
    <w:bookmarkEnd w:id="59"/>
    <w:p>
      <w:pPr>
        <w:ind w:right="10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authority to own, lease and operate its properties and to conduct its business as described in the Registration Statement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Adviser/Administrator Material Adverse Effect.</w:t>
      </w:r>
    </w:p>
    <w:p>
      <w:pPr>
        <w:spacing w:after="0" w:line="53" w:lineRule="exact"/>
        <w:rPr>
          <w:sz w:val="20"/>
          <w:szCs w:val="20"/>
          <w:color w:val="auto"/>
        </w:rPr>
      </w:pPr>
    </w:p>
    <w:p>
      <w:pPr>
        <w:ind w:right="80" w:firstLine="948"/>
        <w:spacing w:after="0" w:line="257" w:lineRule="auto"/>
        <w:tabs>
          <w:tab w:leader="none" w:pos="140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Registration Under Advisers Act</w:t>
      </w:r>
      <w:r>
        <w:rPr>
          <w:rFonts w:ascii="Arial" w:cs="Arial" w:eastAsia="Arial" w:hAnsi="Arial"/>
          <w:sz w:val="18"/>
          <w:szCs w:val="18"/>
          <w:color w:val="auto"/>
        </w:rPr>
        <w:t>. The Adviser is duly registered with the Commission as an investment adviser under the Advisers Act and is not prohibited by the Advisers Act or the 1940 Act from acting under the Investment Management Agreement for the Company as contemplated by the Registration Statement and the Prospectus. There does not exist any proceeding or, to the Adviser’s knowledge, any facts or circumstances the existence of which could lead to any proceeding which might adversely affect the registration of the Adviser with the Commission.</w:t>
      </w:r>
    </w:p>
    <w:p>
      <w:pPr>
        <w:spacing w:after="0" w:line="79" w:lineRule="exact"/>
        <w:rPr>
          <w:rFonts w:ascii="Arial" w:cs="Arial" w:eastAsia="Arial" w:hAnsi="Arial"/>
          <w:sz w:val="18"/>
          <w:szCs w:val="18"/>
          <w:color w:val="auto"/>
        </w:rPr>
      </w:pPr>
    </w:p>
    <w:p>
      <w:pPr>
        <w:ind w:right="100" w:firstLine="948"/>
        <w:spacing w:after="0" w:line="253" w:lineRule="auto"/>
        <w:tabs>
          <w:tab w:leader="none" w:pos="1391"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Absence of Proceedings</w:t>
      </w:r>
      <w:r>
        <w:rPr>
          <w:rFonts w:ascii="Arial" w:cs="Arial" w:eastAsia="Arial" w:hAnsi="Arial"/>
          <w:sz w:val="18"/>
          <w:szCs w:val="18"/>
          <w:color w:val="auto"/>
        </w:rPr>
        <w:t>. Except as disclosed in the Registration Statement and the Prospectus, there is no action, suit, proceeding or, to the knowledge of the Adviser or the Administrator, inquiry or 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Securities, the Investment Management Agreement or the Administration Agreement or the performance by the Adviser or the Administrator of its obligations hereunder or thereunder.</w:t>
      </w:r>
    </w:p>
    <w:p>
      <w:pPr>
        <w:spacing w:after="0" w:line="88" w:lineRule="exact"/>
        <w:rPr>
          <w:rFonts w:ascii="Arial" w:cs="Arial" w:eastAsia="Arial" w:hAnsi="Arial"/>
          <w:sz w:val="18"/>
          <w:szCs w:val="18"/>
          <w:color w:val="auto"/>
        </w:rPr>
      </w:pPr>
    </w:p>
    <w:p>
      <w:pPr>
        <w:ind w:firstLine="948"/>
        <w:spacing w:after="0" w:line="290" w:lineRule="auto"/>
        <w:tabs>
          <w:tab w:leader="none" w:pos="1341" w:val="left"/>
        </w:tabs>
        <w:numPr>
          <w:ilvl w:val="0"/>
          <w:numId w:val="67"/>
        </w:numPr>
        <w:rPr>
          <w:rFonts w:ascii="Arial" w:cs="Arial" w:eastAsia="Arial" w:hAnsi="Arial"/>
          <w:sz w:val="16"/>
          <w:szCs w:val="16"/>
          <w:color w:val="auto"/>
        </w:rPr>
      </w:pPr>
      <w:r>
        <w:rPr>
          <w:rFonts w:ascii="Arial" w:cs="Arial" w:eastAsia="Arial" w:hAnsi="Arial"/>
          <w:sz w:val="16"/>
          <w:szCs w:val="16"/>
          <w:u w:val="single" w:color="auto"/>
          <w:color w:val="auto"/>
        </w:rPr>
        <w:t>Absence of Violations and Defaults</w:t>
      </w:r>
      <w:r>
        <w:rPr>
          <w:rFonts w:ascii="Arial" w:cs="Arial" w:eastAsia="Arial" w:hAnsi="Arial"/>
          <w:sz w:val="16"/>
          <w:szCs w:val="16"/>
          <w:color w:val="auto"/>
        </w:rPr>
        <w:t>.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the “Adviser/Administrator Agreements and Instruments”), except for such defaults that 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560"/>
          </w:cols>
          <w:pgMar w:left="880" w:top="274" w:right="459" w:bottom="1440" w:gutter="0" w:footer="0" w:header="0"/>
        </w:sectPr>
      </w:pPr>
    </w:p>
    <w:bookmarkStart w:id="60" w:name="page61"/>
    <w:bookmarkEnd w:id="60"/>
    <w:p>
      <w:pPr>
        <w:ind w:left="4" w:right="40" w:firstLine="948"/>
        <w:spacing w:after="0" w:line="283" w:lineRule="auto"/>
        <w:tabs>
          <w:tab w:leader="none" w:pos="1395" w:val="left"/>
        </w:tabs>
        <w:numPr>
          <w:ilvl w:val="1"/>
          <w:numId w:val="6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Absence of Conflicts</w:t>
      </w:r>
      <w:r>
        <w:rPr>
          <w:rFonts w:ascii="Arial" w:cs="Arial" w:eastAsia="Arial" w:hAnsi="Arial"/>
          <w:sz w:val="16"/>
          <w:szCs w:val="16"/>
          <w:color w:val="auto"/>
        </w:rPr>
        <w:t>. The execution, delivery and performance of this Agreement, the performance of the Investment Management Agreement and the Administration Agreement and the consummation of the transactions contemplated herein and therein and in the Registration Statement and the Prospectus (including the issuance and sale of the Securities and the use of the proceeds from the sale of the Securities as described therein under the caption “Use of Proceeds”) and compliance by the Adviser and 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w:t>
      </w:r>
    </w:p>
    <w:p>
      <w:pPr>
        <w:spacing w:after="0" w:line="3" w:lineRule="exact"/>
        <w:rPr>
          <w:rFonts w:ascii="Arial" w:cs="Arial" w:eastAsia="Arial" w:hAnsi="Arial"/>
          <w:sz w:val="16"/>
          <w:szCs w:val="16"/>
          <w:color w:val="auto"/>
        </w:rPr>
      </w:pPr>
    </w:p>
    <w:p>
      <w:pPr>
        <w:jc w:val="both"/>
        <w:ind w:left="4" w:hanging="4"/>
        <w:spacing w:after="0" w:line="253" w:lineRule="auto"/>
        <w:tabs>
          <w:tab w:leader="none" w:pos="258"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in the case of (b) above, for any violation that would not reasonably be expected, singly or in the aggregate, to result in an Adviser/Administrator Material Adverse Effect.</w:t>
      </w:r>
    </w:p>
    <w:p>
      <w:pPr>
        <w:spacing w:after="0" w:line="84" w:lineRule="exact"/>
        <w:rPr>
          <w:rFonts w:ascii="Arial" w:cs="Arial" w:eastAsia="Arial" w:hAnsi="Arial"/>
          <w:sz w:val="18"/>
          <w:szCs w:val="18"/>
          <w:color w:val="auto"/>
        </w:rPr>
      </w:pPr>
    </w:p>
    <w:p>
      <w:pPr>
        <w:ind w:left="4" w:right="260" w:firstLine="948"/>
        <w:spacing w:after="0" w:line="277" w:lineRule="auto"/>
        <w:tabs>
          <w:tab w:leader="none" w:pos="1445"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Authorization of this Agreement</w:t>
      </w:r>
      <w:r>
        <w:rPr>
          <w:rFonts w:ascii="Arial" w:cs="Arial" w:eastAsia="Arial" w:hAnsi="Arial"/>
          <w:sz w:val="18"/>
          <w:szCs w:val="18"/>
          <w:color w:val="auto"/>
        </w:rPr>
        <w:t>. This Agreement has been duly authorized, executed and delivered by each of the Adviser and the Administrator.</w:t>
      </w:r>
    </w:p>
    <w:p>
      <w:pPr>
        <w:spacing w:after="0" w:line="62" w:lineRule="exact"/>
        <w:rPr>
          <w:rFonts w:ascii="Arial" w:cs="Arial" w:eastAsia="Arial" w:hAnsi="Arial"/>
          <w:sz w:val="18"/>
          <w:szCs w:val="18"/>
          <w:color w:val="auto"/>
        </w:rPr>
      </w:pPr>
    </w:p>
    <w:p>
      <w:pPr>
        <w:ind w:left="4" w:right="40" w:firstLine="948"/>
        <w:spacing w:after="0" w:line="255" w:lineRule="auto"/>
        <w:tabs>
          <w:tab w:leader="none" w:pos="1495"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Investment Management Agreement and Administration Agreement</w:t>
      </w:r>
      <w:r>
        <w:rPr>
          <w:rFonts w:ascii="Arial" w:cs="Arial" w:eastAsia="Arial" w:hAnsi="Arial"/>
          <w:sz w:val="18"/>
          <w:szCs w:val="18"/>
          <w:color w:val="auto"/>
        </w:rPr>
        <w:t>.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84" w:lineRule="exact"/>
        <w:rPr>
          <w:rFonts w:ascii="Arial" w:cs="Arial" w:eastAsia="Arial" w:hAnsi="Arial"/>
          <w:sz w:val="18"/>
          <w:szCs w:val="18"/>
          <w:color w:val="auto"/>
        </w:rPr>
      </w:pPr>
    </w:p>
    <w:p>
      <w:pPr>
        <w:ind w:left="4" w:right="80" w:firstLine="948"/>
        <w:spacing w:after="0" w:line="255" w:lineRule="auto"/>
        <w:tabs>
          <w:tab w:leader="none" w:pos="1395"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Absence of Further Requirements</w:t>
      </w:r>
      <w:r>
        <w:rPr>
          <w:rFonts w:ascii="Arial" w:cs="Arial" w:eastAsia="Arial" w:hAnsi="Arial"/>
          <w:sz w:val="18"/>
          <w:szCs w:val="18"/>
          <w:color w:val="auto"/>
        </w:rPr>
        <w:t>.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Securities hereunder or the consummation of the transactions contemplated by this Agreement, the Investment Management Agreement, the Administration Agreement or the Prospectus (including the issuance and sale of the Securities and the use of the proceeds from the sale of the Securities as described in the Prospectus under the caption “Use of Proceeds”), except (A) such as have been already</w:t>
      </w:r>
    </w:p>
    <w:p>
      <w:pPr>
        <w:spacing w:after="0" w:line="125"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4"/>
          </w:cols>
          <w:pgMar w:left="876" w:top="274" w:right="459" w:bottom="1440" w:gutter="0" w:footer="0" w:header="0"/>
        </w:sectPr>
      </w:pPr>
    </w:p>
    <w:bookmarkStart w:id="61" w:name="page62"/>
    <w:bookmarkEnd w:id="61"/>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made or obtained, including under the 1933 Act, the 1933 Act Regulations,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w:t>
      </w:r>
    </w:p>
    <w:p>
      <w:pPr>
        <w:spacing w:after="0" w:line="76" w:lineRule="exact"/>
        <w:rPr>
          <w:sz w:val="20"/>
          <w:szCs w:val="20"/>
          <w:color w:val="auto"/>
        </w:rPr>
      </w:pPr>
    </w:p>
    <w:p>
      <w:pPr>
        <w:ind w:right="60" w:firstLine="948"/>
        <w:spacing w:after="0" w:line="311" w:lineRule="auto"/>
        <w:tabs>
          <w:tab w:leader="none" w:pos="1341"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Descriptions of Adviser and Administrator</w:t>
      </w:r>
      <w:r>
        <w:rPr>
          <w:rFonts w:ascii="Arial" w:cs="Arial" w:eastAsia="Arial" w:hAnsi="Arial"/>
          <w:sz w:val="16"/>
          <w:szCs w:val="16"/>
          <w:color w:val="auto"/>
        </w:rPr>
        <w:t>. The descriptions of the Adviser and the Administrator contained in the Registration Statement and the Prospectus does not contain any untrue statement of a material fact or omit to state a material fact required to be stated therein or necessary to make the statements therein, in the light of the circumstances under which they were made, not misleading.</w:t>
      </w:r>
    </w:p>
    <w:p>
      <w:pPr>
        <w:spacing w:after="0" w:line="40" w:lineRule="exact"/>
        <w:rPr>
          <w:rFonts w:ascii="Arial" w:cs="Arial" w:eastAsia="Arial" w:hAnsi="Arial"/>
          <w:sz w:val="16"/>
          <w:szCs w:val="16"/>
          <w:color w:val="auto"/>
        </w:rPr>
      </w:pPr>
    </w:p>
    <w:p>
      <w:pPr>
        <w:ind w:firstLine="948"/>
        <w:spacing w:after="0" w:line="288" w:lineRule="auto"/>
        <w:tabs>
          <w:tab w:leader="none" w:pos="1391"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 Each of the Adviser and the Administrator is in compliance with the terms and conditions of all such Governmental Licenses, except where the failure so to comply would not reasonably be expected, singly or in the aggregate, to result in an Adviser/Administrator 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w:t>
      </w:r>
    </w:p>
    <w:p>
      <w:pPr>
        <w:spacing w:after="0" w:line="60" w:lineRule="exact"/>
        <w:rPr>
          <w:rFonts w:ascii="Arial" w:cs="Arial" w:eastAsia="Arial" w:hAnsi="Arial"/>
          <w:sz w:val="16"/>
          <w:szCs w:val="16"/>
          <w:color w:val="auto"/>
        </w:rPr>
      </w:pPr>
    </w:p>
    <w:p>
      <w:pPr>
        <w:jc w:val="both"/>
        <w:ind w:right="160" w:firstLine="948"/>
        <w:spacing w:after="0" w:line="259" w:lineRule="auto"/>
        <w:tabs>
          <w:tab w:leader="none" w:pos="144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Stabilization and Manipulation</w:t>
      </w:r>
      <w:r>
        <w:rPr>
          <w:rFonts w:ascii="Arial" w:cs="Arial" w:eastAsia="Arial" w:hAnsi="Arial"/>
          <w:sz w:val="18"/>
          <w:szCs w:val="18"/>
          <w:color w:val="auto"/>
        </w:rPr>
        <w:t>. Neither the Adviser nor the Administrator has taken, nor will take, directly or indirectly, without giving effect to any activities by the Sales Agent, any action designed, or that would reasonably be expected, to cause or result in, or which constitutes, the stabilization or manipulation of the price of the Securities, other than activity permitted pursuant to Rule 10b-18 under the 1934 Act.</w:t>
      </w:r>
    </w:p>
    <w:p>
      <w:pPr>
        <w:spacing w:after="0" w:line="78" w:lineRule="exact"/>
        <w:rPr>
          <w:rFonts w:ascii="Arial" w:cs="Arial" w:eastAsia="Arial" w:hAnsi="Arial"/>
          <w:sz w:val="18"/>
          <w:szCs w:val="18"/>
          <w:color w:val="auto"/>
        </w:rPr>
      </w:pPr>
    </w:p>
    <w:p>
      <w:pPr>
        <w:ind w:right="20" w:firstLine="948"/>
        <w:spacing w:after="0" w:line="254" w:lineRule="auto"/>
        <w:tabs>
          <w:tab w:leader="none" w:pos="149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 Act</w:t>
      </w:r>
      <w:r>
        <w:rPr>
          <w:rFonts w:ascii="Arial" w:cs="Arial" w:eastAsia="Arial" w:hAnsi="Arial"/>
          <w:sz w:val="18"/>
          <w:szCs w:val="18"/>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aware of, has taken or will take any action, directly or indirectly, that would result in a violation by such persons of the FCPA, in connection with the business of the Company, including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to the knowledge of the Adviser or the Administrator, the</w:t>
      </w:r>
    </w:p>
    <w:p>
      <w:pPr>
        <w:spacing w:after="0" w:line="12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560"/>
          </w:cols>
          <w:pgMar w:left="880" w:top="274" w:right="459" w:bottom="1440" w:gutter="0" w:footer="0" w:header="0"/>
        </w:sectPr>
      </w:pPr>
    </w:p>
    <w:bookmarkStart w:id="62" w:name="page63"/>
    <w:bookmarkEnd w:id="62"/>
    <w:p>
      <w:pPr>
        <w:ind w:right="18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Adviser and the Administrator have conducted its business, in relation to the Company, in compliance with the FCPA and has instituted and maintain policies and procedures designed to ensure, and which are reasonably expected to continue to ensure, continued compliance therewith.</w:t>
      </w:r>
    </w:p>
    <w:p>
      <w:pPr>
        <w:spacing w:after="0" w:line="16" w:lineRule="exact"/>
        <w:rPr>
          <w:sz w:val="20"/>
          <w:szCs w:val="20"/>
          <w:color w:val="auto"/>
        </w:rPr>
      </w:pPr>
    </w:p>
    <w:p>
      <w:pPr>
        <w:ind w:right="40" w:firstLine="948"/>
        <w:spacing w:after="0" w:line="255" w:lineRule="auto"/>
        <w:tabs>
          <w:tab w:leader="none" w:pos="148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Anti-Money Laundering Laws</w:t>
      </w:r>
      <w:r>
        <w:rPr>
          <w:rFonts w:ascii="Arial" w:cs="Arial" w:eastAsia="Arial" w:hAnsi="Arial"/>
          <w:sz w:val="18"/>
          <w:szCs w:val="18"/>
          <w:color w:val="auto"/>
        </w:rPr>
        <w:t>. The operations of the Adviser and the Administrator are and have been conducted at all times in compliance with applicable financial recordkeeping and reporting requirements of the Anti-Money Laundering Laws; and no action, suit or proceeding by or before any arbitrator, court, governmental body, regulatory body, administrative agency or other authority, body or agency having jurisdiction over the Adviser and the Administrator or any of their properties, assets or operations involving the Adviser or the Administrator with respect to the Anti-Money Laundering Laws is pending or, to the best knowledge of the Adviser or the Administrator, threatened.</w:t>
      </w:r>
    </w:p>
    <w:p>
      <w:pPr>
        <w:spacing w:after="0" w:line="84" w:lineRule="exact"/>
        <w:rPr>
          <w:rFonts w:ascii="Arial" w:cs="Arial" w:eastAsia="Arial" w:hAnsi="Arial"/>
          <w:sz w:val="18"/>
          <w:szCs w:val="18"/>
          <w:color w:val="auto"/>
        </w:rPr>
      </w:pPr>
    </w:p>
    <w:p>
      <w:pPr>
        <w:ind w:right="140" w:firstLine="948"/>
        <w:spacing w:after="0" w:line="293" w:lineRule="auto"/>
        <w:tabs>
          <w:tab w:leader="none" w:pos="1431" w:val="left"/>
        </w:tabs>
        <w:numPr>
          <w:ilvl w:val="0"/>
          <w:numId w:val="71"/>
        </w:numPr>
        <w:rPr>
          <w:rFonts w:ascii="Arial" w:cs="Arial" w:eastAsia="Arial" w:hAnsi="Arial"/>
          <w:sz w:val="16"/>
          <w:szCs w:val="16"/>
          <w:color w:val="auto"/>
        </w:rPr>
      </w:pPr>
      <w:r>
        <w:rPr>
          <w:rFonts w:ascii="Arial" w:cs="Arial" w:eastAsia="Arial" w:hAnsi="Arial"/>
          <w:sz w:val="16"/>
          <w:szCs w:val="16"/>
          <w:u w:val="single" w:color="auto"/>
          <w:color w:val="auto"/>
        </w:rPr>
        <w:t>OFAC</w:t>
      </w:r>
      <w:r>
        <w:rPr>
          <w:rFonts w:ascii="Arial" w:cs="Arial" w:eastAsia="Arial" w:hAnsi="Arial"/>
          <w:sz w:val="16"/>
          <w:szCs w:val="16"/>
          <w:color w:val="auto"/>
        </w:rPr>
        <w:t>. None of the Adviser, the Administrator or, to the knowledge of the Adviser or the Administrator, any director, officer or employee of the Adviser or the Administrator or any agent, controlled affiliate or other person acting on behalf of the Adviser or the Administrator is a Person, or is controlled by a Person that is, (i) currently the subject or target of Sanctions, or (ii) located, organized or resident in a country or territory that is itself the subject of comprehensive Sanctions (currently Crimea, Cuba, Iran, North Korea, and Syria). During the last five years, neither the Adviser nor the Administrator has knowingly engaged in, and is not now knowingly engaged in, any unauthorized dealings or transactions with any Person that at the time of the dealing or transaction is or was the subject or target of Sanctions.</w:t>
      </w:r>
    </w:p>
    <w:p>
      <w:pPr>
        <w:spacing w:after="0" w:line="56" w:lineRule="exact"/>
        <w:rPr>
          <w:rFonts w:ascii="Arial" w:cs="Arial" w:eastAsia="Arial" w:hAnsi="Arial"/>
          <w:sz w:val="16"/>
          <w:szCs w:val="16"/>
          <w:color w:val="auto"/>
        </w:rPr>
      </w:pPr>
    </w:p>
    <w:p>
      <w:pPr>
        <w:ind w:firstLine="948"/>
        <w:spacing w:after="0" w:line="257" w:lineRule="auto"/>
        <w:tabs>
          <w:tab w:leader="none" w:pos="148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Key Employees</w:t>
      </w:r>
      <w:r>
        <w:rPr>
          <w:rFonts w:ascii="Arial" w:cs="Arial" w:eastAsia="Arial" w:hAnsi="Arial"/>
          <w:sz w:val="18"/>
          <w:szCs w:val="18"/>
          <w:color w:val="auto"/>
        </w:rPr>
        <w:t>.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w:t>
      </w:r>
    </w:p>
    <w:p>
      <w:pPr>
        <w:spacing w:after="0" w:line="79" w:lineRule="exact"/>
        <w:rPr>
          <w:rFonts w:ascii="Arial" w:cs="Arial" w:eastAsia="Arial" w:hAnsi="Arial"/>
          <w:sz w:val="18"/>
          <w:szCs w:val="18"/>
          <w:color w:val="auto"/>
        </w:rPr>
      </w:pPr>
    </w:p>
    <w:p>
      <w:pPr>
        <w:ind w:right="100" w:firstLine="948"/>
        <w:spacing w:after="0" w:line="257" w:lineRule="auto"/>
        <w:tabs>
          <w:tab w:leader="none" w:pos="153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 Labor Disputes</w:t>
      </w:r>
      <w:r>
        <w:rPr>
          <w:rFonts w:ascii="Arial" w:cs="Arial" w:eastAsia="Arial" w:hAnsi="Arial"/>
          <w:sz w:val="18"/>
          <w:szCs w:val="18"/>
          <w:color w:val="auto"/>
        </w:rPr>
        <w:t>.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w:t>
      </w:r>
    </w:p>
    <w:p>
      <w:pPr>
        <w:spacing w:after="0" w:line="79" w:lineRule="exact"/>
        <w:rPr>
          <w:rFonts w:ascii="Arial" w:cs="Arial" w:eastAsia="Arial" w:hAnsi="Arial"/>
          <w:sz w:val="18"/>
          <w:szCs w:val="18"/>
          <w:color w:val="auto"/>
        </w:rPr>
      </w:pPr>
    </w:p>
    <w:p>
      <w:pPr>
        <w:jc w:val="both"/>
        <w:ind w:right="360" w:firstLine="948"/>
        <w:spacing w:after="0" w:line="263" w:lineRule="auto"/>
        <w:tabs>
          <w:tab w:leader="none" w:pos="1581"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Accounting Controls</w:t>
      </w:r>
      <w:r>
        <w:rPr>
          <w:rFonts w:ascii="Arial" w:cs="Arial" w:eastAsia="Arial" w:hAnsi="Arial"/>
          <w:sz w:val="18"/>
          <w:szCs w:val="18"/>
          <w:color w:val="auto"/>
        </w:rPr>
        <w:t>.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w:t>
      </w:r>
    </w:p>
    <w:p>
      <w:pPr>
        <w:spacing w:after="0" w:line="116"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540"/>
          </w:cols>
          <w:pgMar w:left="880" w:top="274" w:right="479" w:bottom="1440" w:gutter="0" w:footer="0" w:header="0"/>
        </w:sectPr>
      </w:pPr>
    </w:p>
    <w:bookmarkStart w:id="63" w:name="page64"/>
    <w:bookmarkEnd w:id="63"/>
    <w:p>
      <w:pPr>
        <w:ind w:left="44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w:t>
      </w:r>
    </w:p>
    <w:p>
      <w:pPr>
        <w:spacing w:after="0" w:line="70" w:lineRule="exact"/>
        <w:rPr>
          <w:sz w:val="20"/>
          <w:szCs w:val="20"/>
          <w:color w:val="auto"/>
        </w:rPr>
      </w:pPr>
    </w:p>
    <w:p>
      <w:pPr>
        <w:ind w:left="440" w:right="240" w:firstLine="948"/>
        <w:spacing w:after="0" w:line="263" w:lineRule="auto"/>
        <w:tabs>
          <w:tab w:leader="none" w:pos="1921" w:val="left"/>
        </w:tabs>
        <w:numPr>
          <w:ilvl w:val="1"/>
          <w:numId w:val="72"/>
        </w:numPr>
        <w:rPr>
          <w:rFonts w:ascii="Arial" w:cs="Arial" w:eastAsia="Arial" w:hAnsi="Arial"/>
          <w:sz w:val="18"/>
          <w:szCs w:val="18"/>
          <w:color w:val="auto"/>
        </w:rPr>
      </w:pPr>
      <w:r>
        <w:rPr>
          <w:rFonts w:ascii="Arial" w:cs="Arial" w:eastAsia="Arial" w:hAnsi="Arial"/>
          <w:sz w:val="18"/>
          <w:szCs w:val="18"/>
          <w:u w:val="single" w:color="auto"/>
          <w:color w:val="auto"/>
        </w:rPr>
        <w:t>Financial Resources</w:t>
      </w:r>
      <w:r>
        <w:rPr>
          <w:rFonts w:ascii="Arial" w:cs="Arial" w:eastAsia="Arial" w:hAnsi="Arial"/>
          <w:sz w:val="18"/>
          <w:szCs w:val="18"/>
          <w:color w:val="auto"/>
        </w:rPr>
        <w:t>. Each of the Adviser and the Administrator has the financial resources available to it necessary for the performance of its services and obligations as contemplated by the Registration Statement, the Prospectus and the Investment Management Agreement.</w:t>
      </w:r>
    </w:p>
    <w:p>
      <w:pPr>
        <w:spacing w:after="0" w:line="183" w:lineRule="exact"/>
        <w:rPr>
          <w:rFonts w:ascii="Arial" w:cs="Arial" w:eastAsia="Arial" w:hAnsi="Arial"/>
          <w:sz w:val="18"/>
          <w:szCs w:val="18"/>
          <w:color w:val="auto"/>
        </w:rPr>
      </w:pPr>
    </w:p>
    <w:p>
      <w:pPr>
        <w:ind w:right="20" w:firstLine="987"/>
        <w:spacing w:after="0" w:line="263" w:lineRule="auto"/>
        <w:tabs>
          <w:tab w:leader="none" w:pos="1371" w:val="left"/>
        </w:tabs>
        <w:numPr>
          <w:ilvl w:val="0"/>
          <w:numId w:val="73"/>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any of the Subsidiaries, the Adviser or the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delivered to the Sales Agent or to counsel for the Sales Agent shall be deemed a representation and warranty by the Company, the Adviser or the Administrator, as applicable, to the Sales Agent as to the matters covered thereby.</w:t>
      </w:r>
    </w:p>
    <w:p>
      <w:pPr>
        <w:spacing w:after="0" w:line="184"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Sale and Delivery of Securities</w:t>
      </w:r>
      <w:r>
        <w:rPr>
          <w:rFonts w:ascii="Arial" w:cs="Arial" w:eastAsia="Arial" w:hAnsi="Arial"/>
          <w:sz w:val="16"/>
          <w:szCs w:val="16"/>
          <w:color w:val="auto"/>
        </w:rPr>
        <w:t>.</w:t>
      </w:r>
    </w:p>
    <w:p>
      <w:pPr>
        <w:spacing w:after="0" w:line="225" w:lineRule="exact"/>
        <w:rPr>
          <w:sz w:val="20"/>
          <w:szCs w:val="20"/>
          <w:color w:val="auto"/>
        </w:rPr>
      </w:pPr>
    </w:p>
    <w:p>
      <w:pPr>
        <w:ind w:right="220" w:firstLine="987"/>
        <w:spacing w:after="0" w:line="263" w:lineRule="auto"/>
        <w:tabs>
          <w:tab w:leader="none" w:pos="1371" w:val="left"/>
        </w:tabs>
        <w:numPr>
          <w:ilvl w:val="1"/>
          <w:numId w:val="74"/>
        </w:numPr>
        <w:rPr>
          <w:rFonts w:ascii="Arial" w:cs="Arial" w:eastAsia="Arial" w:hAnsi="Arial"/>
          <w:sz w:val="18"/>
          <w:szCs w:val="18"/>
          <w:color w:val="auto"/>
        </w:rPr>
      </w:pPr>
      <w:r>
        <w:rPr>
          <w:rFonts w:ascii="Arial" w:cs="Arial" w:eastAsia="Arial" w:hAnsi="Arial"/>
          <w:sz w:val="18"/>
          <w:szCs w:val="18"/>
          <w:color w:val="auto"/>
        </w:rPr>
        <w:t>On the basis of the representations, warranties and agreements herein contained, but subject to the terms and conditions herein set forth, the Company agrees to sell Securities from time to time through the Sales Agent, and the Sales Agent agrees to use its commercially reasonable efforts to sell, as sales agent for the Company, the Securities on the following terms.</w:t>
      </w:r>
    </w:p>
    <w:p>
      <w:pPr>
        <w:spacing w:after="0" w:line="75" w:lineRule="exact"/>
        <w:rPr>
          <w:rFonts w:ascii="Arial" w:cs="Arial" w:eastAsia="Arial" w:hAnsi="Arial"/>
          <w:sz w:val="18"/>
          <w:szCs w:val="18"/>
          <w:color w:val="auto"/>
        </w:rPr>
      </w:pPr>
    </w:p>
    <w:p>
      <w:pPr>
        <w:ind w:left="440" w:firstLine="948"/>
        <w:spacing w:after="0" w:line="283" w:lineRule="auto"/>
        <w:tabs>
          <w:tab w:leader="none" w:pos="1742" w:val="left"/>
        </w:tabs>
        <w:numPr>
          <w:ilvl w:val="2"/>
          <w:numId w:val="74"/>
        </w:numPr>
        <w:rPr>
          <w:rFonts w:ascii="Arial" w:cs="Arial" w:eastAsia="Arial" w:hAnsi="Arial"/>
          <w:sz w:val="16"/>
          <w:szCs w:val="16"/>
          <w:color w:val="auto"/>
        </w:rPr>
      </w:pPr>
      <w:r>
        <w:rPr>
          <w:rFonts w:ascii="Arial" w:cs="Arial" w:eastAsia="Arial" w:hAnsi="Arial"/>
          <w:sz w:val="16"/>
          <w:szCs w:val="16"/>
          <w:color w:val="auto"/>
        </w:rPr>
        <w:t xml:space="preserve">Each time that the Company wishes to sell Securities on any day that is a trading day for the Nasdaq Global Select Market (a “Trading Day”) (other than a Trading Day on which the Nasdaq Global Select Market is scheduled to close prior to its regular weekday closing time) pursuant to this Agreement (each, a “Placement”), the Company will instruct the Sales Agent in writing of the parameters in accordance with which it desires Securities to be sold, which shall at a minimum include the number of Securities to be offered, the time period during which sales are requested to be made, the minimum price below which sales may not be made and any limitation on the number of Securities that may be sold in any one day (a “Placement Notice”). The Sales Agent will, prior to 4:30 p.m. (New York City time) or, if later, within three hours after receipt of the Placement Notice, on the same business day (as defined below) on which such Placement Notice is delivered to the Sales Agent, issue to the Company a notice by email addressed to all of the Authorized Representatives (as defined below) confirming all of the parameters of the Placement. The Placement Notice shall be effective upon receipt by any of the Authorized Representatives of the email notice from the Sales Agent, unless and until (i) the entire amount of the Securities covered by the Placement Notice have been sold, (ii) in accordance with </w:t>
      </w:r>
      <w:r>
        <w:rPr>
          <w:rFonts w:ascii="Arial" w:cs="Arial" w:eastAsia="Arial" w:hAnsi="Arial"/>
          <w:sz w:val="16"/>
          <w:szCs w:val="16"/>
          <w:u w:val="single" w:color="auto"/>
          <w:color w:val="auto"/>
        </w:rPr>
        <w:t>Section 2(a)</w:t>
      </w:r>
    </w:p>
    <w:p>
      <w:pPr>
        <w:spacing w:after="0" w:line="4" w:lineRule="exact"/>
        <w:rPr>
          <w:rFonts w:ascii="Arial" w:cs="Arial" w:eastAsia="Arial" w:hAnsi="Arial"/>
          <w:sz w:val="16"/>
          <w:szCs w:val="16"/>
          <w:color w:val="auto"/>
        </w:rPr>
      </w:pPr>
    </w:p>
    <w:p>
      <w:pPr>
        <w:ind w:left="700" w:hanging="264"/>
        <w:spacing w:after="0"/>
        <w:tabs>
          <w:tab w:leader="none" w:pos="700" w:val="left"/>
        </w:tabs>
        <w:numPr>
          <w:ilvl w:val="0"/>
          <w:numId w:val="75"/>
        </w:numPr>
        <w:rPr>
          <w:rFonts w:ascii="Arial" w:cs="Arial" w:eastAsia="Arial" w:hAnsi="Arial"/>
          <w:sz w:val="16"/>
          <w:szCs w:val="16"/>
          <w:u w:val="single" w:color="auto"/>
          <w:color w:val="auto"/>
        </w:rPr>
      </w:pPr>
      <w:r>
        <w:rPr>
          <w:rFonts w:ascii="Arial" w:cs="Arial" w:eastAsia="Arial" w:hAnsi="Arial"/>
          <w:sz w:val="16"/>
          <w:szCs w:val="16"/>
          <w:color w:val="auto"/>
        </w:rPr>
        <w:t>hereof, the Company or the Sales Agent suspends or terminates the Placement Notice, (iii) the Company issues a subsequent Placement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64" w:name="page65"/>
    <w:bookmarkEnd w:id="64"/>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Notice with parameters superseding those on the earlier dated Placement Notice, or (iv) this Agreement has been terminated under the provisions of </w:t>
      </w:r>
      <w:r>
        <w:rPr>
          <w:rFonts w:ascii="Arial" w:cs="Arial" w:eastAsia="Arial" w:hAnsi="Arial"/>
          <w:sz w:val="16"/>
          <w:szCs w:val="16"/>
          <w:u w:val="single" w:color="auto"/>
          <w:color w:val="auto"/>
        </w:rPr>
        <w:t>Section 9</w:t>
      </w:r>
      <w:r>
        <w:rPr>
          <w:rFonts w:ascii="Arial" w:cs="Arial" w:eastAsia="Arial" w:hAnsi="Arial"/>
          <w:sz w:val="16"/>
          <w:szCs w:val="16"/>
          <w:color w:val="auto"/>
        </w:rPr>
        <w:t>. Subject to the terms and conditions hereof, the Sales Agent shall use its commercially reasonable efforts to offer and sell all of the Securities designated in the Placement Notice; provided, however, that the Sales Agent shall have no obligation to offer or sell any Securities, and the Company acknowledges and agrees that the Sales Agent shall have no such obligation in the event an offer or sale of the Securities on behalf of the Company may in the judgment of the Sales Agent constitute the sale of a “block” under Rule 10b-18(a)(5) under the 1934 Act, or a “distribution” within the meaning of Rule 100 of Regulation M under the 1934 Act or the Sales Agent reasonably believes it may be deemed an “underwriter” under the 1933 Act in a transaction that is other than (A) by means of ordinary brokers’ transactions between members of the Nasdaq Global Select Market that qualify for delivery of a Prospectus to the Nasdaq Global Select Market in accordance with Rule 153 under the 1933 Act or (B) directly on or through an electronic communication network, a “dark pool” or any similar market venue (the transactions described in (A) and (B) are hereinafter referred to as “At the Market Offerings”). In the event of a conflict between the terms of this Agreement and the terms of any Placement Notice, the terms of such Placement Notice will control.</w:t>
      </w:r>
    </w:p>
    <w:p>
      <w:pPr>
        <w:spacing w:after="0" w:line="64" w:lineRule="exact"/>
        <w:rPr>
          <w:sz w:val="20"/>
          <w:szCs w:val="20"/>
          <w:color w:val="auto"/>
        </w:rPr>
      </w:pPr>
    </w:p>
    <w:p>
      <w:pPr>
        <w:ind w:right="180" w:firstLine="948"/>
        <w:spacing w:after="0" w:line="273" w:lineRule="auto"/>
        <w:tabs>
          <w:tab w:leader="none" w:pos="1352" w:val="left"/>
        </w:tabs>
        <w:numPr>
          <w:ilvl w:val="0"/>
          <w:numId w:val="76"/>
        </w:numPr>
        <w:rPr>
          <w:rFonts w:ascii="Arial" w:cs="Arial" w:eastAsia="Arial" w:hAnsi="Arial"/>
          <w:sz w:val="17"/>
          <w:szCs w:val="17"/>
          <w:color w:val="auto"/>
        </w:rPr>
      </w:pPr>
      <w:r>
        <w:rPr>
          <w:rFonts w:ascii="Arial" w:cs="Arial" w:eastAsia="Arial" w:hAnsi="Arial"/>
          <w:sz w:val="17"/>
          <w:szCs w:val="17"/>
          <w:color w:val="auto"/>
        </w:rPr>
        <w:t>Notwithstanding the foregoing, the Company or the Sales Agent may, upon notice to the other party by telephone (confirmed promptly by electronic mail from such party), suspend the offering of the Securities pursuant to this Agreement or suspend or terminate a previously issued Placement Notice; provided, however, that such suspension or termination shall not affect or impair the parties’ respective obligations with respect to the Securities sold hereunder prior to the giving of such notice. Each of the parties agrees that no such notice shall be effective against the other unless it is made to one of its authorized representatives as set forth on Schedule B hereto (the “Authorized Representatives”), as such Schedule may be amended from time to time.</w:t>
      </w:r>
    </w:p>
    <w:p>
      <w:pPr>
        <w:spacing w:after="0" w:line="69" w:lineRule="exact"/>
        <w:rPr>
          <w:rFonts w:ascii="Arial" w:cs="Arial" w:eastAsia="Arial" w:hAnsi="Arial"/>
          <w:sz w:val="17"/>
          <w:szCs w:val="17"/>
          <w:color w:val="auto"/>
        </w:rPr>
      </w:pPr>
    </w:p>
    <w:p>
      <w:pPr>
        <w:jc w:val="both"/>
        <w:ind w:right="240" w:firstLine="948"/>
        <w:spacing w:after="0" w:line="286" w:lineRule="auto"/>
        <w:tabs>
          <w:tab w:leader="none" w:pos="1398"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Sales Agent hereby covenants and agrees not to make any sales of the Securities on behalf of the Company, pursuant to this </w:t>
      </w:r>
      <w:r>
        <w:rPr>
          <w:rFonts w:ascii="Arial" w:cs="Arial" w:eastAsia="Arial" w:hAnsi="Arial"/>
          <w:sz w:val="17"/>
          <w:szCs w:val="17"/>
          <w:u w:val="single" w:color="auto"/>
          <w:color w:val="auto"/>
        </w:rPr>
        <w:t>Section 2(a)</w:t>
      </w:r>
      <w:r>
        <w:rPr>
          <w:rFonts w:ascii="Arial" w:cs="Arial" w:eastAsia="Arial" w:hAnsi="Arial"/>
          <w:sz w:val="17"/>
          <w:szCs w:val="17"/>
          <w:color w:val="auto"/>
        </w:rPr>
        <w:t>, other than (A) by means of At the Market Offerings and (B) such other sales of the Securities on behalf of the Company in its capacity as agent of the Company as shall be agreed by the Company and the Sales Agent.</w:t>
      </w:r>
    </w:p>
    <w:p>
      <w:pPr>
        <w:spacing w:after="0" w:line="57" w:lineRule="exact"/>
        <w:rPr>
          <w:rFonts w:ascii="Arial" w:cs="Arial" w:eastAsia="Arial" w:hAnsi="Arial"/>
          <w:sz w:val="17"/>
          <w:szCs w:val="17"/>
          <w:color w:val="auto"/>
        </w:rPr>
      </w:pPr>
    </w:p>
    <w:p>
      <w:pPr>
        <w:ind w:firstLine="948"/>
        <w:spacing w:after="0" w:line="271" w:lineRule="auto"/>
        <w:tabs>
          <w:tab w:leader="none" w:pos="1388" w:val="left"/>
        </w:tabs>
        <w:numPr>
          <w:ilvl w:val="0"/>
          <w:numId w:val="76"/>
        </w:numPr>
        <w:rPr>
          <w:rFonts w:ascii="Arial" w:cs="Arial" w:eastAsia="Arial" w:hAnsi="Arial"/>
          <w:sz w:val="17"/>
          <w:szCs w:val="17"/>
          <w:color w:val="auto"/>
        </w:rPr>
      </w:pPr>
      <w:r>
        <w:rPr>
          <w:rFonts w:ascii="Arial" w:cs="Arial" w:eastAsia="Arial" w:hAnsi="Arial"/>
          <w:sz w:val="17"/>
          <w:szCs w:val="17"/>
          <w:color w:val="auto"/>
        </w:rPr>
        <w:t xml:space="preserve">The gross sales price of any Securities sold pursuant to this Agreement by the Sales Agent, as an agent of the Company, shall be the market price prevailing at the time of sale for Securities sold by the Sales Agent on the Nasdaq Global Select Market or otherwise, at prices related to prevailing market prices or, subject to specific instructions of the Company, at negotiated prices. The compensation to the Sales Agent, as an agent of the Company, for sales of the Securities shall be at a mutually agreed rate up to 2.0% of the gross sales price of the Securities sold pursuant to this </w:t>
      </w:r>
      <w:r>
        <w:rPr>
          <w:rFonts w:ascii="Arial" w:cs="Arial" w:eastAsia="Arial" w:hAnsi="Arial"/>
          <w:sz w:val="17"/>
          <w:szCs w:val="17"/>
          <w:u w:val="single" w:color="auto"/>
          <w:color w:val="auto"/>
        </w:rPr>
        <w:t>Section 2(a)</w:t>
      </w:r>
      <w:r>
        <w:rPr>
          <w:rFonts w:ascii="Arial" w:cs="Arial" w:eastAsia="Arial" w:hAnsi="Arial"/>
          <w:sz w:val="17"/>
          <w:szCs w:val="17"/>
          <w:color w:val="auto"/>
        </w:rPr>
        <w:t>. The foregoing rate of compensation shall not apply when the Sales Agent acts as principal, in which case the Company may sell Securities to the Sales Agent as principal at a price agreed upon at the relevant applicable time pursuant to a separate agreement (each, a “Terms Agreement”) relating to such sale. The remaining proceeds, after further deduction for any transaction fees imposed by any governmental or self-regulatory organization in</w:t>
      </w:r>
    </w:p>
    <w:p>
      <w:pPr>
        <w:spacing w:after="0" w:line="11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40"/>
          </w:cols>
          <w:pgMar w:left="880" w:top="274" w:right="479" w:bottom="1440" w:gutter="0" w:footer="0" w:header="0"/>
        </w:sectPr>
      </w:pPr>
    </w:p>
    <w:bookmarkStart w:id="65" w:name="page66"/>
    <w:bookmarkEnd w:id="65"/>
    <w:p>
      <w:pPr>
        <w:ind w:left="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such sales, shall constitute the net proceeds to the Company for such Securities (the “Net Proceeds”). The Sales Agent shall notify the Company as promptly as practicable if any deduction referenced in the preceding sentence will be made.</w:t>
      </w:r>
    </w:p>
    <w:p>
      <w:pPr>
        <w:spacing w:after="0" w:line="62" w:lineRule="exact"/>
        <w:rPr>
          <w:sz w:val="20"/>
          <w:szCs w:val="20"/>
          <w:color w:val="auto"/>
        </w:rPr>
      </w:pPr>
    </w:p>
    <w:p>
      <w:pPr>
        <w:jc w:val="both"/>
        <w:ind w:left="440" w:right="20" w:firstLine="948"/>
        <w:spacing w:after="0" w:line="259" w:lineRule="auto"/>
        <w:tabs>
          <w:tab w:leader="none" w:pos="1778"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The Sales Agent shall provide written confirmation to the Company as soon as practicable following the close of trading on the Nasdaq Global Select Market each day on which the Securities are sold under this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setting forth the aggregate amount of the Securities sold on such day, the aggregate Net Proceeds to the Company, and the aggregate compensation payable by the Company to the Sales Agent with respect to such sales.</w:t>
      </w:r>
    </w:p>
    <w:p>
      <w:pPr>
        <w:spacing w:after="0" w:line="78" w:lineRule="exact"/>
        <w:rPr>
          <w:rFonts w:ascii="Arial" w:cs="Arial" w:eastAsia="Arial" w:hAnsi="Arial"/>
          <w:sz w:val="18"/>
          <w:szCs w:val="18"/>
          <w:color w:val="auto"/>
        </w:rPr>
      </w:pPr>
    </w:p>
    <w:p>
      <w:pPr>
        <w:ind w:left="440" w:right="40" w:firstLine="948"/>
        <w:spacing w:after="0" w:line="286" w:lineRule="auto"/>
        <w:tabs>
          <w:tab w:leader="none" w:pos="1832" w:val="left"/>
        </w:tabs>
        <w:numPr>
          <w:ilvl w:val="0"/>
          <w:numId w:val="77"/>
        </w:numPr>
        <w:rPr>
          <w:rFonts w:ascii="Arial" w:cs="Arial" w:eastAsia="Arial" w:hAnsi="Arial"/>
          <w:sz w:val="16"/>
          <w:szCs w:val="16"/>
          <w:color w:val="auto"/>
        </w:rPr>
      </w:pPr>
      <w:r>
        <w:rPr>
          <w:rFonts w:ascii="Arial" w:cs="Arial" w:eastAsia="Arial" w:hAnsi="Arial"/>
          <w:sz w:val="16"/>
          <w:szCs w:val="16"/>
          <w:color w:val="auto"/>
        </w:rPr>
        <w:t xml:space="preserve">Settlement for sales of the Securities pursuant to this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will occur on the second Trading Day following the date on which such sales are made, unless another date shall be agreed upon by the Company and the Sales Agent (provided that, if such Trading Day is not a business day, then settlement will occur on the next succeeding Trading Day that is also a business day) (each such date, a “Settlement Date”). As used herein, the term “business day” means any day other than a Saturday, Sunday or other day on which commercial banks in The City of New York are authorized or required by law, regulation or executive order to close. On each Settlement Date, the Securities sold through the Sales Agent for settlement on such date shall be delivered by the Company (through its transfer agent) to the Sales Agent against payment of the Net Proceeds for the sale of such Securities. Settlement for all such Securities shall be effected by electronically transferring the Securities by the Company to the Sales Agent’s account, or to the account of the Sales Agent’s designee, at DTC through its Deposit and Withdrawal at Custodian System (“DWAC”) or by such other means of delivery as may be mutually agreed upon by the Company and the Sales Agent, which in all cases shall be freely tradable, transferable, registered shares eligible for delivery through DTC, in return for payments in same day funds delivered to the account designated by the Company. If the Company (or its transfer agent) shall default on its obligation to deliver the Securities on any Settlement Date, the Company shall (A) indemnify and hold the Sales Agent harmless against any loss, claim or damage arising from or as a result of such default by the Company and (B) pay the Sales Agent any commission to which it would otherwise be entitled absent such default. The Authorized Representatives, or any designees thereof as notified to the Sales Agent in writing, shall be the contact persons for the Company for all matters related to the settlement of the transfer of the Securities through DWAC for purposes of this </w:t>
      </w:r>
      <w:r>
        <w:rPr>
          <w:rFonts w:ascii="Arial" w:cs="Arial" w:eastAsia="Arial" w:hAnsi="Arial"/>
          <w:sz w:val="16"/>
          <w:szCs w:val="16"/>
          <w:u w:val="single" w:color="auto"/>
          <w:color w:val="auto"/>
        </w:rPr>
        <w:t>Section 2(a)(vi)</w:t>
      </w:r>
      <w:r>
        <w:rPr>
          <w:rFonts w:ascii="Arial" w:cs="Arial" w:eastAsia="Arial" w:hAnsi="Arial"/>
          <w:sz w:val="16"/>
          <w:szCs w:val="16"/>
          <w:color w:val="auto"/>
        </w:rPr>
        <w:t>.</w:t>
      </w:r>
    </w:p>
    <w:p>
      <w:pPr>
        <w:spacing w:after="0" w:line="59" w:lineRule="exact"/>
        <w:rPr>
          <w:rFonts w:ascii="Arial" w:cs="Arial" w:eastAsia="Arial" w:hAnsi="Arial"/>
          <w:sz w:val="16"/>
          <w:szCs w:val="16"/>
          <w:color w:val="auto"/>
        </w:rPr>
      </w:pPr>
    </w:p>
    <w:p>
      <w:pPr>
        <w:ind w:left="440" w:right="40" w:firstLine="948"/>
        <w:spacing w:after="0" w:line="259" w:lineRule="auto"/>
        <w:tabs>
          <w:tab w:leader="none" w:pos="1872"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Any obligation of the Sales Agent to use its commercially reasonable efforts to sell the Securities on behalf of the Company shall be subject to the continuing accuracy of the representations and warranties of the Company, the Adviser and the Administrator, to the performance by the Company, the Adviser and the Administrator of their obligations hereunder and to the continuing satisfaction of the additional conditions specified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this Agreement.</w:t>
      </w:r>
    </w:p>
    <w:p>
      <w:pPr>
        <w:spacing w:after="0" w:line="187" w:lineRule="exact"/>
        <w:rPr>
          <w:sz w:val="20"/>
          <w:szCs w:val="20"/>
          <w:color w:val="auto"/>
        </w:rPr>
      </w:pPr>
    </w:p>
    <w:p>
      <w:pPr>
        <w:ind w:right="700" w:firstLine="987"/>
        <w:spacing w:after="0" w:line="342" w:lineRule="auto"/>
        <w:tabs>
          <w:tab w:leader="none" w:pos="1381"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If the Company wishes to sell the Securities other than as set forth in </w:t>
      </w:r>
      <w:r>
        <w:rPr>
          <w:rFonts w:ascii="Arial" w:cs="Arial" w:eastAsia="Arial" w:hAnsi="Arial"/>
          <w:sz w:val="16"/>
          <w:szCs w:val="16"/>
          <w:u w:val="single" w:color="auto"/>
          <w:color w:val="auto"/>
        </w:rPr>
        <w:t>Section 2(a)</w:t>
      </w:r>
      <w:r>
        <w:rPr>
          <w:rFonts w:ascii="Arial" w:cs="Arial" w:eastAsia="Arial" w:hAnsi="Arial"/>
          <w:sz w:val="16"/>
          <w:szCs w:val="16"/>
          <w:color w:val="auto"/>
        </w:rPr>
        <w:t xml:space="preserve"> of this Agreement, it may elect, in its sole discretion, to notify the Sales Agent of the proposed terms of such sale. If the Sales Agent, acting as principal, wishes to accept such proposed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66" w:name="page67"/>
    <w:bookmarkEnd w:id="66"/>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(which it may decline to do for any reason in its sole discretion) or, following discussions with the Company, wishes to accept amended terms, the Company will enter into a Terms Agreement setting forth the terms of such Placement. In the event of a conflict between the terms of this Agreement and the terms of any Terms Agreement, the terms of such Terms Agreement will control. For avoidance of doubt, nothing contained in this Agreement shall be construed to require the Company to engage the Sales Agent in connection with the offer and sale of any of its securities, including shares of the Common Stock, whether in connection with an underwritten offering or otherwise.</w:t>
      </w:r>
    </w:p>
    <w:p>
      <w:pPr>
        <w:spacing w:after="0" w:line="176"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In the event the Company engages the Sales Agent for a sale of Securities that would constitute the sale of a “block” under</w:t>
      </w:r>
    </w:p>
    <w:p>
      <w:pPr>
        <w:spacing w:after="0" w:line="23" w:lineRule="exact"/>
        <w:rPr>
          <w:sz w:val="20"/>
          <w:szCs w:val="20"/>
          <w:color w:val="auto"/>
        </w:rPr>
      </w:pPr>
    </w:p>
    <w:p>
      <w:pPr>
        <w:ind w:right="200"/>
        <w:spacing w:after="0" w:line="260" w:lineRule="auto"/>
        <w:rPr>
          <w:sz w:val="20"/>
          <w:szCs w:val="20"/>
          <w:color w:val="auto"/>
        </w:rPr>
      </w:pPr>
      <w:r>
        <w:rPr>
          <w:rFonts w:ascii="Arial" w:cs="Arial" w:eastAsia="Arial" w:hAnsi="Arial"/>
          <w:sz w:val="18"/>
          <w:szCs w:val="18"/>
          <w:color w:val="auto"/>
        </w:rPr>
        <w:t>Rule 10b-18(a)(5) under the 1934 Act, or a “distribution,” within the meaning of Rule 100 of Regulation M under the 1934 Act, the Company and the Sales Agent will agree to compensation that is customary for the Sales Agent with respect to such transactions.</w:t>
      </w:r>
    </w:p>
    <w:p>
      <w:pPr>
        <w:spacing w:after="0" w:line="185" w:lineRule="exact"/>
        <w:rPr>
          <w:sz w:val="20"/>
          <w:szCs w:val="20"/>
          <w:color w:val="auto"/>
        </w:rPr>
      </w:pPr>
    </w:p>
    <w:p>
      <w:pPr>
        <w:ind w:right="100" w:firstLine="987"/>
        <w:spacing w:after="0" w:line="263" w:lineRule="auto"/>
        <w:tabs>
          <w:tab w:leader="none" w:pos="1381" w:val="left"/>
        </w:tabs>
        <w:numPr>
          <w:ilvl w:val="0"/>
          <w:numId w:val="79"/>
        </w:numPr>
        <w:rPr>
          <w:rFonts w:ascii="Arial" w:cs="Arial" w:eastAsia="Arial" w:hAnsi="Arial"/>
          <w:sz w:val="18"/>
          <w:szCs w:val="18"/>
          <w:color w:val="auto"/>
        </w:rPr>
      </w:pPr>
      <w:r>
        <w:rPr>
          <w:rFonts w:ascii="Arial" w:cs="Arial" w:eastAsia="Arial" w:hAnsi="Arial"/>
          <w:sz w:val="18"/>
          <w:szCs w:val="18"/>
          <w:color w:val="auto"/>
        </w:rPr>
        <w:t>Under no circumstances shall the Company cause or request the offer or sale of any Securities if, after giving effect to the sale of such Securities, the aggregate gross sales proceeds or the aggregate number of the Securities sold pursuant to this Agreement would exceed the amount available for offer and sale under the currently effective Registration Statement.</w:t>
      </w:r>
    </w:p>
    <w:p>
      <w:pPr>
        <w:spacing w:after="0" w:line="183" w:lineRule="exact"/>
        <w:rPr>
          <w:rFonts w:ascii="Arial" w:cs="Arial" w:eastAsia="Arial" w:hAnsi="Arial"/>
          <w:sz w:val="18"/>
          <w:szCs w:val="18"/>
          <w:color w:val="auto"/>
        </w:rPr>
      </w:pPr>
    </w:p>
    <w:p>
      <w:pPr>
        <w:ind w:right="40" w:firstLine="987"/>
        <w:spacing w:after="0" w:line="296" w:lineRule="auto"/>
        <w:tabs>
          <w:tab w:leader="none" w:pos="1371" w:val="left"/>
        </w:tabs>
        <w:numPr>
          <w:ilvl w:val="0"/>
          <w:numId w:val="79"/>
        </w:numPr>
        <w:rPr>
          <w:rFonts w:ascii="Arial" w:cs="Arial" w:eastAsia="Arial" w:hAnsi="Arial"/>
          <w:sz w:val="16"/>
          <w:szCs w:val="16"/>
          <w:color w:val="auto"/>
        </w:rPr>
      </w:pPr>
      <w:r>
        <w:rPr>
          <w:rFonts w:ascii="Arial" w:cs="Arial" w:eastAsia="Arial" w:hAnsi="Arial"/>
          <w:sz w:val="16"/>
          <w:szCs w:val="16"/>
          <w:color w:val="auto"/>
        </w:rPr>
        <w:t>If any party has reason to believe that the exemptive provisions set forth in Rule 101(c)(1) of Regulation M under the 1934 Act are not satisfied with respect to the Securities, it shall promptly notify the other parties and sales of the Securities under this Agreement shall be suspended until that or other exemptive provisions have been satisfied in the judgment of each party. Upon the reasonable request of the Company in writing to the Sales Agent (which such request may be by electronic mail), the Sales Agent shall promptly calculate and provide in writing to the Company a report setting forth, for the prior week, the average daily trading volume (as defined in Rule 100 of Regulation M under the 1934 Act) of the Common Stock.</w:t>
      </w:r>
    </w:p>
    <w:p>
      <w:pPr>
        <w:spacing w:after="0" w:line="161" w:lineRule="exact"/>
        <w:rPr>
          <w:rFonts w:ascii="Arial" w:cs="Arial" w:eastAsia="Arial" w:hAnsi="Arial"/>
          <w:sz w:val="16"/>
          <w:szCs w:val="16"/>
          <w:color w:val="auto"/>
        </w:rPr>
      </w:pPr>
    </w:p>
    <w:p>
      <w:pPr>
        <w:ind w:right="60" w:firstLine="987"/>
        <w:spacing w:after="0" w:line="270" w:lineRule="auto"/>
        <w:tabs>
          <w:tab w:leader="none" w:pos="1351" w:val="left"/>
        </w:tabs>
        <w:numPr>
          <w:ilvl w:val="0"/>
          <w:numId w:val="79"/>
        </w:numPr>
        <w:rPr>
          <w:rFonts w:ascii="Arial" w:cs="Arial" w:eastAsia="Arial" w:hAnsi="Arial"/>
          <w:sz w:val="17"/>
          <w:szCs w:val="17"/>
          <w:color w:val="auto"/>
        </w:rPr>
      </w:pPr>
      <w:r>
        <w:rPr>
          <w:rFonts w:ascii="Arial" w:cs="Arial" w:eastAsia="Arial" w:hAnsi="Arial"/>
          <w:sz w:val="17"/>
          <w:szCs w:val="17"/>
          <w:color w:val="auto"/>
        </w:rPr>
        <w:t xml:space="preserve">Each sale of the Securities to or through the Sales Agent shall be made in accordance with the terms of this Agreement or, if applicable, a Terms Agreement. The commitment of the Sales Agent to purchase the Securities pursuant to any Terms Agreement shall be deemed to have been made on the basis of the representations and warranties of the parties herein contained and shall be subject to the terms and conditions herein set forth. Each Terms Agreement shall specify the number of the Securities to be purchased by the Sales Agent pursuant thereto, the price to be paid to the Company for such Securities, any provisions relating to rights of, and default by, underwriters acting together with the Sales Agent in the reoffering of the Securities, any provisions relating to the granting of an option to purchase additional Securities for the purpose of covering over-allotments, and the time and date (each such time and date being referred to herein as a “Date of Delivery”) and place of delivery of and payment for such Securities. Such Terms Agreement shall also specify any requirements for opinions of counsel, accountants’ letters and officers’ certificates pursuant to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hereof and any other information or documents required by the Sales Agent.</w:t>
      </w:r>
    </w:p>
    <w:p>
      <w:pPr>
        <w:spacing w:after="0" w:line="180" w:lineRule="exact"/>
        <w:rPr>
          <w:rFonts w:ascii="Arial" w:cs="Arial" w:eastAsia="Arial" w:hAnsi="Arial"/>
          <w:sz w:val="17"/>
          <w:szCs w:val="17"/>
          <w:color w:val="auto"/>
        </w:rPr>
      </w:pPr>
    </w:p>
    <w:p>
      <w:pPr>
        <w:ind w:right="280" w:firstLine="987"/>
        <w:spacing w:after="0" w:line="308" w:lineRule="auto"/>
        <w:tabs>
          <w:tab w:leader="none" w:pos="1381" w:val="left"/>
        </w:tabs>
        <w:numPr>
          <w:ilvl w:val="0"/>
          <w:numId w:val="79"/>
        </w:numPr>
        <w:rPr>
          <w:rFonts w:ascii="Arial" w:cs="Arial" w:eastAsia="Arial" w:hAnsi="Arial"/>
          <w:sz w:val="17"/>
          <w:szCs w:val="17"/>
          <w:color w:val="auto"/>
        </w:rPr>
      </w:pPr>
      <w:r>
        <w:rPr>
          <w:rFonts w:ascii="Arial" w:cs="Arial" w:eastAsia="Arial" w:hAnsi="Arial"/>
          <w:sz w:val="17"/>
          <w:szCs w:val="17"/>
          <w:color w:val="auto"/>
        </w:rPr>
        <w:t>Subject to such further limitations on offers and sales of Securities or delivery of instructions to offer and sell Securities as are set forth herein and as may be mutually agreed upon by the Company and the Sales Agent offers and sales of Securities pursuant to this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67" w:name="page68"/>
    <w:bookmarkEnd w:id="67"/>
    <w:p>
      <w:pPr>
        <w:ind w:left="4" w:right="6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shall not be requested by the Company and need not be made by the Sales Agent at any time when or during any period in which the Company is in possession of material non-public information.</w:t>
      </w:r>
    </w:p>
    <w:p>
      <w:pPr>
        <w:spacing w:after="0" w:line="170" w:lineRule="exact"/>
        <w:rPr>
          <w:sz w:val="20"/>
          <w:szCs w:val="20"/>
          <w:color w:val="auto"/>
        </w:rPr>
      </w:pPr>
    </w:p>
    <w:p>
      <w:pPr>
        <w:ind w:left="4" w:right="100" w:firstLine="987"/>
        <w:spacing w:after="0" w:line="254" w:lineRule="auto"/>
        <w:tabs>
          <w:tab w:leader="none" w:pos="138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acknowledges and agrees that (A) there can be no assurance that the Sales Agent will be successful in selling the Securities, (B) the Sales Agent will not incur liability or obligation to the Company or any other person or entity if such Sales Agent does not sell Securities for any reason other than a failure by the Sales Agent to use its commercially reasonable efforts consistent with its normal trading and sales practices and applicable law and regulations to sell such Securities in accordance with the terms of this Agreement and (C) the Sales Agent shall not be under any obligation to purchase Securities on a principal basis pursuant to this Agreement, except as otherwise specifically agreed in writing by the Sales Agent and the Company. For purposes of clarification, the Sales Agent shall only be deemed to be acting as a sales agent under this Agreement during the period beginning with the delivery of a Placement Notice from the Company to the Sales Agent and ending upon the suspension or termination of such Placement Notice.</w:t>
      </w:r>
    </w:p>
    <w:p>
      <w:pPr>
        <w:spacing w:after="0" w:line="191" w:lineRule="exact"/>
        <w:rPr>
          <w:rFonts w:ascii="Arial" w:cs="Arial" w:eastAsia="Arial" w:hAnsi="Arial"/>
          <w:sz w:val="18"/>
          <w:szCs w:val="18"/>
          <w:color w:val="auto"/>
        </w:rPr>
      </w:pPr>
    </w:p>
    <w:p>
      <w:pPr>
        <w:ind w:left="4" w:right="100" w:firstLine="987"/>
        <w:spacing w:after="0" w:line="254" w:lineRule="auto"/>
        <w:tabs>
          <w:tab w:leader="none" w:pos="134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agrees that, during the term of this Agreement, any offer to sell, any solicitation of an offer to buy, or any sales of Securities or sales of Common Stock pursuant to any At the Market Offering (as defined herein and within the meaning of Rule 415(a)(4) under the 1933 Act) shall only be effected by or through the Sales Agent or the Other Agent. Notwithstanding the foregoing or anything to the contrary in this Agreement, during the term of this Agreement, any offer to sell, any solicitation of an offer to buy, or any sales of Securities or sales of Common Stock that do not constitute an At the Market Offering (as defined herein and within the meaning of Rule 415(a)(4) under the 1933 Act), including any underwritten offering or private placement transaction exempt from the requirements of the 1933 Act, may be effected by the Company by or through any person or entity in the Company’s sole discretion.</w:t>
      </w:r>
    </w:p>
    <w:p>
      <w:pPr>
        <w:spacing w:after="0" w:line="195" w:lineRule="exact"/>
        <w:rPr>
          <w:sz w:val="20"/>
          <w:szCs w:val="20"/>
          <w:color w:val="auto"/>
        </w:rPr>
      </w:pPr>
    </w:p>
    <w:p>
      <w:pPr>
        <w:ind w:left="444"/>
        <w:spacing w:after="0"/>
        <w:tabs>
          <w:tab w:leader="none" w:pos="1544"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covenants with the Sales Agent as follows:</w:t>
      </w:r>
    </w:p>
    <w:p>
      <w:pPr>
        <w:spacing w:after="0" w:line="225" w:lineRule="exact"/>
        <w:rPr>
          <w:sz w:val="20"/>
          <w:szCs w:val="20"/>
          <w:color w:val="auto"/>
        </w:rPr>
      </w:pPr>
    </w:p>
    <w:p>
      <w:pPr>
        <w:ind w:left="4" w:right="400" w:firstLine="987"/>
        <w:spacing w:after="0" w:line="291" w:lineRule="auto"/>
        <w:tabs>
          <w:tab w:leader="none" w:pos="1375" w:val="left"/>
        </w:tabs>
        <w:numPr>
          <w:ilvl w:val="1"/>
          <w:numId w:val="81"/>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w:t>
      </w:r>
      <w:r>
        <w:rPr>
          <w:rFonts w:ascii="Arial" w:cs="Arial" w:eastAsia="Arial" w:hAnsi="Arial"/>
          <w:sz w:val="16"/>
          <w:szCs w:val="16"/>
          <w:color w:val="auto"/>
        </w:rPr>
        <w:t>. The Company, subject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3(c)</w:t>
      </w:r>
      <w:r>
        <w:rPr>
          <w:rFonts w:ascii="Arial" w:cs="Arial" w:eastAsia="Arial" w:hAnsi="Arial"/>
          <w:sz w:val="16"/>
          <w:szCs w:val="16"/>
          <w:color w:val="auto"/>
        </w:rPr>
        <w:t>, will comply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Rule 415, Rule 430B, Rule 497 and Rule 424(b), and will notify the Sales Agent immediately, and confirm the notice in writing,</w:t>
      </w:r>
    </w:p>
    <w:p>
      <w:pPr>
        <w:ind w:left="4" w:hanging="4"/>
        <w:spacing w:after="0" w:line="281" w:lineRule="auto"/>
        <w:tabs>
          <w:tab w:leader="none" w:pos="219" w:val="left"/>
        </w:tabs>
        <w:numPr>
          <w:ilvl w:val="0"/>
          <w:numId w:val="82"/>
        </w:numPr>
        <w:rPr>
          <w:rFonts w:ascii="Arial" w:cs="Arial" w:eastAsia="Arial" w:hAnsi="Arial"/>
          <w:sz w:val="16"/>
          <w:szCs w:val="16"/>
          <w:color w:val="auto"/>
        </w:rPr>
      </w:pPr>
      <w:r>
        <w:rPr>
          <w:rFonts w:ascii="Arial" w:cs="Arial" w:eastAsia="Arial" w:hAnsi="Arial"/>
          <w:sz w:val="16"/>
          <w:szCs w:val="16"/>
          <w:color w:val="auto"/>
        </w:rPr>
        <w:t>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w:t>
      </w:r>
    </w:p>
    <w:p>
      <w:pPr>
        <w:spacing w:after="0" w:line="3" w:lineRule="exact"/>
        <w:rPr>
          <w:rFonts w:ascii="Arial" w:cs="Arial" w:eastAsia="Arial" w:hAnsi="Arial"/>
          <w:sz w:val="16"/>
          <w:szCs w:val="16"/>
          <w:color w:val="auto"/>
        </w:rPr>
      </w:pPr>
    </w:p>
    <w:p>
      <w:pPr>
        <w:ind w:left="4" w:right="80" w:hanging="4"/>
        <w:spacing w:after="0" w:line="255" w:lineRule="auto"/>
        <w:tabs>
          <w:tab w:leader="none" w:pos="259"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Company becomes the subject of a proceeding under Section 8A of the 1933 Act in connection with the offering of the Securities. The Company will effect all filings required under Rule 424(b) and Rule 497 within the time period required by Rule 424(b) or Rule 497, as applicable, and will take such steps as it deems necessary</w:t>
      </w:r>
    </w:p>
    <w:p>
      <w:pPr>
        <w:spacing w:after="0" w:line="12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4"/>
          </w:cols>
          <w:pgMar w:left="436" w:top="274" w:right="479" w:bottom="1440" w:gutter="0" w:footer="0" w:header="0"/>
        </w:sectPr>
      </w:pPr>
    </w:p>
    <w:bookmarkStart w:id="68" w:name="page69"/>
    <w:bookmarkEnd w:id="68"/>
    <w:p>
      <w:pPr>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ascertain promptly whether the form of prospectus transmitted for filing under Rule 424(b) was received for filing by the Commission and, in the event that it was not, it will promptly file such prospectus. The Company will use its commercially reasonable efforts to prevent the issuance of any stop order, prevention or suspension and, if any such order is issued, to obtain the lifting thereof at the earliest possible moment.</w:t>
      </w:r>
    </w:p>
    <w:p>
      <w:pPr>
        <w:spacing w:after="0" w:line="165" w:lineRule="exact"/>
        <w:rPr>
          <w:sz w:val="20"/>
          <w:szCs w:val="20"/>
          <w:color w:val="auto"/>
        </w:rPr>
      </w:pPr>
    </w:p>
    <w:p>
      <w:pPr>
        <w:ind w:firstLine="987"/>
        <w:spacing w:after="0" w:line="254" w:lineRule="auto"/>
        <w:tabs>
          <w:tab w:leader="none" w:pos="1381"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Filing of Amendments</w:t>
      </w:r>
      <w:r>
        <w:rPr>
          <w:rFonts w:ascii="Arial" w:cs="Arial" w:eastAsia="Arial" w:hAnsi="Arial"/>
          <w:sz w:val="18"/>
          <w:szCs w:val="18"/>
          <w:color w:val="auto"/>
        </w:rPr>
        <w:t>. The Company will give the Sales Agent notice of its intention to file or prepare any amendment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(including any filing under Rule 462(b)) or to the Prospectus and will furnish the Sales Agent with copies of any such documents within a reasonable amount of time prior to such proposed filing or use, as the case may be, and will not file or use any such document to which the Sales Agent or counsel for the Sales Agent shall object. The Company shall give the Sales Agent notice of its intention to make any filings pursuant to the 1934 Act or the 1934 Rules and Regulations within 48 hours prior to the Applicable Time and will furnish the Sales Agent with copies of any such documents a reasonable amount of time prior to such proposed filing, as the case may be, and will not file or use any such document to which the Sales Agent or counsel for the Sales Agent shall reasonably object.</w:t>
      </w:r>
    </w:p>
    <w:p>
      <w:pPr>
        <w:spacing w:after="0" w:line="194" w:lineRule="exact"/>
        <w:rPr>
          <w:rFonts w:ascii="Arial" w:cs="Arial" w:eastAsia="Arial" w:hAnsi="Arial"/>
          <w:sz w:val="18"/>
          <w:szCs w:val="18"/>
          <w:color w:val="auto"/>
        </w:rPr>
      </w:pPr>
    </w:p>
    <w:p>
      <w:pPr>
        <w:ind w:firstLine="987"/>
        <w:spacing w:after="0" w:line="267" w:lineRule="auto"/>
        <w:tabs>
          <w:tab w:leader="none" w:pos="1371" w:val="left"/>
        </w:tabs>
        <w:numPr>
          <w:ilvl w:val="0"/>
          <w:numId w:val="84"/>
        </w:numPr>
        <w:rPr>
          <w:rFonts w:ascii="Arial" w:cs="Arial" w:eastAsia="Arial" w:hAnsi="Arial"/>
          <w:sz w:val="17"/>
          <w:szCs w:val="17"/>
          <w:color w:val="auto"/>
        </w:rPr>
      </w:pPr>
      <w:r>
        <w:rPr>
          <w:rFonts w:ascii="Arial" w:cs="Arial" w:eastAsia="Arial" w:hAnsi="Arial"/>
          <w:sz w:val="17"/>
          <w:szCs w:val="17"/>
          <w:i w:val="1"/>
          <w:iCs w:val="1"/>
          <w:color w:val="auto"/>
        </w:rPr>
        <w:t>Continued Compliance with Securities Laws</w:t>
      </w:r>
      <w:r>
        <w:rPr>
          <w:rFonts w:ascii="Arial" w:cs="Arial" w:eastAsia="Arial" w:hAnsi="Arial"/>
          <w:sz w:val="17"/>
          <w:szCs w:val="17"/>
          <w:color w:val="auto"/>
        </w:rPr>
        <w:t>. The Company will use its commercially reasonable efforts to comply with the 1933 Act</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1933 Act Regulations so as to permit the completion of the distribution of the Securities as contemplated in this Agreement and in the Registration Statement and the Prospectus. If at any time when a prospectus relating to the Securities is required by the 1933 Act to be delivered in connection with sales of the Securities, any event shall occur or condition shall exist as a result of which it is necessary, in the opinion of counsel for the Sales Agent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Prospectus in order that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Prospectus, as the case may be, in order to comply with the requirements of the 1933 Act or the 1933 Act Regulations, the Company will promptly (A) give the Sales Agent notice of such event, (B) prepare any amendment or supplement as may be necessary to correct such statement or omission or to make the Registration Statement or the Prospectus comply with such requirements and, a reasonable amount of time prior to any proposed filing or use, furnish the Sales Agent with copies of any such amendment or supplement and (C) file with the Commission any such amendment or supplement. The Company will furnish to the Sales Agent such number of copies of such amendment or supplement as the Sales Agent may reasonably request. The Company has given the Sales Agent notice of any filings made pursuant to the 1934 Act or 1934 Act Regulations within 48 hours prior to the Applicable Time; the Company shall give the Sales Agent notice of its intention to make any such filing and shall furnish the Sales Agent with copies of any such documents a reasonable amount of time prior to such proposed filing or use, as the case may be.</w:t>
      </w:r>
    </w:p>
    <w:p>
      <w:pPr>
        <w:spacing w:after="0" w:line="191" w:lineRule="exact"/>
        <w:rPr>
          <w:rFonts w:ascii="Arial" w:cs="Arial" w:eastAsia="Arial" w:hAnsi="Arial"/>
          <w:sz w:val="17"/>
          <w:szCs w:val="17"/>
          <w:color w:val="auto"/>
        </w:rPr>
      </w:pPr>
    </w:p>
    <w:p>
      <w:pPr>
        <w:ind w:right="220" w:firstLine="987"/>
        <w:spacing w:after="0" w:line="277" w:lineRule="auto"/>
        <w:tabs>
          <w:tab w:leader="none" w:pos="1381" w:val="left"/>
        </w:tabs>
        <w:numPr>
          <w:ilvl w:val="0"/>
          <w:numId w:val="84"/>
        </w:numPr>
        <w:rPr>
          <w:rFonts w:ascii="Arial" w:cs="Arial" w:eastAsia="Arial" w:hAnsi="Arial"/>
          <w:sz w:val="18"/>
          <w:szCs w:val="18"/>
          <w:color w:val="auto"/>
        </w:rPr>
      </w:pPr>
      <w:r>
        <w:rPr>
          <w:rFonts w:ascii="Arial" w:cs="Arial" w:eastAsia="Arial" w:hAnsi="Arial"/>
          <w:sz w:val="18"/>
          <w:szCs w:val="18"/>
          <w:i w:val="1"/>
          <w:iCs w:val="1"/>
          <w:color w:val="auto"/>
        </w:rPr>
        <w:t>Delivery of Commission Filings</w:t>
      </w:r>
      <w:r>
        <w:rPr>
          <w:rFonts w:ascii="Arial" w:cs="Arial" w:eastAsia="Arial" w:hAnsi="Arial"/>
          <w:sz w:val="18"/>
          <w:szCs w:val="18"/>
          <w:color w:val="auto"/>
        </w:rPr>
        <w:t>. The Company has furnished or, upon written request of the Sales Agent, shall deliver to the Sales</w:t>
      </w:r>
      <w:r>
        <w:rPr>
          <w:rFonts w:ascii="Arial" w:cs="Arial" w:eastAsia="Arial" w:hAnsi="Arial"/>
          <w:sz w:val="18"/>
          <w:szCs w:val="18"/>
          <w:i w:val="1"/>
          <w:iCs w:val="1"/>
          <w:color w:val="auto"/>
        </w:rPr>
        <w:t xml:space="preserve"> </w:t>
      </w:r>
      <w:r>
        <w:rPr>
          <w:rFonts w:ascii="Arial" w:cs="Arial" w:eastAsia="Arial" w:hAnsi="Arial"/>
          <w:sz w:val="18"/>
          <w:szCs w:val="18"/>
          <w:color w:val="auto"/>
        </w:rPr>
        <w:t>Agent and counsel for the Sales Agent,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4" w:right="479" w:bottom="1440" w:gutter="0" w:footer="0" w:header="0"/>
        </w:sectPr>
      </w:pPr>
    </w:p>
    <w:bookmarkStart w:id="69" w:name="page70"/>
    <w:bookmarkEnd w:id="69"/>
    <w:p>
      <w:pPr>
        <w:ind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charge, conformed copies of the Registration Statement, as originally filed, and of each amendment thereto (including exhibits filed therewith) and conformed copies of all consents and certificates of experts, and will also deliver to the Sales Agent, without charge, a conformed copy of the Registration Statement as originally filed and of each amendment thereto (without exhibits) for the Sales Agent. The copies of the Registration Statement and each amendment thereto furnished to the Sales Agent will be identical to the electronically transmitted copies thereof filed with the Commission pursuant to EDGAR, except to the extent permitted by Regulation S-T.</w:t>
      </w:r>
    </w:p>
    <w:p>
      <w:pPr>
        <w:spacing w:after="0" w:line="188" w:lineRule="exact"/>
        <w:rPr>
          <w:sz w:val="20"/>
          <w:szCs w:val="20"/>
          <w:color w:val="auto"/>
        </w:rPr>
      </w:pPr>
    </w:p>
    <w:p>
      <w:pPr>
        <w:ind w:right="40" w:firstLine="987"/>
        <w:spacing w:after="0" w:line="301" w:lineRule="auto"/>
        <w:tabs>
          <w:tab w:leader="none" w:pos="1371" w:val="left"/>
        </w:tabs>
        <w:numPr>
          <w:ilvl w:val="0"/>
          <w:numId w:val="85"/>
        </w:numPr>
        <w:rPr>
          <w:rFonts w:ascii="Arial" w:cs="Arial" w:eastAsia="Arial" w:hAnsi="Arial"/>
          <w:sz w:val="16"/>
          <w:szCs w:val="16"/>
          <w:color w:val="auto"/>
        </w:rPr>
      </w:pPr>
      <w:r>
        <w:rPr>
          <w:rFonts w:ascii="Arial" w:cs="Arial" w:eastAsia="Arial" w:hAnsi="Arial"/>
          <w:sz w:val="16"/>
          <w:szCs w:val="16"/>
          <w:i w:val="1"/>
          <w:iCs w:val="1"/>
          <w:color w:val="auto"/>
        </w:rPr>
        <w:t>Delivery of Prospectuses</w:t>
      </w:r>
      <w:r>
        <w:rPr>
          <w:rFonts w:ascii="Arial" w:cs="Arial" w:eastAsia="Arial" w:hAnsi="Arial"/>
          <w:sz w:val="16"/>
          <w:szCs w:val="16"/>
          <w:color w:val="auto"/>
        </w:rPr>
        <w:t>. The Company will furnish to the Sales Agent, without charge, during the period when a prospectus relating</w:t>
      </w:r>
      <w:r>
        <w:rPr>
          <w:rFonts w:ascii="Arial" w:cs="Arial" w:eastAsia="Arial" w:hAnsi="Arial"/>
          <w:sz w:val="16"/>
          <w:szCs w:val="16"/>
          <w:i w:val="1"/>
          <w:iCs w:val="1"/>
          <w:color w:val="auto"/>
        </w:rPr>
        <w:t xml:space="preserve"> </w:t>
      </w:r>
      <w:r>
        <w:rPr>
          <w:rFonts w:ascii="Arial" w:cs="Arial" w:eastAsia="Arial" w:hAnsi="Arial"/>
          <w:sz w:val="16"/>
          <w:szCs w:val="16"/>
          <w:color w:val="auto"/>
        </w:rPr>
        <w:t>to the Securities is required to be delivered under the 1933 Act, such number of copies of the Prospectus (as amended or supplemented) as the Sales Agent may reasonably request. The Prospectus and any amendments or supplements thereto furnished to the Sales Agent will be identical to the electronically transmitted copies thereof filed with the Commission pursuant to EDGAR, except to the extent permitted by Regulation S-T.</w:t>
      </w:r>
    </w:p>
    <w:p>
      <w:pPr>
        <w:spacing w:after="0" w:line="157" w:lineRule="exact"/>
        <w:rPr>
          <w:rFonts w:ascii="Arial" w:cs="Arial" w:eastAsia="Arial" w:hAnsi="Arial"/>
          <w:sz w:val="16"/>
          <w:szCs w:val="16"/>
          <w:color w:val="auto"/>
        </w:rPr>
      </w:pPr>
    </w:p>
    <w:p>
      <w:pPr>
        <w:ind w:right="20" w:firstLine="987"/>
        <w:spacing w:after="0" w:line="255" w:lineRule="auto"/>
        <w:tabs>
          <w:tab w:leader="none" w:pos="1351"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Blue Sky Qualifications</w:t>
      </w:r>
      <w:r>
        <w:rPr>
          <w:rFonts w:ascii="Arial" w:cs="Arial" w:eastAsia="Arial" w:hAnsi="Arial"/>
          <w:sz w:val="18"/>
          <w:szCs w:val="18"/>
          <w:color w:val="auto"/>
        </w:rPr>
        <w:t>. The Company will use its commercially reasonable efforts, in cooperation with the Sales Agent, to qualify</w:t>
      </w:r>
      <w:r>
        <w:rPr>
          <w:rFonts w:ascii="Arial" w:cs="Arial" w:eastAsia="Arial" w:hAnsi="Arial"/>
          <w:sz w:val="18"/>
          <w:szCs w:val="18"/>
          <w:i w:val="1"/>
          <w:iCs w:val="1"/>
          <w:color w:val="auto"/>
        </w:rPr>
        <w:t xml:space="preserve"> </w:t>
      </w:r>
      <w:r>
        <w:rPr>
          <w:rFonts w:ascii="Arial" w:cs="Arial" w:eastAsia="Arial" w:hAnsi="Arial"/>
          <w:sz w:val="18"/>
          <w:szCs w:val="18"/>
          <w:color w:val="auto"/>
        </w:rPr>
        <w:t>the Securities for offering and sale under the applicable securities laws of such states and other jurisdictions (domestic or foreign) as the Sales Agent may designate and to maintain such qualifications in effect so long as reasonably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92" w:lineRule="exact"/>
        <w:rPr>
          <w:rFonts w:ascii="Arial" w:cs="Arial" w:eastAsia="Arial" w:hAnsi="Arial"/>
          <w:sz w:val="18"/>
          <w:szCs w:val="18"/>
          <w:color w:val="auto"/>
        </w:rPr>
      </w:pPr>
    </w:p>
    <w:p>
      <w:pPr>
        <w:ind w:firstLine="987"/>
        <w:spacing w:after="0" w:line="279" w:lineRule="auto"/>
        <w:tabs>
          <w:tab w:leader="none" w:pos="1381"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Rule 158</w:t>
      </w:r>
      <w:r>
        <w:rPr>
          <w:rFonts w:ascii="Arial" w:cs="Arial" w:eastAsia="Arial" w:hAnsi="Arial"/>
          <w:sz w:val="17"/>
          <w:szCs w:val="17"/>
          <w:color w:val="auto"/>
        </w:rPr>
        <w:t>. The Company will make generally available to its securityholders as soon as practicable an earnings statement that satisfies</w:t>
      </w:r>
      <w:r>
        <w:rPr>
          <w:rFonts w:ascii="Arial" w:cs="Arial" w:eastAsia="Arial" w:hAnsi="Arial"/>
          <w:sz w:val="17"/>
          <w:szCs w:val="17"/>
          <w:i w:val="1"/>
          <w:iCs w:val="1"/>
          <w:color w:val="auto"/>
        </w:rPr>
        <w:t xml:space="preserve"> </w:t>
      </w:r>
      <w:r>
        <w:rPr>
          <w:rFonts w:ascii="Arial" w:cs="Arial" w:eastAsia="Arial" w:hAnsi="Arial"/>
          <w:sz w:val="17"/>
          <w:szCs w:val="17"/>
          <w:color w:val="auto"/>
        </w:rPr>
        <w:t>the provisions of Section 11(a) of the 1933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have complied with such request by filing such an earnings statement on EDGAR.</w:t>
      </w:r>
    </w:p>
    <w:p>
      <w:pPr>
        <w:spacing w:after="0" w:line="171" w:lineRule="exact"/>
        <w:rPr>
          <w:rFonts w:ascii="Arial" w:cs="Arial" w:eastAsia="Arial" w:hAnsi="Arial"/>
          <w:sz w:val="17"/>
          <w:szCs w:val="17"/>
          <w:color w:val="auto"/>
        </w:rPr>
      </w:pPr>
    </w:p>
    <w:p>
      <w:pPr>
        <w:ind w:right="200" w:firstLine="987"/>
        <w:spacing w:after="0" w:line="277" w:lineRule="auto"/>
        <w:tabs>
          <w:tab w:leader="none" w:pos="1381"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 will use its commercially reasonable best efforts to maintain the listing of the Common Stock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on the Nasdaq Global Select Market.</w:t>
      </w:r>
    </w:p>
    <w:p>
      <w:pPr>
        <w:spacing w:after="0" w:line="170" w:lineRule="exact"/>
        <w:rPr>
          <w:rFonts w:ascii="Arial" w:cs="Arial" w:eastAsia="Arial" w:hAnsi="Arial"/>
          <w:sz w:val="18"/>
          <w:szCs w:val="18"/>
          <w:color w:val="auto"/>
        </w:rPr>
      </w:pPr>
    </w:p>
    <w:p>
      <w:pPr>
        <w:ind w:right="140" w:firstLine="987"/>
        <w:spacing w:after="0" w:line="277" w:lineRule="auto"/>
        <w:tabs>
          <w:tab w:leader="none" w:pos="1341" w:val="left"/>
        </w:tabs>
        <w:numPr>
          <w:ilvl w:val="0"/>
          <w:numId w:val="85"/>
        </w:numPr>
        <w:rPr>
          <w:rFonts w:ascii="Arial" w:cs="Arial" w:eastAsia="Arial" w:hAnsi="Arial"/>
          <w:sz w:val="18"/>
          <w:szCs w:val="18"/>
          <w:color w:val="auto"/>
        </w:rPr>
      </w:pPr>
      <w:r>
        <w:rPr>
          <w:rFonts w:ascii="Arial" w:cs="Arial" w:eastAsia="Arial" w:hAnsi="Arial"/>
          <w:sz w:val="18"/>
          <w:szCs w:val="18"/>
          <w:i w:val="1"/>
          <w:iCs w:val="1"/>
          <w:color w:val="auto"/>
        </w:rPr>
        <w:t xml:space="preserve">DTC. </w:t>
      </w:r>
      <w:r>
        <w:rPr>
          <w:rFonts w:ascii="Arial" w:cs="Arial" w:eastAsia="Arial" w:hAnsi="Arial"/>
          <w:sz w:val="18"/>
          <w:szCs w:val="18"/>
          <w:color w:val="auto"/>
        </w:rPr>
        <w:t>The Company will cooperate with the Sales Agent and use its commercially reasonable efforts to permit the offered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to be eligible for clearance and settlement through the facilities of DTC.</w:t>
      </w:r>
    </w:p>
    <w:p>
      <w:pPr>
        <w:spacing w:after="0" w:line="170" w:lineRule="exact"/>
        <w:rPr>
          <w:rFonts w:ascii="Arial" w:cs="Arial" w:eastAsia="Arial" w:hAnsi="Arial"/>
          <w:sz w:val="18"/>
          <w:szCs w:val="18"/>
          <w:color w:val="auto"/>
        </w:rPr>
      </w:pPr>
    </w:p>
    <w:p>
      <w:pPr>
        <w:ind w:right="40" w:firstLine="987"/>
        <w:spacing w:after="0" w:line="279" w:lineRule="auto"/>
        <w:tabs>
          <w:tab w:leader="none" w:pos="1341" w:val="left"/>
        </w:tabs>
        <w:numPr>
          <w:ilvl w:val="0"/>
          <w:numId w:val="85"/>
        </w:numPr>
        <w:rPr>
          <w:rFonts w:ascii="Arial" w:cs="Arial" w:eastAsia="Arial" w:hAnsi="Arial"/>
          <w:sz w:val="17"/>
          <w:szCs w:val="17"/>
          <w:color w:val="auto"/>
        </w:rPr>
      </w:pPr>
      <w:r>
        <w:rPr>
          <w:rFonts w:ascii="Arial" w:cs="Arial" w:eastAsia="Arial" w:hAnsi="Arial"/>
          <w:sz w:val="17"/>
          <w:szCs w:val="17"/>
          <w:i w:val="1"/>
          <w:iCs w:val="1"/>
          <w:color w:val="auto"/>
        </w:rPr>
        <w:t>Use of Proceeds; OFAC</w:t>
      </w:r>
      <w:r>
        <w:rPr>
          <w:rFonts w:ascii="Arial" w:cs="Arial" w:eastAsia="Arial" w:hAnsi="Arial"/>
          <w:sz w:val="17"/>
          <w:szCs w:val="17"/>
          <w:color w:val="auto"/>
        </w:rPr>
        <w:t>. The Company will use the net proceeds received by it from the sale of the Securities in the manner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Registration Statement and the Prospectus under “Use of Proceeds.” The Company will not directly or, to its knowledge, indirectly, use the proceeds of the sale of the Securities, or lend, contribute or otherwise make available such proceeds to any subsidiaries, joint venture partners or other Person, to fund any activities of or business with any Person, or in any country or territory, that, at the time of such</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70" w:name="page71"/>
    <w:bookmarkEnd w:id="70"/>
    <w:p>
      <w:pPr>
        <w:ind w:left="4" w:right="1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funding, is the subject of Sanctions (to the extent that such action would result in the violation by any person (including any person participating in the transaction, whether as underwriter, adviser, investor or otherwise) of Sanctions) or in any other manner that will result in a violation by any Person (including any Person participating in the transaction, whether as underwriter, advisor, investor or otherwise) of Sanctions.</w:t>
      </w:r>
    </w:p>
    <w:p>
      <w:pPr>
        <w:spacing w:after="0" w:line="165" w:lineRule="exact"/>
        <w:rPr>
          <w:sz w:val="20"/>
          <w:szCs w:val="20"/>
          <w:color w:val="auto"/>
        </w:rPr>
      </w:pPr>
    </w:p>
    <w:p>
      <w:pPr>
        <w:ind w:left="4" w:right="220" w:firstLine="987"/>
        <w:spacing w:after="0" w:line="263" w:lineRule="auto"/>
        <w:tabs>
          <w:tab w:leader="none" w:pos="1385"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required to be delivered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1933 Act, will file all documents required to be filed with the Commission pursuant to the 1934 Act within the time periods required by the 1934 Act and 1934 Act Regulations.</w:t>
      </w:r>
    </w:p>
    <w:p>
      <w:pPr>
        <w:spacing w:after="0" w:line="183" w:lineRule="exact"/>
        <w:rPr>
          <w:rFonts w:ascii="Arial" w:cs="Arial" w:eastAsia="Arial" w:hAnsi="Arial"/>
          <w:sz w:val="18"/>
          <w:szCs w:val="18"/>
          <w:color w:val="auto"/>
        </w:rPr>
      </w:pPr>
    </w:p>
    <w:p>
      <w:pPr>
        <w:ind w:left="4" w:firstLine="987"/>
        <w:spacing w:after="0" w:line="311" w:lineRule="auto"/>
        <w:tabs>
          <w:tab w:leader="none" w:pos="1345" w:val="left"/>
        </w:tabs>
        <w:numPr>
          <w:ilvl w:val="1"/>
          <w:numId w:val="86"/>
        </w:numPr>
        <w:rPr>
          <w:rFonts w:ascii="Arial" w:cs="Arial" w:eastAsia="Arial" w:hAnsi="Arial"/>
          <w:sz w:val="16"/>
          <w:szCs w:val="16"/>
          <w:color w:val="auto"/>
        </w:rPr>
      </w:pPr>
      <w:r>
        <w:rPr>
          <w:rFonts w:ascii="Arial" w:cs="Arial" w:eastAsia="Arial" w:hAnsi="Arial"/>
          <w:sz w:val="16"/>
          <w:szCs w:val="16"/>
          <w:i w:val="1"/>
          <w:iCs w:val="1"/>
          <w:color w:val="auto"/>
        </w:rPr>
        <w:t>Business Development Company Status</w:t>
      </w:r>
      <w:r>
        <w:rPr>
          <w:rFonts w:ascii="Arial" w:cs="Arial" w:eastAsia="Arial" w:hAnsi="Arial"/>
          <w:sz w:val="16"/>
          <w:szCs w:val="16"/>
          <w:color w:val="auto"/>
        </w:rPr>
        <w:t>. The Company will use its commercially reasonable efforts to maintain its status as a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company; provided, however, the Company may cease to be, or withdraw its election as, a business development company, with the approval of the board of directors and a vote of stockholders as required by Section 58 of the 1940 Act or any successor provision.</w:t>
      </w:r>
    </w:p>
    <w:p>
      <w:pPr>
        <w:spacing w:after="0" w:line="148" w:lineRule="exact"/>
        <w:rPr>
          <w:rFonts w:ascii="Arial" w:cs="Arial" w:eastAsia="Arial" w:hAnsi="Arial"/>
          <w:sz w:val="16"/>
          <w:szCs w:val="16"/>
          <w:color w:val="auto"/>
        </w:rPr>
      </w:pPr>
    </w:p>
    <w:p>
      <w:pPr>
        <w:jc w:val="both"/>
        <w:ind w:left="4" w:right="140" w:firstLine="987"/>
        <w:spacing w:after="0" w:line="263" w:lineRule="auto"/>
        <w:tabs>
          <w:tab w:leader="none" w:pos="1435"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Regulated Investment Company Status</w:t>
      </w:r>
      <w:r>
        <w:rPr>
          <w:rFonts w:ascii="Arial" w:cs="Arial" w:eastAsia="Arial" w:hAnsi="Arial"/>
          <w:sz w:val="18"/>
          <w:szCs w:val="18"/>
          <w:color w:val="auto"/>
        </w:rPr>
        <w:t>. The Company will use its commercially reasonable efforts to maintain its qualification as a</w:t>
      </w:r>
      <w:r>
        <w:rPr>
          <w:rFonts w:ascii="Arial" w:cs="Arial" w:eastAsia="Arial" w:hAnsi="Arial"/>
          <w:sz w:val="18"/>
          <w:szCs w:val="18"/>
          <w:i w:val="1"/>
          <w:iCs w:val="1"/>
          <w:color w:val="auto"/>
        </w:rPr>
        <w:t xml:space="preserve"> </w:t>
      </w:r>
      <w:r>
        <w:rPr>
          <w:rFonts w:ascii="Arial" w:cs="Arial" w:eastAsia="Arial" w:hAnsi="Arial"/>
          <w:sz w:val="18"/>
          <w:szCs w:val="18"/>
          <w:color w:val="auto"/>
        </w:rPr>
        <w:t>regulated investment company under Subchapter M of the Code for each full fiscal year during which it is a business development company under the 1940 Act.</w:t>
      </w:r>
    </w:p>
    <w:p>
      <w:pPr>
        <w:spacing w:after="0" w:line="183" w:lineRule="exact"/>
        <w:rPr>
          <w:rFonts w:ascii="Arial" w:cs="Arial" w:eastAsia="Arial" w:hAnsi="Arial"/>
          <w:sz w:val="18"/>
          <w:szCs w:val="18"/>
          <w:color w:val="auto"/>
        </w:rPr>
      </w:pPr>
    </w:p>
    <w:p>
      <w:pPr>
        <w:ind w:left="4" w:right="20" w:firstLine="987"/>
        <w:spacing w:after="0" w:line="259" w:lineRule="auto"/>
        <w:tabs>
          <w:tab w:leader="none" w:pos="1385" w:val="left"/>
        </w:tabs>
        <w:numPr>
          <w:ilvl w:val="1"/>
          <w:numId w:val="86"/>
        </w:numPr>
        <w:rPr>
          <w:rFonts w:ascii="Arial" w:cs="Arial" w:eastAsia="Arial" w:hAnsi="Arial"/>
          <w:sz w:val="18"/>
          <w:szCs w:val="18"/>
          <w:color w:val="auto"/>
        </w:rPr>
      </w:pPr>
      <w:r>
        <w:rPr>
          <w:rFonts w:ascii="Arial" w:cs="Arial" w:eastAsia="Arial" w:hAnsi="Arial"/>
          <w:sz w:val="18"/>
          <w:szCs w:val="18"/>
          <w:i w:val="1"/>
          <w:iCs w:val="1"/>
          <w:color w:val="auto"/>
        </w:rPr>
        <w:t>Annual Compliance Reviews</w:t>
      </w:r>
      <w:r>
        <w:rPr>
          <w:rFonts w:ascii="Arial" w:cs="Arial" w:eastAsia="Arial" w:hAnsi="Arial"/>
          <w:sz w:val="18"/>
          <w:szCs w:val="18"/>
          <w:color w:val="auto"/>
        </w:rPr>
        <w:t>. The Company will retain qualified accountants and qualified tax experts to (i) test procedures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conduct annual compliance reviews designed to determine compliance with the regulated investment company provisions of the Code and (ii) otherwise assist the Company in monitoring appropriate accounting systems and procedures designed to determine compliance with the regulated investment company provisions of the Code.</w:t>
      </w:r>
    </w:p>
    <w:p>
      <w:pPr>
        <w:spacing w:after="0" w:line="186" w:lineRule="exact"/>
        <w:rPr>
          <w:rFonts w:ascii="Arial" w:cs="Arial" w:eastAsia="Arial" w:hAnsi="Arial"/>
          <w:sz w:val="18"/>
          <w:szCs w:val="18"/>
          <w:color w:val="auto"/>
        </w:rPr>
      </w:pPr>
    </w:p>
    <w:p>
      <w:pPr>
        <w:ind w:left="4" w:right="440" w:firstLine="987"/>
        <w:spacing w:after="0" w:line="291" w:lineRule="auto"/>
        <w:tabs>
          <w:tab w:leader="none" w:pos="1385" w:val="left"/>
        </w:tabs>
        <w:numPr>
          <w:ilvl w:val="1"/>
          <w:numId w:val="86"/>
        </w:numPr>
        <w:rPr>
          <w:rFonts w:ascii="Arial" w:cs="Arial" w:eastAsia="Arial" w:hAnsi="Arial"/>
          <w:sz w:val="16"/>
          <w:szCs w:val="16"/>
          <w:color w:val="auto"/>
        </w:rPr>
      </w:pPr>
      <w:r>
        <w:rPr>
          <w:rFonts w:ascii="Arial" w:cs="Arial" w:eastAsia="Arial" w:hAnsi="Arial"/>
          <w:sz w:val="16"/>
          <w:szCs w:val="16"/>
          <w:i w:val="1"/>
          <w:iCs w:val="1"/>
          <w:color w:val="auto"/>
        </w:rPr>
        <w:t>Accounting Controls</w:t>
      </w:r>
      <w:r>
        <w:rPr>
          <w:rFonts w:ascii="Arial" w:cs="Arial" w:eastAsia="Arial" w:hAnsi="Arial"/>
          <w:sz w:val="16"/>
          <w:szCs w:val="16"/>
          <w:color w:val="auto"/>
        </w:rPr>
        <w:t>. The Company will use commercially reasonable efforts to establish and maintain a system of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controls sufficient to provide reasonable assurances that (A) transactions are executed in accordance with management’s authorization;</w:t>
      </w:r>
    </w:p>
    <w:p>
      <w:pPr>
        <w:ind w:left="4" w:right="320" w:hanging="4"/>
        <w:spacing w:after="0" w:line="281" w:lineRule="auto"/>
        <w:tabs>
          <w:tab w:leader="none" w:pos="289" w:val="left"/>
        </w:tabs>
        <w:numPr>
          <w:ilvl w:val="0"/>
          <w:numId w:val="87"/>
        </w:numPr>
        <w:rPr>
          <w:rFonts w:ascii="Arial" w:cs="Arial" w:eastAsia="Arial" w:hAnsi="Arial"/>
          <w:sz w:val="16"/>
          <w:szCs w:val="16"/>
          <w:color w:val="auto"/>
        </w:rPr>
      </w:pPr>
      <w:r>
        <w:rPr>
          <w:rFonts w:ascii="Arial" w:cs="Arial" w:eastAsia="Arial" w:hAnsi="Arial"/>
          <w:sz w:val="16"/>
          <w:szCs w:val="16"/>
          <w:color w:val="auto"/>
        </w:rPr>
        <w:t>transactions are recorded as necessary to permit preparation of financial statements in conformity with GAAP and to maintain accountability for assets; (C) access to the Company’s consolidated assets is permitted only in accordance with management’s authorization; (D) the recorded accountability for assets is compared with the existing assets at reasonable intervals and appropriate action is taken with respect to any differences;</w:t>
      </w:r>
    </w:p>
    <w:p>
      <w:pPr>
        <w:spacing w:after="0" w:line="1" w:lineRule="exact"/>
        <w:rPr>
          <w:rFonts w:ascii="Arial" w:cs="Arial" w:eastAsia="Arial" w:hAnsi="Arial"/>
          <w:sz w:val="16"/>
          <w:szCs w:val="16"/>
          <w:color w:val="auto"/>
        </w:rPr>
      </w:pPr>
    </w:p>
    <w:p>
      <w:pPr>
        <w:ind w:left="4" w:right="60" w:hanging="4"/>
        <w:spacing w:after="0" w:line="271" w:lineRule="auto"/>
        <w:tabs>
          <w:tab w:leader="none" w:pos="279" w:val="left"/>
        </w:tabs>
        <w:numPr>
          <w:ilvl w:val="0"/>
          <w:numId w:val="88"/>
        </w:numPr>
        <w:rPr>
          <w:rFonts w:ascii="Arial" w:cs="Arial" w:eastAsia="Arial" w:hAnsi="Arial"/>
          <w:sz w:val="17"/>
          <w:szCs w:val="17"/>
          <w:color w:val="auto"/>
        </w:rPr>
      </w:pPr>
      <w:r>
        <w:rPr>
          <w:rFonts w:ascii="Arial" w:cs="Arial" w:eastAsia="Arial" w:hAnsi="Arial"/>
          <w:sz w:val="17"/>
          <w:szCs w:val="17"/>
          <w:color w:val="auto"/>
        </w:rPr>
        <w:t>material information relating to the Company and the assets managed by the Adviser is promptly made known to the officers responsible for establishing and maintaining the system of internal accounting controls; and (F) any significant deficiencies or weaknesses in the design or operation of internal accounting controls that could adversely affect the Company’s ability to record, process, summarize and report financial data, and any fraud whether or not material that involves management or other employees who have a significant role in internal controls, are adequately and promptly disclosed to the Company’s independent auditors and the audit committee of the Company’s board of directors.</w:t>
      </w:r>
    </w:p>
    <w:p>
      <w:pPr>
        <w:spacing w:after="0" w:line="178" w:lineRule="exact"/>
        <w:rPr>
          <w:rFonts w:ascii="Arial" w:cs="Arial" w:eastAsia="Arial" w:hAnsi="Arial"/>
          <w:sz w:val="17"/>
          <w:szCs w:val="17"/>
          <w:color w:val="auto"/>
        </w:rPr>
      </w:pPr>
    </w:p>
    <w:p>
      <w:pPr>
        <w:ind w:left="4" w:right="620" w:firstLine="987"/>
        <w:spacing w:after="0" w:line="277" w:lineRule="auto"/>
        <w:tabs>
          <w:tab w:leader="none" w:pos="1385" w:val="left"/>
        </w:tabs>
        <w:numPr>
          <w:ilvl w:val="1"/>
          <w:numId w:val="88"/>
        </w:numPr>
        <w:rPr>
          <w:rFonts w:ascii="Arial" w:cs="Arial" w:eastAsia="Arial" w:hAnsi="Arial"/>
          <w:sz w:val="18"/>
          <w:szCs w:val="18"/>
          <w:color w:val="auto"/>
        </w:rPr>
      </w:pPr>
      <w:r>
        <w:rPr>
          <w:rFonts w:ascii="Arial" w:cs="Arial" w:eastAsia="Arial" w:hAnsi="Arial"/>
          <w:sz w:val="18"/>
          <w:szCs w:val="18"/>
          <w:i w:val="1"/>
          <w:iCs w:val="1"/>
          <w:color w:val="auto"/>
        </w:rPr>
        <w:t>Disclosure Controls</w:t>
      </w:r>
      <w:r>
        <w:rPr>
          <w:rFonts w:ascii="Arial" w:cs="Arial" w:eastAsia="Arial" w:hAnsi="Arial"/>
          <w:sz w:val="18"/>
          <w:szCs w:val="18"/>
          <w:color w:val="auto"/>
        </w:rPr>
        <w:t>. The Company will use commercially reasonable efforts to establish and employ disclosure controls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that are designed to ensure that</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4"/>
          </w:cols>
          <w:pgMar w:left="436" w:top="274" w:right="479" w:bottom="1440" w:gutter="0" w:footer="0" w:header="0"/>
        </w:sectPr>
      </w:pPr>
    </w:p>
    <w:bookmarkStart w:id="71" w:name="page72"/>
    <w:bookmarkEnd w:id="71"/>
    <w:p>
      <w:pPr>
        <w:ind w:left="4"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required to be disclosed by the Company in the reports that it files or submits under the 1934 Act is recorded, processed, summarized and reported, within the time periods specified in the Commission’s rules and forms, and is accumulated and communicated to the Company’s management, including its principal executive officer or officers and principal financial officer or officers, as appropriate to allow timely decisions regarding disclosure.</w:t>
      </w:r>
    </w:p>
    <w:p>
      <w:pPr>
        <w:spacing w:after="0" w:line="187" w:lineRule="exact"/>
        <w:rPr>
          <w:sz w:val="20"/>
          <w:szCs w:val="20"/>
          <w:color w:val="auto"/>
        </w:rPr>
      </w:pPr>
    </w:p>
    <w:p>
      <w:pPr>
        <w:ind w:left="4" w:right="100" w:firstLine="987"/>
        <w:spacing w:after="0" w:line="293" w:lineRule="auto"/>
        <w:tabs>
          <w:tab w:leader="none" w:pos="1385" w:val="left"/>
        </w:tabs>
        <w:numPr>
          <w:ilvl w:val="0"/>
          <w:numId w:val="89"/>
        </w:numPr>
        <w:rPr>
          <w:rFonts w:ascii="Arial" w:cs="Arial" w:eastAsia="Arial" w:hAnsi="Arial"/>
          <w:sz w:val="16"/>
          <w:szCs w:val="16"/>
          <w:color w:val="auto"/>
        </w:rPr>
      </w:pPr>
      <w:r>
        <w:rPr>
          <w:rFonts w:ascii="Arial" w:cs="Arial" w:eastAsia="Arial" w:hAnsi="Arial"/>
          <w:sz w:val="16"/>
          <w:szCs w:val="16"/>
          <w:i w:val="1"/>
          <w:iCs w:val="1"/>
          <w:color w:val="auto"/>
        </w:rPr>
        <w:t>Issuer Free Writing Prospectus</w:t>
      </w:r>
      <w:r>
        <w:rPr>
          <w:rFonts w:ascii="Arial" w:cs="Arial" w:eastAsia="Arial" w:hAnsi="Arial"/>
          <w:sz w:val="16"/>
          <w:szCs w:val="16"/>
          <w:color w:val="auto"/>
        </w:rPr>
        <w:t>. The Company represents and agrees that, without the prior consent of the Sales Agent (i) it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 any offering material other than the Registration Statement or the Prospectus, and (ii) it has not made and will not make any offer relating to the Securities that would constitute a “free writing prospectus” as defined in Rule 405 under the 1933 Act,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Securities, including any in-person roadshow or investor presentations (including slides and scripts relating thereto) made to investors by or on behalf of the Company.</w:t>
      </w:r>
    </w:p>
    <w:p>
      <w:pPr>
        <w:spacing w:after="0" w:line="164" w:lineRule="exact"/>
        <w:rPr>
          <w:rFonts w:ascii="Arial" w:cs="Arial" w:eastAsia="Arial" w:hAnsi="Arial"/>
          <w:sz w:val="16"/>
          <w:szCs w:val="16"/>
          <w:color w:val="auto"/>
        </w:rPr>
      </w:pPr>
    </w:p>
    <w:p>
      <w:pPr>
        <w:ind w:left="4" w:firstLine="987"/>
        <w:spacing w:after="0" w:line="254" w:lineRule="auto"/>
        <w:tabs>
          <w:tab w:leader="none" w:pos="135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Due Diligence Matters. </w:t>
      </w:r>
      <w:r>
        <w:rPr>
          <w:rFonts w:ascii="Arial" w:cs="Arial" w:eastAsia="Arial" w:hAnsi="Arial"/>
          <w:sz w:val="18"/>
          <w:szCs w:val="18"/>
          <w:color w:val="auto"/>
        </w:rPr>
        <w:t>The Company will cooperate with any reasonable due diligence review conducted by the Sales Agent or its</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 agents in connection with the transactions contemplated hereby, including, without limitation, providing information and making available documents and senior officers, during regular business hours and at the Company’s principal offices, as either Agent may reasonably request. The parties acknowledge that the due diligence review contemplated by this Section 2(r) will include, without limitation, during the term of this Agreement a quarterly diligence conference to occur within five business days after each 10-Q filing or 10-K filing whereby the Company will make its senior corporate officers available to address diligence inquiries of the Sales Agent and will provide such additional information and documents as the Sales Agent may reasonably request.</w:t>
      </w:r>
    </w:p>
    <w:p>
      <w:pPr>
        <w:spacing w:after="0" w:line="194" w:lineRule="exact"/>
        <w:rPr>
          <w:rFonts w:ascii="Arial" w:cs="Arial" w:eastAsia="Arial" w:hAnsi="Arial"/>
          <w:sz w:val="18"/>
          <w:szCs w:val="18"/>
          <w:color w:val="auto"/>
        </w:rPr>
      </w:pPr>
    </w:p>
    <w:p>
      <w:pPr>
        <w:ind w:left="4" w:right="320" w:firstLine="987"/>
        <w:spacing w:after="0" w:line="277" w:lineRule="auto"/>
        <w:tabs>
          <w:tab w:leader="none" w:pos="1365" w:val="left"/>
        </w:tabs>
        <w:numPr>
          <w:ilvl w:val="0"/>
          <w:numId w:val="89"/>
        </w:numPr>
        <w:rPr>
          <w:rFonts w:ascii="Arial" w:cs="Arial" w:eastAsia="Arial" w:hAnsi="Arial"/>
          <w:sz w:val="18"/>
          <w:szCs w:val="18"/>
          <w:color w:val="auto"/>
        </w:rPr>
      </w:pPr>
      <w:r>
        <w:rPr>
          <w:rFonts w:ascii="Arial" w:cs="Arial" w:eastAsia="Arial" w:hAnsi="Arial"/>
          <w:sz w:val="18"/>
          <w:szCs w:val="18"/>
          <w:i w:val="1"/>
          <w:iCs w:val="1"/>
          <w:color w:val="auto"/>
        </w:rPr>
        <w:t xml:space="preserve">No Stabilization. </w:t>
      </w:r>
      <w:r>
        <w:rPr>
          <w:rFonts w:ascii="Arial" w:cs="Arial" w:eastAsia="Arial" w:hAnsi="Arial"/>
          <w:sz w:val="18"/>
          <w:szCs w:val="18"/>
          <w:color w:val="auto"/>
        </w:rPr>
        <w:t>The Company will not take, directly or indirectly, any action designed to or that could reasonably be expected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cause or result in any stabilization or manipulation of the price of the Securities.</w:t>
      </w:r>
    </w:p>
    <w:p>
      <w:pPr>
        <w:spacing w:after="0" w:line="170" w:lineRule="exact"/>
        <w:rPr>
          <w:rFonts w:ascii="Arial" w:cs="Arial" w:eastAsia="Arial" w:hAnsi="Arial"/>
          <w:sz w:val="18"/>
          <w:szCs w:val="18"/>
          <w:color w:val="auto"/>
        </w:rPr>
      </w:pPr>
    </w:p>
    <w:p>
      <w:pPr>
        <w:ind w:left="4" w:right="140" w:firstLine="987"/>
        <w:spacing w:after="0" w:line="259" w:lineRule="auto"/>
        <w:tabs>
          <w:tab w:leader="none" w:pos="1342"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Company agrees that any offer to sell, any solicitation of an offer to buy, or any sales of Securities pursuant to this Agreement, the Sales Agreement or any Terms Agreement shall only be effected by or through only one of Agent or the Other Agent, as applicable, at any given time as determined by the Company, but in no event by more than one of them, and the Company shall in no event request that more than one of Agent or the Other Agent sell Securities during such time period.</w:t>
      </w:r>
    </w:p>
    <w:p>
      <w:pPr>
        <w:spacing w:after="0" w:line="187" w:lineRule="exact"/>
        <w:rPr>
          <w:sz w:val="20"/>
          <w:szCs w:val="20"/>
          <w:color w:val="auto"/>
        </w:rPr>
      </w:pPr>
    </w:p>
    <w:p>
      <w:pPr>
        <w:ind w:left="4" w:right="20" w:firstLine="440"/>
        <w:spacing w:after="0" w:line="286"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shall pay or cause to be paid all expenses incident to the performance of its obligations under this Agreement, including (i) the preparation and filing of the Registration Statement, the Prospectus and any amendments or supplements thereto, and the printing and furnishing of copies of each thereof to the Sales Agent (including costs of mailing and shipment), (ii) the printing and delivery to the Sales Agent of this Agreement and such other documents as may be required in connection with the offering, purchase, sale or delivery of the Securities,</w:t>
      </w:r>
    </w:p>
    <w:p>
      <w:pPr>
        <w:spacing w:after="0" w:line="1" w:lineRule="exact"/>
        <w:rPr>
          <w:sz w:val="20"/>
          <w:szCs w:val="20"/>
          <w:color w:val="auto"/>
        </w:rPr>
      </w:pPr>
    </w:p>
    <w:p>
      <w:pPr>
        <w:ind w:left="324" w:hanging="324"/>
        <w:spacing w:after="0"/>
        <w:tabs>
          <w:tab w:leader="none" w:pos="324"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delivery of Securities to the Sales Agent, including any stock or other transfer taxes and any stamp or other duties payable upon the sale or</w:t>
      </w:r>
    </w:p>
    <w:p>
      <w:pPr>
        <w:spacing w:after="0" w:line="166" w:lineRule="exact"/>
        <w:rPr>
          <w:rFonts w:ascii="Arial" w:cs="Arial" w:eastAsia="Arial" w:hAnsi="Arial"/>
          <w:sz w:val="16"/>
          <w:szCs w:val="16"/>
          <w:color w:val="auto"/>
        </w:rPr>
      </w:pPr>
    </w:p>
    <w:p>
      <w:pPr>
        <w:ind w:left="5424"/>
        <w:spacing w:after="0"/>
        <w:rPr>
          <w:rFonts w:ascii="Arial" w:cs="Arial" w:eastAsia="Arial" w:hAnsi="Arial"/>
          <w:sz w:val="16"/>
          <w:szCs w:val="16"/>
          <w:color w:val="auto"/>
        </w:rPr>
      </w:pPr>
      <w:r>
        <w:rPr>
          <w:rFonts w:ascii="Arial" w:cs="Arial" w:eastAsia="Arial" w:hAnsi="Arial"/>
          <w:sz w:val="18"/>
          <w:szCs w:val="18"/>
          <w:color w:val="auto"/>
        </w:rPr>
        <w:t>26</w:t>
      </w:r>
    </w:p>
    <w:p>
      <w:pPr>
        <w:sectPr>
          <w:pgSz w:w="11900" w:h="16838" w:orient="portrait"/>
          <w:cols w:equalWidth="0" w:num="1">
            <w:col w:w="11024"/>
          </w:cols>
          <w:pgMar w:left="436" w:top="274" w:right="439" w:bottom="1440" w:gutter="0" w:footer="0" w:header="0"/>
        </w:sectPr>
      </w:pPr>
    </w:p>
    <w:bookmarkStart w:id="72" w:name="page73"/>
    <w:bookmarkEnd w:id="72"/>
    <w:p>
      <w:pPr>
        <w:ind w:right="8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delivery of the Securities to the Sales Agent, (iv) the fees and disbursements of the Company’s counsel, accountants and other advisors, (v) the qualification of the Securities under securities laws in accordance with the provisions of this Agreement, including filing fees and the reasonable fees and disbursements of counsel for the Sales Agent in connection therewith and in connection with the preparation of blue sky surveys and any supplement thereto, (vi) the printing and delivery to the Sales Agent of copies of the Prospectus and any amendments or supplements thereto, (vii) the preparation and delivery to the Sales Agent of copies of the blue sky survey, if any, and any supplement thereto, (viii) the fees and expenses of any transfer agent or registrar for the Securities, (ix) the reasonable legal fees and expenses of counsel to the Sales Agent in connection with their performance under this Agreement, in an aggregate amount of $40,000 in connection with the entry into this Agreement and the Sales Agreement and up to $7,500 per fiscal quarter during the term of this Agreement and the Sales Agreement, which amount shall include legal fees and expenses relating to the review by FINRA of the terms of the sale of the Securities and (x) the filing fees incident to the review by FINRA of the terms of the sale of the Securities. Except as set forth herein, the Sales Agent will pay all of its other out-of-pocket costs and expenses incurred in connection with entering into this Agreement and the transactions contemplated by this Agreement, including, without limitation, travel and similar expenses, whether or not the transactions contemplated hereby are consummated or this Agreement is terminated.</w:t>
      </w:r>
    </w:p>
    <w:p>
      <w:pPr>
        <w:spacing w:after="0" w:line="179"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Conditions of the Sales Agent’s Obligations</w:t>
      </w:r>
      <w:r>
        <w:rPr>
          <w:rFonts w:ascii="Arial" w:cs="Arial" w:eastAsia="Arial" w:hAnsi="Arial"/>
          <w:sz w:val="16"/>
          <w:szCs w:val="16"/>
          <w:color w:val="auto"/>
        </w:rPr>
        <w:t>. The obligations of the Sales Agent hereunder are subject to the accuracy of the representations and warranties of the Company, the Adviser and the Administrator contained herein or in certificates of any officer of the Company, any of the Subsidiaries, the Adviser or the Administrator delivered pursuant to the provisions hereof, to the performance by the Company, the Adviser and the Administrator of their respective covenants and other obligations hereunder, and to the following further conditions:</w:t>
      </w:r>
    </w:p>
    <w:p>
      <w:pPr>
        <w:spacing w:after="0" w:line="157" w:lineRule="exact"/>
        <w:rPr>
          <w:sz w:val="20"/>
          <w:szCs w:val="20"/>
          <w:color w:val="auto"/>
        </w:rPr>
      </w:pPr>
    </w:p>
    <w:p>
      <w:pPr>
        <w:ind w:right="80" w:firstLine="987"/>
        <w:spacing w:after="0" w:line="285" w:lineRule="auto"/>
        <w:tabs>
          <w:tab w:leader="none" w:pos="1371" w:val="left"/>
        </w:tabs>
        <w:numPr>
          <w:ilvl w:val="0"/>
          <w:numId w:val="91"/>
        </w:numPr>
        <w:rPr>
          <w:rFonts w:ascii="Arial" w:cs="Arial" w:eastAsia="Arial" w:hAnsi="Arial"/>
          <w:sz w:val="16"/>
          <w:szCs w:val="16"/>
          <w:color w:val="auto"/>
        </w:rPr>
      </w:pPr>
      <w:r>
        <w:rPr>
          <w:rFonts w:ascii="Arial" w:cs="Arial" w:eastAsia="Arial" w:hAnsi="Arial"/>
          <w:sz w:val="16"/>
          <w:szCs w:val="16"/>
          <w:i w:val="1"/>
          <w:iCs w:val="1"/>
          <w:color w:val="auto"/>
        </w:rPr>
        <w:t>Registration Statement</w:t>
      </w:r>
      <w:r>
        <w:rPr>
          <w:rFonts w:ascii="Arial" w:cs="Arial" w:eastAsia="Arial" w:hAnsi="Arial"/>
          <w:sz w:val="16"/>
          <w:szCs w:val="16"/>
          <w:color w:val="auto"/>
        </w:rPr>
        <w:t>. No stop order suspending the effectiveness of the Registration Statement or any post-effective amendment</w:t>
      </w:r>
      <w:r>
        <w:rPr>
          <w:rFonts w:ascii="Arial" w:cs="Arial" w:eastAsia="Arial" w:hAnsi="Arial"/>
          <w:sz w:val="16"/>
          <w:szCs w:val="16"/>
          <w:i w:val="1"/>
          <w:iCs w:val="1"/>
          <w:color w:val="auto"/>
        </w:rPr>
        <w:t xml:space="preserve"> </w:t>
      </w:r>
      <w:r>
        <w:rPr>
          <w:rFonts w:ascii="Arial" w:cs="Arial" w:eastAsia="Arial" w:hAnsi="Arial"/>
          <w:sz w:val="16"/>
          <w:szCs w:val="16"/>
          <w:color w:val="auto"/>
        </w:rPr>
        <w:t>thereto has been issued under the 1933 Act, no order preventing or suspending the use of any Issuer Free Writing Prospectus or the Prospectus has been issued and no proceedings for any of those purposes have been instituted or are pending or, to the Company’s knowledge, contemplated; and the Company has complied with each request (if any) from the Commission for additional information in connection with the Registration Statement. Any required filing of each Issuer Free Writing Prospectus pursuant to Rule 433 has been made in the manner and within the time period required by</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Rule 433(d).</w:t>
      </w:r>
    </w:p>
    <w:p>
      <w:pPr>
        <w:spacing w:after="0" w:line="210" w:lineRule="exact"/>
        <w:rPr>
          <w:rFonts w:ascii="Arial" w:cs="Arial" w:eastAsia="Arial" w:hAnsi="Arial"/>
          <w:sz w:val="16"/>
          <w:szCs w:val="16"/>
          <w:color w:val="auto"/>
        </w:rPr>
      </w:pPr>
    </w:p>
    <w:p>
      <w:pPr>
        <w:ind w:firstLine="987"/>
        <w:spacing w:after="0" w:line="270" w:lineRule="auto"/>
        <w:tabs>
          <w:tab w:leader="none" w:pos="1381" w:val="left"/>
        </w:tabs>
        <w:numPr>
          <w:ilvl w:val="0"/>
          <w:numId w:val="91"/>
        </w:numPr>
        <w:rPr>
          <w:rFonts w:ascii="Arial" w:cs="Arial" w:eastAsia="Arial" w:hAnsi="Arial"/>
          <w:sz w:val="17"/>
          <w:szCs w:val="17"/>
          <w:color w:val="auto"/>
        </w:rPr>
      </w:pPr>
      <w:r>
        <w:rPr>
          <w:rFonts w:ascii="Arial" w:cs="Arial" w:eastAsia="Arial" w:hAnsi="Arial"/>
          <w:sz w:val="17"/>
          <w:szCs w:val="17"/>
          <w:i w:val="1"/>
          <w:iCs w:val="1"/>
          <w:color w:val="auto"/>
        </w:rPr>
        <w:t>Opinions of Counsel for the Company, the Adviser and the Administrator</w:t>
      </w:r>
      <w:r>
        <w:rPr>
          <w:rFonts w:ascii="Arial" w:cs="Arial" w:eastAsia="Arial" w:hAnsi="Arial"/>
          <w:sz w:val="17"/>
          <w:szCs w:val="17"/>
          <w:color w:val="auto"/>
        </w:rPr>
        <w:t>. Within five business days after (i) each date on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files a quarterly report on Form 10-Q or an annual report on Form 10-K, (ii) each date on which Securities are delivered to the Sales Agent pursuant to a Terms Agreement, or (iii) such date as the Sales Agent may reasonably request (the date of commencement of the offering of the Securities under this Agreement, the date of commencement of the offering of the Securities under this Agreement following the termination of a Suspension Period and each date referred to in subclauses (i), (ii) and (iii) above, each a “Representation Date”), the Sales Agent shall have received the favorable opinions, dated the Representation Date, of Dechert LLP, counsel for the Company, the Adviser and the Administrator, and of Venable LLP, counsel for the Company, in form and substance reasonably satisfactory to counsel for the Sales Agent. Such counsels may state that insofar as such opinions involve factual matters, they have relied, to the extent they deem proper, upon certificates of officers of the Company and the Subsidiaries, the Adviser and the Administrator and certificates of public officials.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00"/>
          </w:cols>
          <w:pgMar w:left="440" w:top="274" w:right="459" w:bottom="1440" w:gutter="0" w:footer="0" w:header="0"/>
        </w:sectPr>
      </w:pPr>
    </w:p>
    <w:bookmarkStart w:id="73" w:name="page74"/>
    <w:bookmarkEnd w:id="73"/>
    <w:p>
      <w:pPr>
        <w:ind w:left="-20" w:right="140" w:firstLine="987"/>
        <w:spacing w:after="0" w:line="279" w:lineRule="auto"/>
        <w:tabs>
          <w:tab w:leader="none" w:pos="1351" w:val="left"/>
        </w:tabs>
        <w:numPr>
          <w:ilvl w:val="1"/>
          <w:numId w:val="92"/>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Opinion of Counsel for the Sales Agent</w:t>
      </w:r>
      <w:r>
        <w:rPr>
          <w:rFonts w:ascii="Arial" w:cs="Arial" w:eastAsia="Arial" w:hAnsi="Arial"/>
          <w:sz w:val="17"/>
          <w:szCs w:val="17"/>
          <w:color w:val="auto"/>
        </w:rPr>
        <w:t>. Within five business days after each Representation Date, the Sales Agent shall have</w:t>
      </w:r>
      <w:r>
        <w:rPr>
          <w:rFonts w:ascii="Arial" w:cs="Arial" w:eastAsia="Arial" w:hAnsi="Arial"/>
          <w:sz w:val="17"/>
          <w:szCs w:val="17"/>
          <w:i w:val="1"/>
          <w:iCs w:val="1"/>
          <w:color w:val="auto"/>
        </w:rPr>
        <w:t xml:space="preserve"> </w:t>
      </w:r>
      <w:r>
        <w:rPr>
          <w:rFonts w:ascii="Arial" w:cs="Arial" w:eastAsia="Arial" w:hAnsi="Arial"/>
          <w:sz w:val="17"/>
          <w:szCs w:val="17"/>
          <w:color w:val="auto"/>
        </w:rPr>
        <w:t>received the favorable opinion, dated the Representation Date, of Proskauer Rose LLP, counsel for the Sales Agent. Such counsel may also state that, insofar as such opinion involves factual matters, they have relied, to the extent they deem proper, upon certificates of officers and other representatives of the Company, the Subsidiaries, the Adviser and the Administrator and certificates of public officials.</w:t>
      </w:r>
    </w:p>
    <w:p>
      <w:pPr>
        <w:spacing w:after="0" w:line="171" w:lineRule="exact"/>
        <w:rPr>
          <w:rFonts w:ascii="Arial" w:cs="Arial" w:eastAsia="Arial" w:hAnsi="Arial"/>
          <w:sz w:val="17"/>
          <w:szCs w:val="17"/>
          <w:color w:val="auto"/>
        </w:rPr>
      </w:pPr>
    </w:p>
    <w:p>
      <w:pPr>
        <w:ind w:left="1360" w:hanging="393"/>
        <w:spacing w:after="0"/>
        <w:tabs>
          <w:tab w:leader="none" w:pos="1360" w:val="left"/>
        </w:tabs>
        <w:numPr>
          <w:ilvl w:val="1"/>
          <w:numId w:val="92"/>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20" w:firstLine="948"/>
        <w:spacing w:after="0" w:line="269" w:lineRule="auto"/>
        <w:tabs>
          <w:tab w:leader="none" w:pos="1718" w:val="left"/>
        </w:tabs>
        <w:numPr>
          <w:ilvl w:val="2"/>
          <w:numId w:val="92"/>
        </w:numPr>
        <w:rPr>
          <w:rFonts w:ascii="Arial" w:cs="Arial" w:eastAsia="Arial" w:hAnsi="Arial"/>
          <w:sz w:val="17"/>
          <w:szCs w:val="17"/>
          <w:color w:val="auto"/>
        </w:rPr>
      </w:pPr>
      <w:r>
        <w:rPr>
          <w:rFonts w:ascii="Arial" w:cs="Arial" w:eastAsia="Arial" w:hAnsi="Arial"/>
          <w:sz w:val="17"/>
          <w:szCs w:val="17"/>
          <w:color w:val="auto"/>
        </w:rPr>
        <w:t xml:space="preserve">Within five business days after each Representation Date, there shall not have been, since the date hereof or since the respective dates as of which information is given in the Registration Statement, or the Prospectus, any material adverse change in the business, properties, management, financial condition, prospects or results of operations of the Company and the Subsidiaries considered as one enterprise, whether or not arising in the ordinary course of business, and the Sales Agent shall have received a certificate of the chief executive officer or the president of the Company and of the chief financial or chief accounting officer of the Company, dated the Representation Date, to the effect that (A) there has been no such material adverse change, (B) the representations and warranties of the Company in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of this Agreement are true and correct with the same force and effect as though expressly made at and as of the Representation Date, (C) the Company has complied with all agreements and satisfied all conditions on its part to be performed or satisfied at or prior to the Representation Date, and (D) no stop order suspending the effectiveness of the Registration Statement under the 1933 Act has been issued, no order preventing or suspending the use of the Prospectus has been issued and no proceedings for any of those purposes have been instituted or are pending or, to their knowledge, contemplated by the Commission.</w:t>
      </w:r>
    </w:p>
    <w:p>
      <w:pPr>
        <w:spacing w:after="0" w:line="73" w:lineRule="exact"/>
        <w:rPr>
          <w:rFonts w:ascii="Arial" w:cs="Arial" w:eastAsia="Arial" w:hAnsi="Arial"/>
          <w:sz w:val="17"/>
          <w:szCs w:val="17"/>
          <w:color w:val="auto"/>
        </w:rPr>
      </w:pPr>
    </w:p>
    <w:p>
      <w:pPr>
        <w:ind w:left="420" w:firstLine="948"/>
        <w:spacing w:after="0" w:line="287" w:lineRule="auto"/>
        <w:tabs>
          <w:tab w:leader="none" w:pos="1768" w:val="left"/>
        </w:tabs>
        <w:numPr>
          <w:ilvl w:val="2"/>
          <w:numId w:val="92"/>
        </w:numPr>
        <w:rPr>
          <w:rFonts w:ascii="Arial" w:cs="Arial" w:eastAsia="Arial" w:hAnsi="Arial"/>
          <w:sz w:val="16"/>
          <w:szCs w:val="16"/>
          <w:color w:val="auto"/>
        </w:rPr>
      </w:pPr>
      <w:r>
        <w:rPr>
          <w:rFonts w:ascii="Arial" w:cs="Arial" w:eastAsia="Arial" w:hAnsi="Arial"/>
          <w:sz w:val="16"/>
          <w:szCs w:val="16"/>
          <w:color w:val="auto"/>
        </w:rPr>
        <w:t>Within five business days after each Representation Date, there shall not have been, since the date hereof or since the respective dates as of which information is given in the Prospectus, an Adviser/Administrator Material Adverse Effect, and the Sales Agent shall have received certificates of the managing member of each of the Adviser and the Administrator, dated the Representation Date, to the effect that</w:t>
      </w:r>
    </w:p>
    <w:p>
      <w:pPr>
        <w:spacing w:after="0" w:line="2" w:lineRule="exact"/>
        <w:rPr>
          <w:rFonts w:ascii="Arial" w:cs="Arial" w:eastAsia="Arial" w:hAnsi="Arial"/>
          <w:sz w:val="16"/>
          <w:szCs w:val="16"/>
          <w:color w:val="auto"/>
        </w:rPr>
      </w:pPr>
    </w:p>
    <w:p>
      <w:pPr>
        <w:ind w:left="420" w:right="80" w:hanging="4"/>
        <w:spacing w:after="0" w:line="295" w:lineRule="auto"/>
        <w:tabs>
          <w:tab w:leader="none" w:pos="715"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there has been no such Adviser/Administrator Material Adverse Effect with respect to the Adviser or the Administrator, as applicable, (B) the representations and warranties of the Adviser or the Administrator, as applicable, in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of this Agreement are true and correct with the same force and effect as though expressly made at and as of the Representation Date and (C) the Adviser or the Administrator, as applicable, has complied with all agreements and satisfied all conditions on their part to be performed or satisfied at or prior to the Representation Date.</w:t>
      </w:r>
    </w:p>
    <w:p>
      <w:pPr>
        <w:spacing w:after="0" w:line="161" w:lineRule="exact"/>
        <w:rPr>
          <w:rFonts w:ascii="Arial" w:cs="Arial" w:eastAsia="Arial" w:hAnsi="Arial"/>
          <w:sz w:val="16"/>
          <w:szCs w:val="16"/>
          <w:color w:val="auto"/>
        </w:rPr>
      </w:pPr>
    </w:p>
    <w:p>
      <w:pPr>
        <w:ind w:left="-20" w:right="340" w:firstLine="987"/>
        <w:spacing w:after="0" w:line="259" w:lineRule="auto"/>
        <w:tabs>
          <w:tab w:leader="none" w:pos="1351" w:val="left"/>
        </w:tabs>
        <w:numPr>
          <w:ilvl w:val="1"/>
          <w:numId w:val="93"/>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Within five business days after each Representation Date, the Sales Agent shall have received from</w:t>
      </w:r>
      <w:r>
        <w:rPr>
          <w:rFonts w:ascii="Arial" w:cs="Arial" w:eastAsia="Arial" w:hAnsi="Arial"/>
          <w:sz w:val="18"/>
          <w:szCs w:val="18"/>
          <w:i w:val="1"/>
          <w:iCs w:val="1"/>
          <w:color w:val="auto"/>
        </w:rPr>
        <w:t xml:space="preserve"> </w:t>
      </w:r>
      <w:r>
        <w:rPr>
          <w:rFonts w:ascii="Arial" w:cs="Arial" w:eastAsia="Arial" w:hAnsi="Arial"/>
          <w:sz w:val="18"/>
          <w:szCs w:val="18"/>
          <w:color w:val="auto"/>
        </w:rPr>
        <w:t>RSM US LLP a letter, dated such date, in form and substance satisfactory to the Sales Agent, containing statements and information of the type ordinarily included in accountants’ “comfort letters” to underwriters with respect to the Company’s financial statements and certain financial information included or incorporated by reference in the Registration Statement and the Prospectus.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60" w:top="274" w:right="459" w:bottom="1440" w:gutter="0" w:footer="0" w:header="0"/>
        </w:sectPr>
      </w:pPr>
    </w:p>
    <w:bookmarkStart w:id="74" w:name="page75"/>
    <w:bookmarkEnd w:id="74"/>
    <w:p>
      <w:pPr>
        <w:ind w:right="140" w:firstLine="987"/>
        <w:spacing w:after="0" w:line="296" w:lineRule="auto"/>
        <w:tabs>
          <w:tab w:leader="none" w:pos="1351"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Documents</w:t>
      </w:r>
      <w:r>
        <w:rPr>
          <w:rFonts w:ascii="Arial" w:cs="Arial" w:eastAsia="Arial" w:hAnsi="Arial"/>
          <w:sz w:val="16"/>
          <w:szCs w:val="16"/>
          <w:color w:val="auto"/>
        </w:rPr>
        <w:t>. Within five business days after each Representation Date, counsel for the Sales Agent shall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furnished 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the Adviser and the Administrator in connection with the issuance and sale of the Securities as herein contemplated shall be satisfactory in form and substance to the Sales Agent and counsel for the Sales Agent.</w:t>
      </w:r>
    </w:p>
    <w:p>
      <w:pPr>
        <w:spacing w:after="0" w:line="161"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180" w:firstLine="987"/>
        <w:spacing w:after="0" w:line="259" w:lineRule="auto"/>
        <w:tabs>
          <w:tab w:leader="none" w:pos="1371"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Indemnification of the Sales Agent by the Company, the Adviser and the Administrator</w:t>
      </w:r>
      <w:r>
        <w:rPr>
          <w:rFonts w:ascii="Arial" w:cs="Arial" w:eastAsia="Arial" w:hAnsi="Arial"/>
          <w:sz w:val="18"/>
          <w:szCs w:val="18"/>
          <w:color w:val="auto"/>
        </w:rPr>
        <w:t>. The Company, the Adviser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severally and not jointly, agree to indemnify and hold harmless the Sales Agent, its affiliates (as such term is defined in Rule 501(b) under the 1933 Act (each, an “Affiliate”)), its selling agents and each person, if any, who controls the Sales Agent within the meaning of Section 15 of the 1933 Act or Section 20 of the 1934 Act as follows:</w:t>
      </w:r>
    </w:p>
    <w:p>
      <w:pPr>
        <w:spacing w:after="0" w:line="78" w:lineRule="exact"/>
        <w:rPr>
          <w:rFonts w:ascii="Arial" w:cs="Arial" w:eastAsia="Arial" w:hAnsi="Arial"/>
          <w:sz w:val="18"/>
          <w:szCs w:val="18"/>
          <w:color w:val="auto"/>
        </w:rPr>
      </w:pPr>
    </w:p>
    <w:p>
      <w:pPr>
        <w:ind w:left="440" w:right="20" w:firstLine="948"/>
        <w:spacing w:after="0" w:line="289" w:lineRule="auto"/>
        <w:tabs>
          <w:tab w:leader="none" w:pos="1742" w:val="left"/>
        </w:tabs>
        <w:numPr>
          <w:ilvl w:val="1"/>
          <w:numId w:val="95"/>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arising out of any untrue statement or alleged untrue statement of a material fact contained in the Registration Statement (or any amendment thereto), including any Rule 430B Information, or the omission or alleged omission therefrom of a material fact required to be stated therein or necessary to make the statements therein not misleading or arising out of any untrue statement or alleged untrue statement of a material fact included (A) in any Issuer Free Writing Prospectus or the Prospectus (or any amendment or supplement thereto), or (B) in any materials or information provided to investors by, or with the approval of, the Company in connection with the marketing of the offering of the Securities (“Marketing Materials”), including any road show as defined in Rule 433(h) under the 1933 Act (a “road show”) or investor presentations made to investors by the Company (whether in person or electronically), or the omission or alleged omission in any Issuer Free Writing Prospectus, the Prospectus or any Marketing Materials of a material fact necessary in order to make the statements therein, in the light of the circumstances under which they were made, not misleading;</w:t>
      </w:r>
    </w:p>
    <w:p>
      <w:pPr>
        <w:spacing w:after="0" w:line="58" w:lineRule="exact"/>
        <w:rPr>
          <w:rFonts w:ascii="Arial" w:cs="Arial" w:eastAsia="Arial" w:hAnsi="Arial"/>
          <w:sz w:val="16"/>
          <w:szCs w:val="16"/>
          <w:color w:val="auto"/>
        </w:rPr>
      </w:pPr>
    </w:p>
    <w:p>
      <w:pPr>
        <w:ind w:left="440" w:right="140" w:firstLine="948"/>
        <w:spacing w:after="0" w:line="279" w:lineRule="auto"/>
        <w:tabs>
          <w:tab w:leader="none" w:pos="1792" w:val="left"/>
        </w:tabs>
        <w:numPr>
          <w:ilvl w:val="1"/>
          <w:numId w:val="95"/>
        </w:numPr>
        <w:rPr>
          <w:rFonts w:ascii="Arial" w:cs="Arial" w:eastAsia="Arial" w:hAnsi="Arial"/>
          <w:sz w:val="17"/>
          <w:szCs w:val="17"/>
          <w:color w:val="auto"/>
        </w:rPr>
      </w:pPr>
      <w:r>
        <w:rPr>
          <w:rFonts w:ascii="Arial" w:cs="Arial" w:eastAsia="Arial" w:hAnsi="Arial"/>
          <w:sz w:val="17"/>
          <w:szCs w:val="17"/>
          <w:color w:val="auto"/>
        </w:rPr>
        <w:t xml:space="preserve">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 </w:t>
      </w:r>
      <w:r>
        <w:rPr>
          <w:rFonts w:ascii="Arial" w:cs="Arial" w:eastAsia="Arial" w:hAnsi="Arial"/>
          <w:sz w:val="17"/>
          <w:szCs w:val="17"/>
          <w:u w:val="single" w:color="auto"/>
          <w:color w:val="auto"/>
        </w:rPr>
        <w:t>Section 6(d)</w:t>
      </w:r>
      <w:r>
        <w:rPr>
          <w:rFonts w:ascii="Arial" w:cs="Arial" w:eastAsia="Arial" w:hAnsi="Arial"/>
          <w:sz w:val="17"/>
          <w:szCs w:val="17"/>
          <w:color w:val="auto"/>
        </w:rPr>
        <w:t xml:space="preserve"> below) any such settlement is effected with the written consent of the Company; and</w:t>
      </w:r>
    </w:p>
    <w:p>
      <w:pPr>
        <w:spacing w:after="0" w:line="63" w:lineRule="exact"/>
        <w:rPr>
          <w:rFonts w:ascii="Arial" w:cs="Arial" w:eastAsia="Arial" w:hAnsi="Arial"/>
          <w:sz w:val="17"/>
          <w:szCs w:val="17"/>
          <w:color w:val="auto"/>
        </w:rPr>
      </w:pPr>
    </w:p>
    <w:p>
      <w:pPr>
        <w:ind w:left="440" w:firstLine="948"/>
        <w:spacing w:after="0" w:line="277" w:lineRule="auto"/>
        <w:tabs>
          <w:tab w:leader="none" w:pos="1842" w:val="left"/>
        </w:tabs>
        <w:numPr>
          <w:ilvl w:val="1"/>
          <w:numId w:val="95"/>
        </w:numPr>
        <w:rPr>
          <w:rFonts w:ascii="Arial" w:cs="Arial" w:eastAsia="Arial" w:hAnsi="Arial"/>
          <w:sz w:val="18"/>
          <w:szCs w:val="18"/>
          <w:color w:val="auto"/>
        </w:rPr>
      </w:pPr>
      <w:r>
        <w:rPr>
          <w:rFonts w:ascii="Arial" w:cs="Arial" w:eastAsia="Arial" w:hAnsi="Arial"/>
          <w:sz w:val="18"/>
          <w:szCs w:val="18"/>
          <w:color w:val="auto"/>
        </w:rPr>
        <w:t>against any and all expense whatsoever, as incurred (including the reasonably incurred and documented fees and disbursements of counsel chosen by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75" w:name="page76"/>
    <w:bookmarkEnd w:id="75"/>
    <w:p>
      <w:pPr>
        <w:ind w:left="420"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Sales Agent),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 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any Rule 430B Information or the Prospectus (or any amendment or supplement thereto) in reliance upon and in conformity with the Sales Agent Information; and provided, further the Adviser’s indemnity shall only apply to statements described in (i) above regarding the Adviser and the Administrator’s indemnity shall apply only statements described in (i) above regarding the Administrator.</w:t>
      </w:r>
    </w:p>
    <w:p>
      <w:pPr>
        <w:spacing w:after="0" w:line="178" w:lineRule="exact"/>
        <w:rPr>
          <w:sz w:val="20"/>
          <w:szCs w:val="20"/>
          <w:color w:val="auto"/>
        </w:rPr>
      </w:pPr>
    </w:p>
    <w:p>
      <w:pPr>
        <w:ind w:left="-20" w:firstLine="987"/>
        <w:spacing w:after="0" w:line="272" w:lineRule="auto"/>
        <w:tabs>
          <w:tab w:leader="none" w:pos="1361" w:val="left"/>
        </w:tabs>
        <w:numPr>
          <w:ilvl w:val="0"/>
          <w:numId w:val="96"/>
        </w:numPr>
        <w:rPr>
          <w:rFonts w:ascii="Arial" w:cs="Arial" w:eastAsia="Arial" w:hAnsi="Arial"/>
          <w:sz w:val="17"/>
          <w:szCs w:val="17"/>
          <w:color w:val="auto"/>
        </w:rPr>
      </w:pPr>
      <w:r>
        <w:rPr>
          <w:rFonts w:ascii="Arial" w:cs="Arial" w:eastAsia="Arial" w:hAnsi="Arial"/>
          <w:sz w:val="17"/>
          <w:szCs w:val="17"/>
          <w:i w:val="1"/>
          <w:iCs w:val="1"/>
          <w:color w:val="auto"/>
        </w:rPr>
        <w:t>Indemnification of Company, Directors, Officers, Adviser and Administrator</w:t>
      </w:r>
      <w:r>
        <w:rPr>
          <w:rFonts w:ascii="Arial" w:cs="Arial" w:eastAsia="Arial" w:hAnsi="Arial"/>
          <w:sz w:val="17"/>
          <w:szCs w:val="17"/>
          <w:color w:val="auto"/>
        </w:rPr>
        <w:t>. The Sales Agent agrees to indemnify and hold harmless</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Company, the Adviser, the Administrator their directors, each of the Company’s officers who signed the Registration Statement and each person, if any, who controls the Company, the Adviser or the Administrator within the meaning of Section 15 of the 1933 Act or Section 20 of the 1934 Act against any and all loss, liability, claim, damage and expense described in the indemnity contained in subsection (a) of this Section, as incurred, but only with respect to untrue statements or omissions, or alleged untrue statements or omissions, made in the Registration Statement (or any amendment thereto), including any Rule 430B Information, any Issuer Free Writing Prospectus or the Prospectus (or any amendment or supplement thereto) in reliance upon and in conformity with the Sales Agent Information.</w:t>
      </w:r>
    </w:p>
    <w:p>
      <w:pPr>
        <w:spacing w:after="0" w:line="177" w:lineRule="exact"/>
        <w:rPr>
          <w:rFonts w:ascii="Arial" w:cs="Arial" w:eastAsia="Arial" w:hAnsi="Arial"/>
          <w:sz w:val="17"/>
          <w:szCs w:val="17"/>
          <w:color w:val="auto"/>
        </w:rPr>
      </w:pPr>
    </w:p>
    <w:p>
      <w:pPr>
        <w:ind w:left="-20" w:firstLine="987"/>
        <w:spacing w:after="0" w:line="286" w:lineRule="auto"/>
        <w:tabs>
          <w:tab w:leader="none" w:pos="1351" w:val="left"/>
        </w:tabs>
        <w:numPr>
          <w:ilvl w:val="0"/>
          <w:numId w:val="96"/>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indemnifying party of any action commenced against it in respect of which indemnity may be sought hereunder, but failure to so notify an indemnifying party shall not relieve such indemnifying party from any liability hereunder to the extent it is not materially prejudiced (through the forfeiture of substantive rights and defenses) as a result thereof and in any event shall not relieve it from any liability which it may have otherwise than on account of this indemnity agreement. In the case of parties indemnified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above, counsel to the indemnified parties shall be selected by the Sales Agent, and, in the case of parties indemnified pursuant to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hereof (whether or not the indemnified parties are actual or potential parties thereto), unless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60" w:top="274" w:right="479" w:bottom="1440" w:gutter="0" w:footer="0" w:header="0"/>
        </w:sectPr>
      </w:pPr>
    </w:p>
    <w:bookmarkStart w:id="76" w:name="page77"/>
    <w:bookmarkEnd w:id="76"/>
    <w:p>
      <w:pPr>
        <w:ind w:right="3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84" w:lineRule="exact"/>
        <w:rPr>
          <w:sz w:val="20"/>
          <w:szCs w:val="20"/>
          <w:color w:val="auto"/>
        </w:rPr>
      </w:pPr>
    </w:p>
    <w:p>
      <w:pPr>
        <w:ind w:firstLine="987"/>
        <w:spacing w:after="0" w:line="255" w:lineRule="auto"/>
        <w:tabs>
          <w:tab w:leader="none" w:pos="1381" w:val="left"/>
        </w:tabs>
        <w:numPr>
          <w:ilvl w:val="0"/>
          <w:numId w:val="97"/>
        </w:numPr>
        <w:rPr>
          <w:rFonts w:ascii="Arial" w:cs="Arial" w:eastAsia="Arial" w:hAnsi="Arial"/>
          <w:sz w:val="18"/>
          <w:szCs w:val="18"/>
          <w:color w:val="auto"/>
        </w:rPr>
      </w:pPr>
      <w:r>
        <w:rPr>
          <w:rFonts w:ascii="Arial" w:cs="Arial" w:eastAsia="Arial" w:hAnsi="Arial"/>
          <w:sz w:val="18"/>
          <w:szCs w:val="18"/>
          <w:i w:val="1"/>
          <w:iCs w:val="1"/>
          <w:color w:val="auto"/>
        </w:rPr>
        <w:t>Settlement without Consent if Failure to Reimburse</w:t>
      </w:r>
      <w:r>
        <w:rPr>
          <w:rFonts w:ascii="Arial" w:cs="Arial" w:eastAsia="Arial" w:hAnsi="Arial"/>
          <w:sz w:val="18"/>
          <w:szCs w:val="18"/>
          <w:color w:val="auto"/>
        </w:rPr>
        <w:t>. If at any time an indemnified party shall have requested an indemnifying party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reimburse the indemnified party for fees and expenses of counsel, such indemnifying party agrees that it shall be liable for any settlement of the nature contemplated by </w:t>
      </w:r>
      <w:r>
        <w:rPr>
          <w:rFonts w:ascii="Arial" w:cs="Arial" w:eastAsia="Arial" w:hAnsi="Arial"/>
          <w:sz w:val="18"/>
          <w:szCs w:val="18"/>
          <w:u w:val="single" w:color="auto"/>
          <w:color w:val="auto"/>
        </w:rPr>
        <w:t>Section 6(a)(ii)</w:t>
      </w:r>
      <w:r>
        <w:rPr>
          <w:rFonts w:ascii="Arial" w:cs="Arial" w:eastAsia="Arial" w:hAnsi="Arial"/>
          <w:sz w:val="18"/>
          <w:szCs w:val="18"/>
          <w:color w:val="auto"/>
        </w:rPr>
        <w:t xml:space="preserve">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92"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the indemnification provided for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 received by the Company, the Adviser and the Administrator, on the one hand, and the Sales Agent,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the Adviser and the Administrator, on the one hand, and of the Sales Agent, on the other hand, in connection with the statements or omissions which resulted in such losses, liabilities, claims, damages or expenses, as well as any other relevant equitable considerations. For the avoidance of doubt, the Adviser’s and the Administrator’s contribution agreement shall only apply to instances in which the Adviser or the Administrator has an indemnity obligation as described above in </w:t>
      </w:r>
      <w:r>
        <w:rPr>
          <w:rFonts w:ascii="Arial" w:cs="Arial" w:eastAsia="Arial" w:hAnsi="Arial"/>
          <w:sz w:val="17"/>
          <w:szCs w:val="17"/>
          <w:u w:val="single" w:color="auto"/>
          <w:color w:val="auto"/>
        </w:rPr>
        <w:t>Section 6(a)</w:t>
      </w:r>
      <w:r>
        <w:rPr>
          <w:rFonts w:ascii="Arial" w:cs="Arial" w:eastAsia="Arial" w:hAnsi="Arial"/>
          <w:sz w:val="17"/>
          <w:szCs w:val="17"/>
          <w:color w:val="auto"/>
        </w:rPr>
        <w:t>.</w:t>
      </w:r>
    </w:p>
    <w:p>
      <w:pPr>
        <w:spacing w:after="0" w:line="18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relative benefits received by the Company, the Adviser and the Administrator, on the one hand, and the Sales Agent,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commissions received by the Sales Agent, on the other hand, in each case as set forth on the cover of the Prospectus, bear to the aggregate Net Proceeds.</w:t>
      </w:r>
    </w:p>
    <w:p>
      <w:pPr>
        <w:spacing w:after="0" w:line="18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relative fault of the Company, the Adviser and the Administrator, on the one hand, and the Sales Agent, on the other hand, shall be determined by reference to, among other things, whether any such untrue or alleged untrue statement of a material fact or omission or alleged omission to state a material fact relates to information supplied by the Company, the Adviser and the Administrator or by the Sales Agent and the parties’ relative intent, knowledge, access to information and opportunity to correct or prevent such statement or omission.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77" w:name="page78"/>
    <w:bookmarkEnd w:id="77"/>
    <w:p>
      <w:pPr>
        <w:ind w:right="6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the Adviser, the Administrator and the Sales Agent agree that it would not be just and equitable if contribution pursuant to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above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The aggregate amount of losses, liabilities, claims, damages and expenses incurred by an indemnified party and referred to above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6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 xml:space="preserve">Notwithstanding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the Sales Agent shall not be required to contribute any amount in excess of the commissions received by the Sales Agent in connection with the Securities sold by it.</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Notwithstanding anything in this Agreement to the contrary, any indemnification and contribution by the Company shall be subject to the requirements and limitations of Section 17(i) of the 1940 Act and any applicable guidance from the Commission or its staff thereunder.</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7</w:t>
      </w:r>
      <w:r>
        <w:rPr>
          <w:rFonts w:ascii="Arial" w:cs="Arial" w:eastAsia="Arial" w:hAnsi="Arial"/>
          <w:sz w:val="18"/>
          <w:szCs w:val="18"/>
          <w:color w:val="auto"/>
        </w:rPr>
        <w:t>, each person, if any, who controls the Sales Agent within the meaning of Section 15 of the 1933 Act or Section 20 of the 1934 Act and the Sales Agent’s Affiliates and selling agents shall have the same rights to contribution as the Sales Agent, and each director of the Company, each officer of the Company who signed the Registration Statement, and each person, if any, who controls the Company, the Adviser or the Administrator within the meaning of Section 15 of the 1933 Act or Section 20 of the 1934 Act shall have the same rights to contribution as the Company, the Adviser or the Administrator, as the case may be.</w:t>
      </w:r>
    </w:p>
    <w:p>
      <w:pPr>
        <w:spacing w:after="0" w:line="188"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Representations, Warranties and Agreements to Survive</w:t>
      </w:r>
      <w:r>
        <w:rPr>
          <w:rFonts w:ascii="Arial" w:cs="Arial" w:eastAsia="Arial" w:hAnsi="Arial"/>
          <w:sz w:val="18"/>
          <w:szCs w:val="18"/>
          <w:color w:val="auto"/>
        </w:rPr>
        <w:t>. All representations, warranties and agreements contained in this Agreement or in certificates of officers of the Company, any of the Subsidiaries, the Adviser or the Administrator submitted pursuant hereto, shall remain operative and in full force and effect regardless of (i) any investigation made by or on behalf of the Sales Agent or its Affiliates or selling agents, any person controlling the Sales Agent, its officers or directors or any person controlling the Company and (ii) delivery of and payment for the Securities.</w:t>
      </w:r>
    </w:p>
    <w:p>
      <w:pPr>
        <w:spacing w:after="0" w:line="188" w:lineRule="exact"/>
        <w:rPr>
          <w:sz w:val="20"/>
          <w:szCs w:val="20"/>
          <w:color w:val="auto"/>
        </w:rPr>
      </w:pPr>
    </w:p>
    <w:p>
      <w:pPr>
        <w:ind w:left="440"/>
        <w:spacing w:after="0"/>
        <w:tabs>
          <w:tab w:leader="none" w:pos="154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w:t>
      </w:r>
    </w:p>
    <w:p>
      <w:pPr>
        <w:spacing w:after="0" w:line="225" w:lineRule="exact"/>
        <w:rPr>
          <w:sz w:val="20"/>
          <w:szCs w:val="20"/>
          <w:color w:val="auto"/>
        </w:rPr>
      </w:pPr>
    </w:p>
    <w:p>
      <w:pPr>
        <w:ind w:firstLine="987"/>
        <w:spacing w:after="0" w:line="277" w:lineRule="auto"/>
        <w:tabs>
          <w:tab w:leader="none" w:pos="1371"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Termination by the Company, the Adviser and the Administrator</w:t>
      </w:r>
      <w:r>
        <w:rPr>
          <w:rFonts w:ascii="Arial" w:cs="Arial" w:eastAsia="Arial" w:hAnsi="Arial"/>
          <w:sz w:val="18"/>
          <w:szCs w:val="18"/>
          <w:color w:val="auto"/>
        </w:rPr>
        <w:t>. The Company, the Adviser and the Administrator may terminate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by giving one day advance notice to the Sales Agent, at any time.</w:t>
      </w:r>
    </w:p>
    <w:p>
      <w:pPr>
        <w:spacing w:after="0" w:line="170" w:lineRule="exact"/>
        <w:rPr>
          <w:rFonts w:ascii="Arial" w:cs="Arial" w:eastAsia="Arial" w:hAnsi="Arial"/>
          <w:sz w:val="18"/>
          <w:szCs w:val="18"/>
          <w:color w:val="auto"/>
        </w:rPr>
      </w:pPr>
    </w:p>
    <w:p>
      <w:pPr>
        <w:ind w:right="140" w:firstLine="987"/>
        <w:spacing w:after="0" w:line="263" w:lineRule="auto"/>
        <w:tabs>
          <w:tab w:leader="none" w:pos="1381"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Termination by the Sales Agent</w:t>
      </w:r>
      <w:r>
        <w:rPr>
          <w:rFonts w:ascii="Arial" w:cs="Arial" w:eastAsia="Arial" w:hAnsi="Arial"/>
          <w:sz w:val="18"/>
          <w:szCs w:val="18"/>
          <w:color w:val="auto"/>
        </w:rPr>
        <w:t>. The Sales Agent may terminate this Agreement, by giving one day advance notice to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at any time (i) if there has been, in the judgment of the Sales Agent, since the time of execution of this Agreement or since the respective dates as of which information is given in the Registration Statement or the Prospectus,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78" w:name="page79"/>
    <w:bookmarkEnd w:id="78"/>
    <w:p>
      <w:pPr>
        <w:ind w:left="4" w:right="10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material adverse change in the business, properties, management, financial condition, prospects or results of operations of the Company and the Subsidiaries taken as one enterprise or the Adviser or the Administrator, whether or not arising in the ordinary course of business, which would make it impracticable or inadvisable to proceed with the public offering or the delivery of the Securities on the terms and in the manner contemplated in the Registration Statement and the Prospectus,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Sales Agent, impracticable or inadvisable to proceed with the completion of the offering or to enforce contracts for the sale of the Securities, (iii) if trading in any securities of the Company has been suspended or materially limited by the Commission or The Nasdaq Stock Market,</w:t>
      </w:r>
    </w:p>
    <w:p>
      <w:pPr>
        <w:spacing w:after="0" w:line="1" w:lineRule="exact"/>
        <w:rPr>
          <w:sz w:val="20"/>
          <w:szCs w:val="20"/>
          <w:color w:val="auto"/>
        </w:rPr>
      </w:pPr>
    </w:p>
    <w:p>
      <w:pPr>
        <w:ind w:left="4" w:right="40" w:hanging="4"/>
        <w:spacing w:after="0" w:line="253" w:lineRule="auto"/>
        <w:tabs>
          <w:tab w:leader="none" w:pos="309"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trading generally on the NYSE Amex or The New York Stock Exchange or The Nasdaq Stock Market has been suspended or materially limited, or minimum or maximum prices for trading have been fixed, or maximum ranges for prices have been required, by any of said exchanges or by order of the Commission, FINRA or any other governmental authority,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90" w:lineRule="exact"/>
        <w:rPr>
          <w:rFonts w:ascii="Arial" w:cs="Arial" w:eastAsia="Arial" w:hAnsi="Arial"/>
          <w:sz w:val="18"/>
          <w:szCs w:val="18"/>
          <w:color w:val="auto"/>
        </w:rPr>
      </w:pPr>
    </w:p>
    <w:p>
      <w:pPr>
        <w:ind w:left="4" w:firstLine="987"/>
        <w:spacing w:after="0" w:line="263" w:lineRule="auto"/>
        <w:tabs>
          <w:tab w:leader="none" w:pos="1375" w:val="left"/>
        </w:tabs>
        <w:numPr>
          <w:ilvl w:val="1"/>
          <w:numId w:val="99"/>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such termination shall be without liability of any party to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other party except as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provided that </w:t>
      </w:r>
      <w:r>
        <w:rPr>
          <w:rFonts w:ascii="Arial" w:cs="Arial" w:eastAsia="Arial" w:hAnsi="Arial"/>
          <w:sz w:val="18"/>
          <w:szCs w:val="18"/>
          <w:u w:val="single" w:color="auto"/>
          <w:color w:val="auto"/>
        </w:rPr>
        <w:t>Sections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6, 7</w:t>
      </w:r>
      <w:r>
        <w:rPr>
          <w:rFonts w:ascii="Arial" w:cs="Arial" w:eastAsia="Arial" w:hAnsi="Arial"/>
          <w:sz w:val="18"/>
          <w:szCs w:val="18"/>
          <w:color w:val="auto"/>
        </w:rPr>
        <w:t xml:space="preserve">, </w:t>
      </w:r>
      <w:r>
        <w:rPr>
          <w:rFonts w:ascii="Arial" w:cs="Arial" w:eastAsia="Arial" w:hAnsi="Arial"/>
          <w:sz w:val="18"/>
          <w:szCs w:val="18"/>
          <w:u w:val="single" w:color="auto"/>
          <w:color w:val="auto"/>
        </w:rPr>
        <w:t>8</w:t>
      </w:r>
      <w:r>
        <w:rPr>
          <w:rFonts w:ascii="Arial" w:cs="Arial" w:eastAsia="Arial" w:hAnsi="Arial"/>
          <w:sz w:val="18"/>
          <w:szCs w:val="18"/>
          <w:color w:val="auto"/>
        </w:rPr>
        <w:t xml:space="preserve">, </w:t>
      </w:r>
      <w:r>
        <w:rPr>
          <w:rFonts w:ascii="Arial" w:cs="Arial" w:eastAsia="Arial" w:hAnsi="Arial"/>
          <w:sz w:val="18"/>
          <w:szCs w:val="18"/>
          <w:u w:val="single" w:color="auto"/>
          <w:color w:val="auto"/>
        </w:rPr>
        <w:t>14</w:t>
      </w:r>
      <w:r>
        <w:rPr>
          <w:rFonts w:ascii="Arial" w:cs="Arial" w:eastAsia="Arial" w:hAnsi="Arial"/>
          <w:sz w:val="18"/>
          <w:szCs w:val="18"/>
          <w:color w:val="auto"/>
        </w:rPr>
        <w:t xml:space="preserve">, </w:t>
      </w:r>
      <w:r>
        <w:rPr>
          <w:rFonts w:ascii="Arial" w:cs="Arial" w:eastAsia="Arial" w:hAnsi="Arial"/>
          <w:sz w:val="18"/>
          <w:szCs w:val="18"/>
          <w:u w:val="single" w:color="auto"/>
          <w:color w:val="auto"/>
        </w:rPr>
        <w:t>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16</w:t>
      </w:r>
      <w:r>
        <w:rPr>
          <w:rFonts w:ascii="Arial" w:cs="Arial" w:eastAsia="Arial" w:hAnsi="Arial"/>
          <w:sz w:val="18"/>
          <w:szCs w:val="18"/>
          <w:color w:val="auto"/>
        </w:rPr>
        <w:t xml:space="preserve"> shall survive such termination and remain in full force and effect.</w:t>
      </w:r>
    </w:p>
    <w:p>
      <w:pPr>
        <w:spacing w:after="0" w:line="184" w:lineRule="exact"/>
        <w:rPr>
          <w:sz w:val="20"/>
          <w:szCs w:val="20"/>
          <w:color w:val="auto"/>
        </w:rPr>
      </w:pPr>
    </w:p>
    <w:p>
      <w:pPr>
        <w:ind w:left="4" w:firstLine="440"/>
        <w:spacing w:after="0" w:line="255"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 Joint Venture</w:t>
      </w:r>
      <w:r>
        <w:rPr>
          <w:rFonts w:ascii="Arial" w:cs="Arial" w:eastAsia="Arial" w:hAnsi="Arial"/>
          <w:sz w:val="18"/>
          <w:szCs w:val="18"/>
          <w:color w:val="auto"/>
        </w:rPr>
        <w:t>. The Company, the Adviser, the Administrator and the Sales Agent expressly acknowledge, understand and agree that the Sales Agent and the Other Agent are not, and shall not be deemed for any purpose, to be acting as an joint venture or partner of one another and that neither the Sales Agent nor the Other Agent assume responsibility or liability, express or implied, for any actions or omissions of, or the performance of services by the Sales Agent or the Other Agent, respectively, in connection with the offering of the shares of Common Stock pursuant to this Agreement or the Sales Agreement, or otherwise. The obligations of the Sales Agent hereunder and of the Other Agent under the Sales Agreement shall be several and not joint.</w:t>
      </w:r>
    </w:p>
    <w:p>
      <w:pPr>
        <w:spacing w:after="0" w:line="192" w:lineRule="exact"/>
        <w:rPr>
          <w:sz w:val="20"/>
          <w:szCs w:val="20"/>
          <w:color w:val="auto"/>
        </w:rPr>
      </w:pPr>
    </w:p>
    <w:p>
      <w:pPr>
        <w:ind w:left="4" w:right="60" w:firstLine="440"/>
        <w:spacing w:after="0" w:line="25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 by any standard form of telecommunication. Notices to the Sales Agent shall be directed to Raymond James &amp; Associates, Inc. at 880 Carillon Parkway, St. Petersburg, Florida 33716, facsimile No. (901) 579-4891 and (727) 567-8750, Attention: Larry M. Herman, Managing Director/Financial Services Investment Banking and Thomas Donegan, General Counsel/Global Equities &amp; Investment Banking, with a copy (which shall not constitute notice) to Proskauer Rose LLP at 1001 Pennsylvania Ave., NW, Suite 600 South, Washington, D.C. 20004, Attention: William Tuttle. Notices to the Company, the Adviser and the Administrator shall be directed to them at 590 Madison Avenue, 15th Floor, New York, NY 10022, facsimile No. (212) 905-1075, Attention: Arthur Penn.</w:t>
      </w:r>
    </w:p>
    <w:p>
      <w:pPr>
        <w:spacing w:after="0" w:line="12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984"/>
          </w:cols>
          <w:pgMar w:left="436" w:top="274" w:right="479" w:bottom="1440" w:gutter="0" w:footer="0" w:header="0"/>
        </w:sectPr>
      </w:pPr>
    </w:p>
    <w:bookmarkStart w:id="79" w:name="page80"/>
    <w:bookmarkEnd w:id="79"/>
    <w:p>
      <w:pPr>
        <w:ind w:left="4" w:firstLine="44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 </w:t>
      </w: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(a) the purchase and sale of the Securities pursuant to this Agreement, including the determination of the public offering price of the Securities and any related discounts and commissions, is an arm’s-length commercial transaction between the Company, on the one hand, and the Sales Agent, on the other hand, (b) in connection with the offering of the Securities and the process leading thereto, the Sales Agent is and has been acting solely as a principal and is not the agent or fiduciary of the Company, any of the Subsidiaries or their respective stockholders, creditors, employees or any other party, (c) the Sales Agent has not assumed or will assume an advisory or fiduciary responsibility in favor of the Company with respect to the offering of the Securities or the process leading thereto (irrespective of whether the Sales Agent has advised or is currently advising the Company or any of its subsidiaries on other matters) and the Sales Agent has no obligation to the Company with respect to the offering of the Securities except the obligations expressly set forth in this Agreement, (d) the Sales Agent and its respective affiliates may be engaged in a broad range of transactions that involve interests that differ from those of the Company and</w:t>
      </w:r>
    </w:p>
    <w:p>
      <w:pPr>
        <w:spacing w:after="0" w:line="6" w:lineRule="exact"/>
        <w:rPr>
          <w:sz w:val="20"/>
          <w:szCs w:val="20"/>
          <w:color w:val="auto"/>
        </w:rPr>
      </w:pPr>
    </w:p>
    <w:p>
      <w:pPr>
        <w:ind w:left="4" w:right="200" w:hanging="4"/>
        <w:spacing w:after="0" w:line="260" w:lineRule="auto"/>
        <w:tabs>
          <w:tab w:leader="none" w:pos="249"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Sales Agent has not provided any legal, accounting, regulatory or tax advice with respect to the offering of the Securities and the Company has consulted its own respective legal, accounting, regulatory and tax advisors to the extent it deemed appropriate.</w:t>
      </w:r>
    </w:p>
    <w:p>
      <w:pPr>
        <w:spacing w:after="0" w:line="185" w:lineRule="exact"/>
        <w:rPr>
          <w:sz w:val="20"/>
          <w:szCs w:val="20"/>
          <w:color w:val="auto"/>
        </w:rPr>
      </w:pPr>
    </w:p>
    <w:p>
      <w:pPr>
        <w:ind w:left="4" w:right="80" w:firstLine="440"/>
        <w:spacing w:after="0" w:line="290"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Parties</w:t>
      </w:r>
      <w:r>
        <w:rPr>
          <w:rFonts w:ascii="Arial" w:cs="Arial" w:eastAsia="Arial" w:hAnsi="Arial"/>
          <w:sz w:val="16"/>
          <w:szCs w:val="16"/>
          <w:color w:val="auto"/>
        </w:rPr>
        <w:t xml:space="preserve">. This Agreement shall each inure to the benefit of and be binding upon the Sales Agent, the Company, the Adviser, the Administrator and their respective successors. Nothing expressed or mentioned in this Agreement is intended or shall be construed to give any person, firm or corporation, other than the Sales Agent, the Company, the Adviser and the Administrator and their respective successors and the controlling persons and officers and directors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their heirs and legal representatives, any legal or equitable right, remedy or claim under or in respect of this Agreement or any provision herein contained. This Agreement and all conditions and provisions hereof are intended to be for the sole and exclusive benefit of the Sales Agent, the Company, the Adviser and the Administrator and their respective successors, and said controlling persons and officers and directors and their heirs and legal representatives, and for the benefit of no other person, firm or corporation. No purchaser of Securities from the Sales Agent shall be deemed to be a successor by reason merely of such purchase.</w:t>
      </w:r>
    </w:p>
    <w:p>
      <w:pPr>
        <w:spacing w:after="0" w:line="165" w:lineRule="exact"/>
        <w:rPr>
          <w:sz w:val="20"/>
          <w:szCs w:val="20"/>
          <w:color w:val="auto"/>
        </w:rPr>
      </w:pPr>
    </w:p>
    <w:p>
      <w:pPr>
        <w:ind w:left="4" w:right="220" w:firstLine="440"/>
        <w:spacing w:after="0" w:line="286"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Trial by Jury</w:t>
      </w:r>
      <w:r>
        <w:rPr>
          <w:rFonts w:ascii="Arial" w:cs="Arial" w:eastAsia="Arial" w:hAnsi="Arial"/>
          <w:sz w:val="17"/>
          <w:szCs w:val="17"/>
          <w:color w:val="auto"/>
        </w:rPr>
        <w:t>. The Company (on its behalf and, to the extent permitted by applicable law, on behalf of its stockholders and affiliates), the Adviser, the Administrator and the Sales Agent hereby irrevocably waives, to the fullest extent permitted by applicable law, any and all right to trial by jury in any legal proceeding arising out of or relating to this Agreement or the transactions contemplated hereby.</w:t>
      </w:r>
    </w:p>
    <w:p>
      <w:pPr>
        <w:spacing w:after="0" w:line="165" w:lineRule="exact"/>
        <w:rPr>
          <w:sz w:val="20"/>
          <w:szCs w:val="20"/>
          <w:color w:val="auto"/>
        </w:rPr>
      </w:pPr>
    </w:p>
    <w:p>
      <w:pPr>
        <w:ind w:left="4" w:firstLine="440"/>
        <w:spacing w:after="0" w:line="26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4" w:right="459" w:bottom="1440" w:gutter="0" w:footer="0" w:header="0"/>
        </w:sectPr>
      </w:pPr>
    </w:p>
    <w:bookmarkStart w:id="80" w:name="page81"/>
    <w:bookmarkEnd w:id="80"/>
    <w:p>
      <w:pPr>
        <w:ind w:firstLine="4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16. </w:t>
      </w:r>
      <w:r>
        <w:rPr>
          <w:rFonts w:ascii="Arial" w:cs="Arial" w:eastAsia="Arial" w:hAnsi="Arial"/>
          <w:sz w:val="17"/>
          <w:szCs w:val="17"/>
          <w:u w:val="single" w:color="auto"/>
          <w:color w:val="auto"/>
        </w:rPr>
        <w:t>Consent to Jurisdiction; Waiver of Immunity</w:t>
      </w:r>
      <w:r>
        <w:rPr>
          <w:rFonts w:ascii="Arial" w:cs="Arial" w:eastAsia="Arial" w:hAnsi="Arial"/>
          <w:sz w:val="17"/>
          <w:szCs w:val="17"/>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88"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affect the construction hereof.</w:t>
      </w:r>
    </w:p>
    <w:p>
      <w:pPr>
        <w:spacing w:after="0" w:line="225" w:lineRule="exact"/>
        <w:rPr>
          <w:sz w:val="20"/>
          <w:szCs w:val="20"/>
          <w:color w:val="auto"/>
        </w:rPr>
      </w:pPr>
    </w:p>
    <w:p>
      <w:pPr>
        <w:ind w:left="440"/>
        <w:spacing w:after="0"/>
        <w:tabs>
          <w:tab w:leader="none" w:pos="162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6"/>
          <w:szCs w:val="16"/>
          <w:u w:val="single" w:color="auto"/>
          <w:color w:val="auto"/>
        </w:rPr>
        <w:t>Recognition of the U.S. Special Resolution Regimes</w:t>
      </w:r>
      <w:r>
        <w:rPr>
          <w:rFonts w:ascii="Arial" w:cs="Arial" w:eastAsia="Arial" w:hAnsi="Arial"/>
          <w:sz w:val="16"/>
          <w:szCs w:val="16"/>
          <w:color w:val="auto"/>
        </w:rPr>
        <w:t>.</w:t>
      </w:r>
    </w:p>
    <w:p>
      <w:pPr>
        <w:spacing w:after="0" w:line="225" w:lineRule="exact"/>
        <w:rPr>
          <w:sz w:val="20"/>
          <w:szCs w:val="20"/>
          <w:color w:val="auto"/>
        </w:rPr>
      </w:pPr>
    </w:p>
    <w:p>
      <w:pPr>
        <w:jc w:val="both"/>
        <w:ind w:right="40" w:firstLine="987"/>
        <w:spacing w:after="0" w:line="259" w:lineRule="auto"/>
        <w:tabs>
          <w:tab w:leader="none" w:pos="137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event that the Sales Agent that is a Covered Entity becomes subject to a proceeding under a U.S. Special Resolution Regime, the transfer from the Sales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right="60" w:firstLine="987"/>
        <w:spacing w:after="0" w:line="259" w:lineRule="auto"/>
        <w:tabs>
          <w:tab w:leader="none" w:pos="1381"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the event that the Sales Agent that is a Covered Entity or a BHC Act Affiliate of the Sales Agent becomes subject to a proceeding under a U.S. Special Resolution Regime, Default Rights under this Agreement that may be exercised against the Sales Agent are permitted to be exercised to no greater extent than such Default Rights could be exercised under the U.S. Special Resolution Regime if this Agreement were governed by the laws of the United States or a state of the United States.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0"/>
          </w:cols>
          <w:pgMar w:left="440" w:top="274" w:right="499" w:bottom="1440" w:gutter="0" w:footer="0" w:header="0"/>
        </w:sectPr>
      </w:pPr>
    </w:p>
    <w:bookmarkStart w:id="81" w:name="page82"/>
    <w:bookmarkEnd w:id="81"/>
    <w:p>
      <w:pPr>
        <w:jc w:val="both"/>
        <w:ind w:left="4" w:firstLine="987"/>
        <w:spacing w:after="0" w:line="285" w:lineRule="auto"/>
        <w:tabs>
          <w:tab w:leader="none" w:pos="1375" w:val="left"/>
        </w:tabs>
        <w:numPr>
          <w:ilvl w:val="1"/>
          <w:numId w:val="10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this </w:t>
      </w:r>
      <w:r>
        <w:rPr>
          <w:rFonts w:ascii="Arial" w:cs="Arial" w:eastAsia="Arial" w:hAnsi="Arial"/>
          <w:sz w:val="16"/>
          <w:szCs w:val="16"/>
          <w:u w:val="single" w:color="auto"/>
          <w:color w:val="auto"/>
        </w:rPr>
        <w:t>Section 20</w:t>
      </w:r>
      <w:r>
        <w:rPr>
          <w:rFonts w:ascii="Arial" w:cs="Arial" w:eastAsia="Arial" w:hAnsi="Arial"/>
          <w:sz w:val="16"/>
          <w:szCs w:val="16"/>
          <w:color w:val="auto"/>
        </w:rPr>
        <w:t>,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w:t>
      </w:r>
    </w:p>
    <w:p>
      <w:pPr>
        <w:spacing w:after="0" w:line="1" w:lineRule="exact"/>
        <w:rPr>
          <w:rFonts w:ascii="Arial" w:cs="Arial" w:eastAsia="Arial" w:hAnsi="Arial"/>
          <w:sz w:val="16"/>
          <w:szCs w:val="16"/>
          <w:color w:val="auto"/>
        </w:rPr>
      </w:pPr>
    </w:p>
    <w:p>
      <w:pPr>
        <w:ind w:left="4" w:right="120" w:hanging="4"/>
        <w:spacing w:after="0" w:line="260" w:lineRule="auto"/>
        <w:tabs>
          <w:tab w:leader="none" w:pos="21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Federal Deposit Insurance Act and the regulations promulgated thereunder and (ii) Title II of the Dodd-Frank Wall Street Reform and Consumer Protection Act and the regulations promulgated thereunder.</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82" w:name="page83"/>
    <w:bookmarkEnd w:id="82"/>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the Company a counterpart hereof, whereupon this instrument, along with all counterparts, will become a binding agreement among the Sales Agent, the Company, the Adviser and the Administrator in accordance with its terms.</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FLOATING RATE CAPITAL LTD.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ADVISERS,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PENNANTPARK INVESTMENT ADMINISTRATION,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Arthur H. Penn</w:t>
      </w:r>
    </w:p>
    <w:p>
      <w:pPr>
        <w:spacing w:after="0" w:line="23" w:lineRule="exact"/>
        <w:rPr>
          <w:sz w:val="20"/>
          <w:szCs w:val="20"/>
          <w:color w:val="auto"/>
        </w:rPr>
      </w:pPr>
    </w:p>
    <w:p>
      <w:pPr>
        <w:ind w:left="6980"/>
        <w:spacing w:after="0"/>
        <w:tabs>
          <w:tab w:leader="none" w:pos="7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Sales Agreement – Raymond James]</w:t>
      </w:r>
    </w:p>
    <w:p>
      <w:pPr>
        <w:sectPr>
          <w:pgSz w:w="11900" w:h="16838" w:orient="portrait"/>
          <w:cols w:equalWidth="0" w:num="1">
            <w:col w:w="10960"/>
          </w:cols>
          <w:pgMar w:left="440" w:top="274" w:right="49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CONFIRMED AND ACCEPTED,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RAYMOND JAMES &amp; ASSOCIATES, INC.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Larry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 Larry Herman</w:t>
      </w:r>
    </w:p>
    <w:p>
      <w:pPr>
        <w:spacing w:after="0" w:line="23" w:lineRule="exact"/>
        <w:rPr>
          <w:sz w:val="20"/>
          <w:szCs w:val="20"/>
          <w:color w:val="auto"/>
        </w:rPr>
      </w:pPr>
    </w:p>
    <w:p>
      <w:pPr>
        <w:ind w:left="360"/>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1" w:lineRule="exact"/>
        <w:rPr>
          <w:sz w:val="20"/>
          <w:szCs w:val="20"/>
          <w:color w:val="auto"/>
        </w:rPr>
      </w:pPr>
    </w:p>
    <w:p>
      <w:pPr>
        <w:jc w:val="right"/>
        <w:ind w:right="2499"/>
        <w:spacing w:after="0"/>
        <w:rPr>
          <w:sz w:val="20"/>
          <w:szCs w:val="20"/>
          <w:color w:val="auto"/>
        </w:rPr>
      </w:pPr>
      <w:r>
        <w:rPr>
          <w:rFonts w:ascii="Arial" w:cs="Arial" w:eastAsia="Arial" w:hAnsi="Arial"/>
          <w:sz w:val="18"/>
          <w:szCs w:val="18"/>
          <w:color w:val="auto"/>
        </w:rPr>
        <w:t>[Signature Page to Sales Agreement – Raymond James]</w:t>
      </w:r>
    </w:p>
    <w:p>
      <w:pPr>
        <w:sectPr>
          <w:pgSz w:w="11900" w:h="16838" w:orient="portrait"/>
          <w:cols w:equalWidth="0" w:num="1">
            <w:col w:w="10019"/>
          </w:cols>
          <w:pgMar w:left="440" w:top="274" w:right="1440" w:bottom="1440" w:gutter="0" w:footer="0" w:header="0"/>
        </w:sectPr>
      </w:pPr>
    </w:p>
    <w:bookmarkStart w:id="84" w:name="page85"/>
    <w:bookmarkEnd w:id="84"/>
    <w:p>
      <w:pPr>
        <w:jc w:val="right"/>
        <w:ind w:right="39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subsidiaries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Funding 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Funding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CLO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CLO I,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PennantPark CLO I Depositor,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PFLT Investment Holdings, LLC</w:t>
      </w:r>
    </w:p>
    <w:p>
      <w:pPr>
        <w:sectPr>
          <w:pgSz w:w="11900" w:h="16838" w:orient="portrait"/>
          <w:cols w:equalWidth="0" w:num="1">
            <w:col w:w="10019"/>
          </w:cols>
          <w:pgMar w:left="440" w:top="270" w:right="1440" w:bottom="1440" w:gutter="0" w:footer="0" w:header="0"/>
        </w:sectPr>
      </w:pPr>
    </w:p>
    <w:bookmarkStart w:id="85" w:name="page86"/>
    <w:bookmarkEnd w:id="85"/>
    <w:p>
      <w:pPr>
        <w:jc w:val="right"/>
        <w:ind w:right="39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Authorized Representatives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Cheung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Agent Authorized Representatives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Jeff Fordham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Jeanna Bryan</w:t>
      </w:r>
    </w:p>
    <w:p>
      <w:pPr>
        <w:sectPr>
          <w:pgSz w:w="11900" w:h="16838" w:orient="portrait"/>
          <w:cols w:equalWidth="0" w:num="1">
            <w:col w:w="10019"/>
          </w:cols>
          <w:pgMar w:left="440" w:top="270" w:right="1440"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5494655" cy="5657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946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20,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590 Madison Avenue</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38" w:lineRule="exact"/>
        <w:rPr>
          <w:sz w:val="20"/>
          <w:szCs w:val="20"/>
          <w:color w:val="auto"/>
        </w:rPr>
      </w:pPr>
    </w:p>
    <w:p>
      <w:pPr>
        <w:jc w:val="center"/>
        <w:ind w:right="4960"/>
        <w:spacing w:after="0"/>
        <w:tabs>
          <w:tab w:leader="none" w:pos="160" w:val="left"/>
        </w:tabs>
        <w:rPr>
          <w:sz w:val="20"/>
          <w:szCs w:val="20"/>
          <w:color w:val="auto"/>
        </w:rPr>
      </w:pPr>
      <w:r>
        <w:rPr>
          <w:rFonts w:ascii="Arial" w:cs="Arial" w:eastAsia="Arial" w:hAnsi="Arial"/>
          <w:sz w:val="18"/>
          <w:szCs w:val="18"/>
          <w:color w:val="auto"/>
        </w:rPr>
        <w:t>Re:</w:t>
        <w:tab/>
        <w:t>Registration Statement on Form N-2:</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1933 Act File No. 333-235532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-19050</wp:posOffset>
            </wp:positionV>
            <wp:extent cx="17487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991"/>
        <w:spacing w:after="0" w:line="255" w:lineRule="auto"/>
        <w:rPr>
          <w:sz w:val="20"/>
          <w:szCs w:val="20"/>
          <w:color w:val="auto"/>
        </w:rPr>
      </w:pPr>
      <w:r>
        <w:rPr>
          <w:rFonts w:ascii="Arial" w:cs="Arial" w:eastAsia="Arial" w:hAnsi="Arial"/>
          <w:sz w:val="18"/>
          <w:szCs w:val="18"/>
          <w:color w:val="auto"/>
        </w:rPr>
        <w:t>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issuance of shares (the “Shares”) of common stock, $0.001 par value per share, of the Company having an aggregate offering price of up to $75,000,000, to be issued in an at-the-market public offering (the “Offering”), covered by the Registration Statement, and all amendments thereto (the “Registration Statement”), filed by the Company with the United States Securities and Exchange Commission (the “Commission”) under the Securities Act of 1933, as amended (the “1933 Act”).</w:t>
      </w:r>
    </w:p>
    <w:p>
      <w:pPr>
        <w:spacing w:after="0" w:line="192" w:lineRule="exact"/>
        <w:rPr>
          <w:sz w:val="20"/>
          <w:szCs w:val="20"/>
          <w:color w:val="auto"/>
        </w:rPr>
      </w:pPr>
    </w:p>
    <w:p>
      <w:pPr>
        <w:ind w:right="140" w:firstLine="991"/>
        <w:spacing w:after="0" w:line="342" w:lineRule="auto"/>
        <w:rPr>
          <w:sz w:val="20"/>
          <w:szCs w:val="20"/>
          <w:color w:val="auto"/>
        </w:rPr>
      </w:pPr>
      <w:r>
        <w:rPr>
          <w:rFonts w:ascii="Arial" w:cs="Arial" w:eastAsia="Arial" w:hAnsi="Arial"/>
          <w:sz w:val="16"/>
          <w:szCs w:val="16"/>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24" w:lineRule="exact"/>
        <w:rPr>
          <w:sz w:val="20"/>
          <w:szCs w:val="20"/>
          <w:color w:val="auto"/>
        </w:rPr>
      </w:pPr>
    </w:p>
    <w:p>
      <w:pPr>
        <w:ind w:left="1300" w:hanging="313"/>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Registration Statement, and the related form of prospectus included therein;</w:t>
      </w:r>
    </w:p>
    <w:p>
      <w:pPr>
        <w:spacing w:after="0" w:line="225" w:lineRule="exact"/>
        <w:rPr>
          <w:rFonts w:ascii="Arial" w:cs="Arial" w:eastAsia="Arial" w:hAnsi="Arial"/>
          <w:sz w:val="18"/>
          <w:szCs w:val="18"/>
          <w:color w:val="auto"/>
        </w:rPr>
      </w:pPr>
    </w:p>
    <w:p>
      <w:pPr>
        <w:ind w:right="280" w:firstLine="987"/>
        <w:spacing w:after="0" w:line="277" w:lineRule="auto"/>
        <w:tabs>
          <w:tab w:leader="none" w:pos="1303"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Prospectus Supplement, dated August 20, 2021, in the form to be filed by the Company with the Commission pursuant to Rule 497 under the 1933 Act;</w:t>
      </w:r>
    </w:p>
    <w:p>
      <w:pPr>
        <w:spacing w:after="0" w:line="170" w:lineRule="exact"/>
        <w:rPr>
          <w:rFonts w:ascii="Arial" w:cs="Arial" w:eastAsia="Arial" w:hAnsi="Arial"/>
          <w:sz w:val="18"/>
          <w:szCs w:val="18"/>
          <w:color w:val="auto"/>
        </w:rPr>
      </w:pPr>
    </w:p>
    <w:p>
      <w:pPr>
        <w:ind w:left="1300" w:hanging="313"/>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charter of the Company, certified by the State Department of Assessments and Taxation of Maryland (the “SDAT”);</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Bylaws of the Company, certified as of the date hereof by an officer of the Company;</w:t>
      </w:r>
    </w:p>
    <w:p>
      <w:pPr>
        <w:spacing w:after="0" w:line="225" w:lineRule="exact"/>
        <w:rPr>
          <w:rFonts w:ascii="Arial" w:cs="Arial" w:eastAsia="Arial" w:hAnsi="Arial"/>
          <w:sz w:val="18"/>
          <w:szCs w:val="18"/>
          <w:color w:val="auto"/>
        </w:rPr>
      </w:pPr>
    </w:p>
    <w:p>
      <w:pPr>
        <w:ind w:left="1300" w:hanging="313"/>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certificate of the SDAT as to the good standing of the Company, dated as of a recent date;</w:t>
      </w:r>
    </w:p>
    <w:p>
      <w:pPr>
        <w:sectPr>
          <w:pgSz w:w="11900" w:h="16838" w:orient="portrait"/>
          <w:cols w:equalWidth="0" w:num="1">
            <w:col w:w="11020"/>
          </w:cols>
          <w:pgMar w:left="440" w:top="121" w:right="439" w:bottom="1440" w:gutter="0" w:footer="0" w:header="0"/>
        </w:sectPr>
      </w:pPr>
    </w:p>
    <w:bookmarkStart w:id="87" w:name="page88"/>
    <w:bookmarkEnd w:id="8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PennantPark Investment Corporation</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August 20, 2021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left="4" w:right="80" w:firstLine="987"/>
        <w:spacing w:after="0" w:line="291" w:lineRule="auto"/>
        <w:tabs>
          <w:tab w:leader="none" w:pos="131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Resolutions (the “Resolutions”) adopted by the Board of Directors of the Company, relating to, among other things, the authorization of (a) the registration, sale and issuance of the Shares, (b) the execution, delivery and performance by the Company of the Distribution Agreement and</w:t>
      </w:r>
    </w:p>
    <w:p>
      <w:pPr>
        <w:ind w:left="4" w:right="440" w:hanging="4"/>
        <w:spacing w:after="0" w:line="290" w:lineRule="auto"/>
        <w:tabs>
          <w:tab w:leader="none" w:pos="24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delegation to designated officers of the Company of the power to determine the number and price of the Shares and certain other matters in connection with the Offering, subject to the Resolutions, certified as of the date hereof by an officer of the Company;</w:t>
      </w:r>
    </w:p>
    <w:p>
      <w:pPr>
        <w:spacing w:after="0" w:line="161" w:lineRule="exact"/>
        <w:rPr>
          <w:rFonts w:ascii="Arial" w:cs="Arial" w:eastAsia="Arial" w:hAnsi="Arial"/>
          <w:sz w:val="17"/>
          <w:szCs w:val="17"/>
          <w:color w:val="auto"/>
        </w:rPr>
      </w:pPr>
    </w:p>
    <w:p>
      <w:pPr>
        <w:ind w:left="4" w:right="160" w:firstLine="987"/>
        <w:spacing w:after="0" w:line="263" w:lineRule="auto"/>
        <w:tabs>
          <w:tab w:leader="none" w:pos="130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Equity Distribution Agreement, dated as of August 20, 2021 (the “JMP Distribution Agreement”), by and among the Company, PennantPark Investment Advisers, LLC, a Delaware limited liability company (the “Adviser”), and PennantPark Investment Administration, LLC, a Delaware limited liability company (the “Administrator”), and JMP Securities LLC;</w:t>
      </w:r>
    </w:p>
    <w:p>
      <w:pPr>
        <w:spacing w:after="0" w:line="183" w:lineRule="exact"/>
        <w:rPr>
          <w:rFonts w:ascii="Arial" w:cs="Arial" w:eastAsia="Arial" w:hAnsi="Arial"/>
          <w:sz w:val="18"/>
          <w:szCs w:val="18"/>
          <w:color w:val="auto"/>
        </w:rPr>
      </w:pPr>
    </w:p>
    <w:p>
      <w:pPr>
        <w:jc w:val="both"/>
        <w:ind w:left="4" w:right="140" w:firstLine="987"/>
        <w:spacing w:after="0" w:line="263" w:lineRule="auto"/>
        <w:tabs>
          <w:tab w:leader="none" w:pos="1307"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Equity Distribution Agreement, dated as of August 20, 2021 (the “Raymond James Distribution Agreement” and, together with the JMP Distribution Agreement, the “Distribution Agreements”), by and among the Company, the Adviser, the Administrator and Raymond James &amp; Associates, Inc.;</w:t>
      </w:r>
    </w:p>
    <w:p>
      <w:pPr>
        <w:spacing w:after="0" w:line="183" w:lineRule="exact"/>
        <w:rPr>
          <w:rFonts w:ascii="Arial" w:cs="Arial" w:eastAsia="Arial" w:hAnsi="Arial"/>
          <w:sz w:val="18"/>
          <w:szCs w:val="18"/>
          <w:color w:val="auto"/>
        </w:rPr>
      </w:pPr>
    </w:p>
    <w:p>
      <w:pPr>
        <w:ind w:left="1304" w:hanging="313"/>
        <w:spacing w:after="0"/>
        <w:tabs>
          <w:tab w:leader="none" w:pos="130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certificate executed by an officer of the Company, dated as of the date hereof; and</w:t>
      </w:r>
    </w:p>
    <w:p>
      <w:pPr>
        <w:spacing w:after="0" w:line="225" w:lineRule="exact"/>
        <w:rPr>
          <w:rFonts w:ascii="Arial" w:cs="Arial" w:eastAsia="Arial" w:hAnsi="Arial"/>
          <w:sz w:val="18"/>
          <w:szCs w:val="18"/>
          <w:color w:val="auto"/>
        </w:rPr>
      </w:pPr>
    </w:p>
    <w:p>
      <w:pPr>
        <w:ind w:left="4" w:right="60" w:firstLine="987"/>
        <w:spacing w:after="0" w:line="277" w:lineRule="auto"/>
        <w:tabs>
          <w:tab w:leader="none" w:pos="140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Such other documents and matters as we have deemed necessary or appropriate to express the opinion set forth below, subject to the assumptions, limitations and qualifications stated herein.</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In expressing the opinion set forth below, we have assumed the following:</w:t>
      </w:r>
    </w:p>
    <w:p>
      <w:pPr>
        <w:spacing w:after="0" w:line="225" w:lineRule="exact"/>
        <w:rPr>
          <w:sz w:val="20"/>
          <w:szCs w:val="20"/>
          <w:color w:val="auto"/>
        </w:rPr>
      </w:pPr>
    </w:p>
    <w:p>
      <w:pPr>
        <w:ind w:left="984"/>
        <w:spacing w:after="0"/>
        <w:tabs>
          <w:tab w:leader="none" w:pos="1284"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Each individual executing any of the Documents, whether on behalf of such individual or any other person, is legally competent to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do so.</w:t>
      </w:r>
    </w:p>
    <w:p>
      <w:pPr>
        <w:spacing w:after="0" w:line="211" w:lineRule="exact"/>
        <w:rPr>
          <w:sz w:val="20"/>
          <w:szCs w:val="20"/>
          <w:color w:val="auto"/>
        </w:rPr>
      </w:pPr>
    </w:p>
    <w:p>
      <w:pPr>
        <w:ind w:left="1304" w:hanging="313"/>
        <w:spacing w:after="0"/>
        <w:tabs>
          <w:tab w:leader="none" w:pos="1304"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Each individual executing any of the Documents on behalf of a party (other than the Company) is duly authorized to do so.</w:t>
      </w:r>
    </w:p>
    <w:p>
      <w:pPr>
        <w:spacing w:after="0" w:line="236" w:lineRule="exact"/>
        <w:rPr>
          <w:rFonts w:ascii="Arial" w:cs="Arial" w:eastAsia="Arial" w:hAnsi="Arial"/>
          <w:sz w:val="17"/>
          <w:szCs w:val="17"/>
          <w:color w:val="auto"/>
        </w:rPr>
      </w:pPr>
    </w:p>
    <w:p>
      <w:pPr>
        <w:ind w:left="4" w:firstLine="987"/>
        <w:spacing w:after="0" w:line="263" w:lineRule="auto"/>
        <w:tabs>
          <w:tab w:leader="none" w:pos="131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ectPr>
          <w:pgSz w:w="11900" w:h="16838" w:orient="portrait"/>
          <w:cols w:equalWidth="0" w:num="1">
            <w:col w:w="10964"/>
          </w:cols>
          <w:pgMar w:left="436" w:top="1165" w:right="49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20,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firstLine="987"/>
        <w:spacing w:after="0" w:line="273" w:lineRule="auto"/>
        <w:tabs>
          <w:tab w:leader="none" w:pos="1296"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77" w:lineRule="exact"/>
        <w:rPr>
          <w:rFonts w:ascii="Arial" w:cs="Arial" w:eastAsia="Arial" w:hAnsi="Arial"/>
          <w:sz w:val="17"/>
          <w:szCs w:val="17"/>
          <w:color w:val="auto"/>
        </w:rPr>
      </w:pPr>
    </w:p>
    <w:p>
      <w:pPr>
        <w:ind w:right="120" w:firstLine="987"/>
        <w:spacing w:after="0" w:line="277" w:lineRule="auto"/>
        <w:tabs>
          <w:tab w:leader="none" w:pos="1306"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Upon the issuance of any of the Shares, the total number of shares of Common Stock issued and outstanding will not exceed the total number of shares of Common Stock that the Company is then authorized to issue under the Charter.</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Based upon the foregoing, and subject to the assumptions, limitations and qualifications stated herein, it is our opinion that:</w:t>
      </w:r>
    </w:p>
    <w:p>
      <w:pPr>
        <w:spacing w:after="0" w:line="225" w:lineRule="exact"/>
        <w:rPr>
          <w:sz w:val="20"/>
          <w:szCs w:val="20"/>
          <w:color w:val="auto"/>
        </w:rPr>
      </w:pPr>
    </w:p>
    <w:p>
      <w:pPr>
        <w:ind w:right="120" w:firstLine="987"/>
        <w:spacing w:after="0" w:line="277" w:lineRule="auto"/>
        <w:tabs>
          <w:tab w:leader="none" w:pos="130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is a corporation duly incorporated and existing under and by virtue of the laws of the State of Maryland and is in good standing with the SDAT.</w:t>
      </w:r>
    </w:p>
    <w:p>
      <w:pPr>
        <w:spacing w:after="0" w:line="170" w:lineRule="exact"/>
        <w:rPr>
          <w:rFonts w:ascii="Arial" w:cs="Arial" w:eastAsia="Arial" w:hAnsi="Arial"/>
          <w:sz w:val="18"/>
          <w:szCs w:val="18"/>
          <w:color w:val="auto"/>
        </w:rPr>
      </w:pPr>
    </w:p>
    <w:p>
      <w:pPr>
        <w:ind w:right="380" w:firstLine="987"/>
        <w:spacing w:after="0" w:line="263" w:lineRule="auto"/>
        <w:tabs>
          <w:tab w:leader="none" w:pos="130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issuance of the Shares has been duly authorized and, when issued and delivered by the Company pursuant to the Distribution Agreements, the Prospectus Supplement, the Resolutions and the Registration Statement against payment of the consideration set forth therein, the Shares will be validly issued, fully paid and nonassessable.</w:t>
      </w:r>
    </w:p>
    <w:p>
      <w:pPr>
        <w:spacing w:after="0" w:line="184"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The foregoing opinion is limited to the laws of the State of Maryland and we do not express any opinion herein concerning any other law. We express no opinion as to compliance with the 1940 Act or other federal securities laws, or state securities laws, including the securities laws of the State of Maryland. To the extent that any matter as to which our opinion is expressed herein would be governed by the laws of any jurisdiction other than the State of Maryland, we do not express any opinion on such matter.</w:t>
      </w:r>
    </w:p>
    <w:p>
      <w:pPr>
        <w:spacing w:after="0" w:line="187"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84"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This opinion is being furnished to you for submission to the Commission as an exhibit to the Company’s Current Report on Form 8-K relating to the issuance of the Shares (the</w:t>
      </w:r>
    </w:p>
    <w:p>
      <w:pPr>
        <w:sectPr>
          <w:pgSz w:w="11900" w:h="16838" w:orient="portrait"/>
          <w:cols w:equalWidth="0" w:num="1">
            <w:col w:w="11000"/>
          </w:cols>
          <w:pgMar w:left="440" w:top="1165" w:right="459" w:bottom="1440" w:gutter="0" w:footer="0" w:header="0"/>
        </w:sectPr>
      </w:pPr>
    </w:p>
    <w:bookmarkStart w:id="89" w:name="page90"/>
    <w:bookmarkEnd w:id="8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97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659765"/>
                    </a:xfrm>
                    <a:prstGeom prst="rect">
                      <a:avLst/>
                    </a:prstGeom>
                    <a:noFill/>
                  </pic:spPr>
                </pic:pic>
              </a:graphicData>
            </a:graphic>
          </wp:anchor>
        </w:drawing>
        <w:t>PennantPark Investment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20,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Venable LLP</w:t>
      </w:r>
    </w:p>
    <w:p>
      <w:pPr>
        <w:sectPr>
          <w:pgSz w:w="11900" w:h="16838" w:orient="portrait"/>
          <w:cols w:equalWidth="0" w:num="1">
            <w:col w:w="10980"/>
          </w:cols>
          <w:pgMar w:left="440" w:top="1165" w:right="47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CODE OF ETHICS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INVESTMENT ADVISERS, LLC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 Statement of General Fiduciary Principles</w:t>
      </w:r>
    </w:p>
    <w:p>
      <w:pPr>
        <w:spacing w:after="0" w:line="121" w:lineRule="exact"/>
        <w:rPr>
          <w:sz w:val="20"/>
          <w:szCs w:val="20"/>
          <w:color w:val="auto"/>
        </w:rPr>
      </w:pPr>
    </w:p>
    <w:p>
      <w:pPr>
        <w:ind w:right="20" w:firstLine="991"/>
        <w:spacing w:after="0" w:line="290" w:lineRule="auto"/>
        <w:rPr>
          <w:sz w:val="20"/>
          <w:szCs w:val="20"/>
          <w:color w:val="auto"/>
        </w:rPr>
      </w:pPr>
      <w:r>
        <w:rPr>
          <w:rFonts w:ascii="Arial" w:cs="Arial" w:eastAsia="Arial" w:hAnsi="Arial"/>
          <w:sz w:val="16"/>
          <w:szCs w:val="16"/>
          <w:color w:val="auto"/>
        </w:rPr>
        <w:t>This Joint Code of Ethics (the “Code”) has been adopted by each of PennantPark Investment Corporation, PennantPark Floating Rate Capital, Ltd. (each individually, the “Corporation”), and PennantPark Investment Advisers, LLC, the Corporations’ investment adviser (the “Adviser”), in compliance with Rule 17j-1 under the Investment Company Act of 1940 (the “Act”) and Section 204A of the Investment Advisers Act of 1940 (the “Advisers Act”). The purpose of the Code is to establish standards and procedures for the detection and prevention of activities by which persons having knowledge of the investments and investment intentions of the Corporations may abuse their fiduciary duty to the Corporations, and otherwise to deal with the types of conflict of interest situations to which Rule 17j-1 is addressed. As it relates to Section 204A of the Advisers Act, the purpose of this Code is to establish procedures that, taking into consideration the nature of the Adviser’s business, are reasonably designed to prevent misuse of material non-public information in violation of the federal securities laws by persons associated with the Adviser.</w:t>
      </w:r>
    </w:p>
    <w:p>
      <w:pPr>
        <w:spacing w:after="0" w:line="165" w:lineRule="exact"/>
        <w:rPr>
          <w:sz w:val="20"/>
          <w:szCs w:val="20"/>
          <w:color w:val="auto"/>
        </w:rPr>
      </w:pPr>
    </w:p>
    <w:p>
      <w:pPr>
        <w:ind w:right="100" w:firstLine="991"/>
        <w:spacing w:after="0" w:line="272" w:lineRule="auto"/>
        <w:rPr>
          <w:sz w:val="20"/>
          <w:szCs w:val="20"/>
          <w:color w:val="auto"/>
        </w:rPr>
      </w:pPr>
      <w:r>
        <w:rPr>
          <w:rFonts w:ascii="Arial" w:cs="Arial" w:eastAsia="Arial" w:hAnsi="Arial"/>
          <w:sz w:val="17"/>
          <w:szCs w:val="17"/>
          <w:color w:val="auto"/>
        </w:rPr>
        <w:t>The Code is based on the principle that the directors and officers of the Corporations, and the managers, partners, officers and employees of the Adviser, who provide services to the Corporations, owe a fiduciary duty to the Corporations to conduct their personal securities transactions in a manner that does not interfere with the Corporations’ transactions or otherwise take unfair advantage of their relationship with the Corporations. All directors, managers, partners, officers and employees of the Corporations, and the Adviser (“Covered Personnel”) are expected to adhere to this general principle as well as to comply with all of the specific provisions of this Code that are applicable to them. Any Covered Personnel who is affiliated with another entity that is a registered investment adviser is, in addition, expected to comply with the provisions of the code of ethics that has been adopted by such other investment adviser.</w:t>
      </w:r>
    </w:p>
    <w:p>
      <w:pPr>
        <w:spacing w:after="0" w:line="177"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Technical compliance with the Code will not automatically insulate any Covered Personnel from scrutiny of transactions that show a pattern of compromise or abuse of the individual’s fiduciary duty to the Corporation. Accordingly, all Covered Personnel must seek to avoid any actual or potential conflicts between their personal interests and the interests of the Corporation and its shareholders. In sum, all Covered Personnel shall place the interests of the Corporation before their own personal interests.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All Covered Personnel must read and retain this Code.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 Definitions</w:t>
      </w:r>
    </w:p>
    <w:p>
      <w:pPr>
        <w:spacing w:after="0" w:line="135" w:lineRule="exact"/>
        <w:rPr>
          <w:sz w:val="20"/>
          <w:szCs w:val="20"/>
          <w:color w:val="auto"/>
        </w:rPr>
      </w:pPr>
    </w:p>
    <w:p>
      <w:pPr>
        <w:ind w:left="960" w:hanging="532"/>
        <w:spacing w:after="0"/>
        <w:tabs>
          <w:tab w:leader="none" w:pos="96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“Access Person” means any director, officer, general partner or Advisory Person (as defined below) of the Corporations or the Adviser.</w:t>
      </w:r>
    </w:p>
    <w:p>
      <w:pPr>
        <w:spacing w:after="0" w:line="153" w:lineRule="exact"/>
        <w:rPr>
          <w:rFonts w:ascii="Arial" w:cs="Arial" w:eastAsia="Arial" w:hAnsi="Arial"/>
          <w:sz w:val="16"/>
          <w:szCs w:val="16"/>
          <w:color w:val="auto"/>
        </w:rPr>
      </w:pPr>
    </w:p>
    <w:p>
      <w:pPr>
        <w:ind w:left="960" w:right="160" w:hanging="532"/>
        <w:spacing w:after="0" w:line="277" w:lineRule="auto"/>
        <w:tabs>
          <w:tab w:leader="none" w:pos="9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An “Advisory Person” of the Corporation or the Adviser means: (i) any employee of the Corporation or the Adviser, or any company in a Control (as defined below) relationship</w:t>
      </w:r>
    </w:p>
    <w:p>
      <w:pPr>
        <w:sectPr>
          <w:pgSz w:w="11900" w:h="16838" w:orient="portrait"/>
          <w:cols w:equalWidth="0" w:num="1">
            <w:col w:w="11020"/>
          </w:cols>
          <w:pgMar w:left="440" w:top="121" w:right="439" w:bottom="1440" w:gutter="0" w:footer="0" w:header="0"/>
        </w:sectPr>
      </w:pPr>
    </w:p>
    <w:bookmarkStart w:id="91" w:name="page92"/>
    <w:bookmarkEnd w:id="91"/>
    <w:p>
      <w:pPr>
        <w:ind w:left="552"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Corporation or the Adviser, who in connection with his or her regular functions or duties makes, participates in, or obtains information regarding the purchase or sale of any Covered Security (as defined below) by the Corporation, or whose functions relate to the making of any recommendation with respect to such purchases or sales; and (ii) any natural person in a Control relationship to the Corporation or the Adviser, who obtains information concerning recommendations made to the Corporation with regard to the purchase or sale of any Covered Security by the Corporation.</w:t>
      </w:r>
    </w:p>
    <w:p>
      <w:pPr>
        <w:spacing w:after="0" w:line="93" w:lineRule="exact"/>
        <w:rPr>
          <w:sz w:val="20"/>
          <w:szCs w:val="20"/>
          <w:color w:val="auto"/>
        </w:rPr>
      </w:pPr>
    </w:p>
    <w:p>
      <w:pPr>
        <w:ind w:left="532" w:hanging="532"/>
        <w:spacing w:after="0"/>
        <w:tabs>
          <w:tab w:leader="none" w:pos="53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“Beneficial Ownership” is interpreted in the same manner as it would be under Rule 16a-1(a)(2) under the Securities Exchange Act of</w:t>
      </w:r>
    </w:p>
    <w:p>
      <w:pPr>
        <w:spacing w:after="0" w:line="34" w:lineRule="exact"/>
        <w:rPr>
          <w:rFonts w:ascii="Arial" w:cs="Arial" w:eastAsia="Arial" w:hAnsi="Arial"/>
          <w:sz w:val="17"/>
          <w:szCs w:val="17"/>
          <w:color w:val="auto"/>
        </w:rPr>
      </w:pPr>
    </w:p>
    <w:p>
      <w:pPr>
        <w:ind w:left="532" w:right="160"/>
        <w:spacing w:after="0" w:line="260" w:lineRule="auto"/>
        <w:rPr>
          <w:rFonts w:ascii="Arial" w:cs="Arial" w:eastAsia="Arial" w:hAnsi="Arial"/>
          <w:sz w:val="17"/>
          <w:szCs w:val="17"/>
          <w:color w:val="auto"/>
        </w:rPr>
      </w:pPr>
      <w:r>
        <w:rPr>
          <w:rFonts w:ascii="Arial" w:cs="Arial" w:eastAsia="Arial" w:hAnsi="Arial"/>
          <w:sz w:val="18"/>
          <w:szCs w:val="18"/>
          <w:color w:val="auto"/>
        </w:rPr>
        <w:t>1934 (the “1934 Act”) in determining whether a person is a beneficial owner of a security for purposes of Section 16 of the 1934 Act and the rules and regulations thereunder.</w:t>
      </w:r>
    </w:p>
    <w:p>
      <w:pPr>
        <w:spacing w:after="0" w:line="90" w:lineRule="exact"/>
        <w:rPr>
          <w:rFonts w:ascii="Arial" w:cs="Arial" w:eastAsia="Arial" w:hAnsi="Arial"/>
          <w:sz w:val="17"/>
          <w:szCs w:val="17"/>
          <w:color w:val="auto"/>
        </w:rPr>
      </w:pPr>
    </w:p>
    <w:p>
      <w:pPr>
        <w:ind w:left="532" w:right="80" w:hanging="532"/>
        <w:spacing w:after="0" w:line="277" w:lineRule="auto"/>
        <w:tabs>
          <w:tab w:leader="none" w:pos="5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“Chief Compliance Officer” means the Chief Compliance Officer of the Corporation (who also may serve as the compliance officer of the Adviser and/or one or more affiliates of the Adviser).</w:t>
      </w:r>
    </w:p>
    <w:p>
      <w:pPr>
        <w:spacing w:after="0" w:line="75" w:lineRule="exact"/>
        <w:rPr>
          <w:rFonts w:ascii="Arial" w:cs="Arial" w:eastAsia="Arial" w:hAnsi="Arial"/>
          <w:sz w:val="18"/>
          <w:szCs w:val="18"/>
          <w:color w:val="auto"/>
        </w:rPr>
      </w:pPr>
    </w:p>
    <w:p>
      <w:pPr>
        <w:ind w:left="532" w:hanging="532"/>
        <w:spacing w:after="0"/>
        <w:tabs>
          <w:tab w:leader="none" w:pos="5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“Control” shall have the same meaning as that set forth in Section 2(a)(9) of the Act.</w:t>
      </w:r>
    </w:p>
    <w:p>
      <w:pPr>
        <w:spacing w:after="0" w:line="130" w:lineRule="exact"/>
        <w:rPr>
          <w:rFonts w:ascii="Arial" w:cs="Arial" w:eastAsia="Arial" w:hAnsi="Arial"/>
          <w:sz w:val="18"/>
          <w:szCs w:val="18"/>
          <w:color w:val="auto"/>
        </w:rPr>
      </w:pPr>
    </w:p>
    <w:p>
      <w:pPr>
        <w:ind w:left="532" w:hanging="532"/>
        <w:spacing w:after="0" w:line="285" w:lineRule="auto"/>
        <w:tabs>
          <w:tab w:leader="none" w:pos="53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“Covered Security” means a security as defined in Section 2(a)(36) of the Act, which includes: any note, stock, treasury stock, security future, bond, debenture, evidence of indebtedness, certificate of interest or participation in any profit-sharing agreement, collateral-trust certificate, pre-organization certificate or subscription, transferable share, investment contract, voting-trust certificate, certificate of deposit for a security, fractional undivided interest in oil, gas, or other mineral rights, any put, call, straddle, option, or privilege on any security (including a certificate of deposit) or on any group or index of securities (including any interest therein or based on the value thereof), or any put, call, straddle, option, or privilege entered into on a national securities exchange relating to foreign currency, or, in general, any interest or instrument commonly known as a “security,” or any certificate of interest or participation in, temporary or interim certificate for, receipt for, guarantee of, or warrant or right to subscribe to or purchase, any of the foregoing. Except that “Covered Security” does not include: (i) direct obligations of the Government of the United States; (ii) bankers’ acceptances, bank certificates of deposit, commercial paper and high quality short-term debt instruments, including repurchase agreements; and (iii) shares issued by open-end investment companies registered under the Act. References to a Covered Security in this Code (e.g., a prohibition or requirement applicable to the purchase or sale of a Covered Security) shall be deemed to refer to and to include any warrant for, option in, or security immediately convertible into that Covered Security, and shall also include any instrument that has an investment return or value that is based, in whole or in part, on that Covered Security (collectively, “Derivatives”). Therefore, except as otherwise specifically provided by this Code: (i) any prohibition or requirement of this Code applicable to the purchase or sale of a Covered Security shall also be applicable to the purchase or sale of a Derivative relating to that Covered Security; and (ii) any prohibition or requirement of this Code applicable to the purchase or sale of a Derivative shall also be applicable to the purchase or sale of a Covered Security relating to that Derivative.</w:t>
      </w:r>
    </w:p>
    <w:p>
      <w:pPr>
        <w:spacing w:after="0" w:line="79" w:lineRule="exact"/>
        <w:rPr>
          <w:rFonts w:ascii="Arial" w:cs="Arial" w:eastAsia="Arial" w:hAnsi="Arial"/>
          <w:sz w:val="16"/>
          <w:szCs w:val="16"/>
          <w:color w:val="auto"/>
        </w:rPr>
      </w:pPr>
    </w:p>
    <w:p>
      <w:pPr>
        <w:ind w:left="532" w:right="280" w:hanging="532"/>
        <w:spacing w:after="0" w:line="277" w:lineRule="auto"/>
        <w:tabs>
          <w:tab w:leader="none" w:pos="5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“Independent Director” means a director of the Corporation who is not an “interested person” of the Corporation within the meaning of Section 2(a)(19) of the Act.</w:t>
      </w:r>
    </w:p>
    <w:p>
      <w:pPr>
        <w:sectPr>
          <w:pgSz w:w="11900" w:h="16838" w:orient="portrait"/>
          <w:cols w:equalWidth="0" w:num="1">
            <w:col w:w="10572"/>
          </w:cols>
          <w:pgMar w:left="868" w:top="274" w:right="459" w:bottom="1440" w:gutter="0" w:footer="0" w:header="0"/>
        </w:sectPr>
      </w:pPr>
    </w:p>
    <w:bookmarkStart w:id="92" w:name="page93"/>
    <w:bookmarkEnd w:id="92"/>
    <w:p>
      <w:pPr>
        <w:ind w:left="960" w:right="140" w:hanging="532"/>
        <w:spacing w:after="0" w:line="308" w:lineRule="auto"/>
        <w:tabs>
          <w:tab w:leader="none" w:pos="960" w:val="left"/>
        </w:tabs>
        <w:numPr>
          <w:ilvl w:val="0"/>
          <w:numId w:val="1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“Initial Public Offering” means an offering of securities registered under the Securities Act of 1933 (the “1933 Act”), the issuer of which, immediately before the registration, was not subject to the reporting requirements of Sections 13 or 15(d) of the 1934 Act.</w:t>
      </w:r>
    </w:p>
    <w:p>
      <w:pPr>
        <w:spacing w:after="0" w:line="51" w:lineRule="exact"/>
        <w:rPr>
          <w:rFonts w:ascii="Arial" w:cs="Arial" w:eastAsia="Arial" w:hAnsi="Arial"/>
          <w:sz w:val="17"/>
          <w:szCs w:val="17"/>
          <w:color w:val="auto"/>
        </w:rPr>
      </w:pPr>
    </w:p>
    <w:p>
      <w:pPr>
        <w:ind w:left="960" w:right="100" w:hanging="532"/>
        <w:spacing w:after="0" w:line="277" w:lineRule="auto"/>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“Limited Offering” means an offering that is exempt from registration under the 1933 Act pursuant to Section 4(2) or Section 4(6) thereof or pursuant to Rule 504, Rule 505, or Rule 506 thereunder.</w:t>
      </w:r>
    </w:p>
    <w:p>
      <w:pPr>
        <w:spacing w:after="0" w:line="75" w:lineRule="exact"/>
        <w:rPr>
          <w:rFonts w:ascii="Arial" w:cs="Arial" w:eastAsia="Arial" w:hAnsi="Arial"/>
          <w:sz w:val="18"/>
          <w:szCs w:val="18"/>
          <w:color w:val="auto"/>
        </w:rPr>
      </w:pPr>
    </w:p>
    <w:p>
      <w:pPr>
        <w:ind w:left="960" w:right="420" w:hanging="532"/>
        <w:spacing w:after="0" w:line="277" w:lineRule="auto"/>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“Restricted List” means the “Pipeline” report of potential investments combined with the current holdings of the clients. PennantPark Access Persons are restricted from trading any security on the Restricted List.</w:t>
      </w:r>
    </w:p>
    <w:p>
      <w:pPr>
        <w:spacing w:after="0" w:line="75" w:lineRule="exact"/>
        <w:rPr>
          <w:rFonts w:ascii="Arial" w:cs="Arial" w:eastAsia="Arial" w:hAnsi="Arial"/>
          <w:sz w:val="18"/>
          <w:szCs w:val="18"/>
          <w:color w:val="auto"/>
        </w:rPr>
      </w:pPr>
    </w:p>
    <w:p>
      <w:pPr>
        <w:ind w:left="960" w:hanging="532"/>
        <w:spacing w:after="0" w:line="287" w:lineRule="auto"/>
        <w:tabs>
          <w:tab w:leader="none" w:pos="9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“Security Held or to be Acquired” by the Corporation means: (i) any Covered Security which, within the most recent 15 days: (A) is or has been held by the Corporation; or (B) is being or has been considered by the Corporation or the Adviser for purchase by the Corporation; and (ii) any option to purchase or sell, and any security convertible into or exchangeable for, a Covered Security described in Section II (K)</w:t>
      </w:r>
    </w:p>
    <w:p>
      <w:pPr>
        <w:spacing w:after="0" w:line="2"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(i).</w:t>
      </w:r>
    </w:p>
    <w:p>
      <w:pPr>
        <w:spacing w:after="0" w:line="116" w:lineRule="exact"/>
        <w:rPr>
          <w:rFonts w:ascii="Arial" w:cs="Arial" w:eastAsia="Arial" w:hAnsi="Arial"/>
          <w:sz w:val="16"/>
          <w:szCs w:val="16"/>
          <w:color w:val="auto"/>
        </w:rPr>
      </w:pPr>
    </w:p>
    <w:p>
      <w:pPr>
        <w:ind w:left="960" w:hanging="532"/>
        <w:spacing w:after="0"/>
        <w:tabs>
          <w:tab w:leader="none" w:pos="9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“17j-1 Organization” means the Corporation or the Adviser, as the context requires.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III Objective and General Prohibitions</w:t>
      </w:r>
    </w:p>
    <w:p>
      <w:pPr>
        <w:spacing w:after="0" w:line="121"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Covered Personnel may not engage in any investment transaction under circumstances in which the Covered Personnel benefits from or interferes with the purchase or sale of investments by the Corporation. In addition, Covered Personnel may not use information concerning the investments or investment intentions of the Corporation, or their ability to influence such investment intentions, for personal gain or in a manner detrimental to the interests of the Corporation.</w:t>
      </w:r>
    </w:p>
    <w:p>
      <w:pPr>
        <w:spacing w:after="0" w:line="187" w:lineRule="exact"/>
        <w:rPr>
          <w:sz w:val="20"/>
          <w:szCs w:val="20"/>
          <w:color w:val="auto"/>
        </w:rPr>
      </w:pPr>
    </w:p>
    <w:p>
      <w:pPr>
        <w:ind w:right="20" w:firstLine="991"/>
        <w:spacing w:after="0" w:line="279" w:lineRule="auto"/>
        <w:rPr>
          <w:sz w:val="20"/>
          <w:szCs w:val="20"/>
          <w:color w:val="auto"/>
        </w:rPr>
      </w:pPr>
      <w:r>
        <w:rPr>
          <w:rFonts w:ascii="Arial" w:cs="Arial" w:eastAsia="Arial" w:hAnsi="Arial"/>
          <w:sz w:val="17"/>
          <w:szCs w:val="17"/>
          <w:color w:val="auto"/>
        </w:rPr>
        <w:t>Covered Personnel may not engage in conduct that is deceitful, fraudulent or manipulative, or that involves false or misleading statements, in connection with the purchase or sale of investments by the Corporation. In this regard, Covered Personnel should recognize that Rule 17j-1 makes it unlawful for any affiliated person of the Corporation, or any affiliated person of an investment adviser for the Corporation, in connection with the purchase or sale, directly or indirectly, by the person of a Security Held or to be Acquired by the Corporation to:</w:t>
      </w:r>
    </w:p>
    <w:p>
      <w:pPr>
        <w:spacing w:after="0" w:line="77" w:lineRule="exact"/>
        <w:rPr>
          <w:sz w:val="20"/>
          <w:szCs w:val="20"/>
          <w:color w:val="auto"/>
        </w:rPr>
      </w:pPr>
    </w:p>
    <w:p>
      <w:pPr>
        <w:ind w:left="1420" w:hanging="439"/>
        <w:spacing w:after="0"/>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employ any device, scheme or artifice to defraud the Corporation;</w:t>
      </w:r>
    </w:p>
    <w:p>
      <w:pPr>
        <w:spacing w:after="0" w:line="130" w:lineRule="exact"/>
        <w:rPr>
          <w:rFonts w:ascii="Arial" w:cs="Arial" w:eastAsia="Arial" w:hAnsi="Arial"/>
          <w:sz w:val="18"/>
          <w:szCs w:val="18"/>
          <w:color w:val="auto"/>
        </w:rPr>
      </w:pPr>
    </w:p>
    <w:p>
      <w:pPr>
        <w:ind w:left="1420" w:right="100" w:hanging="439"/>
        <w:spacing w:after="0" w:line="308" w:lineRule="auto"/>
        <w:tabs>
          <w:tab w:leader="none" w:pos="14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make any untrue statement of a material fact to the Corporation or omit to state to the Corporation a material fact necessary in order to make the statements made, in light of the circumstances under which they are made, not misleading;</w:t>
      </w:r>
    </w:p>
    <w:p>
      <w:pPr>
        <w:spacing w:after="0" w:line="51" w:lineRule="exact"/>
        <w:rPr>
          <w:rFonts w:ascii="Arial" w:cs="Arial" w:eastAsia="Arial" w:hAnsi="Arial"/>
          <w:sz w:val="17"/>
          <w:szCs w:val="17"/>
          <w:color w:val="auto"/>
        </w:rPr>
      </w:pPr>
    </w:p>
    <w:p>
      <w:pPr>
        <w:ind w:left="1420" w:hanging="439"/>
        <w:spacing w:after="0"/>
        <w:tabs>
          <w:tab w:leader="none" w:pos="142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engage in any act, practice or course of business that operates or would operate as a fraud or deceit upon the Corporation; or</w:t>
      </w:r>
    </w:p>
    <w:p>
      <w:pPr>
        <w:spacing w:after="0" w:line="142" w:lineRule="exact"/>
        <w:rPr>
          <w:rFonts w:ascii="Arial" w:cs="Arial" w:eastAsia="Arial" w:hAnsi="Arial"/>
          <w:sz w:val="17"/>
          <w:szCs w:val="17"/>
          <w:color w:val="auto"/>
        </w:rPr>
      </w:pPr>
    </w:p>
    <w:p>
      <w:pPr>
        <w:ind w:left="1420" w:hanging="439"/>
        <w:spacing w:after="0"/>
        <w:tabs>
          <w:tab w:leader="none" w:pos="14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engage in any manipulative practice with respect to the Corporation.</w:t>
      </w:r>
    </w:p>
    <w:p>
      <w:pPr>
        <w:spacing w:after="0" w:line="225"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Covered Personnel should also recognize that a violation of this Code or of Rule 17j-1 may result in the imposition of: (1) sanctions as provided by Section VIII below; or (2) administrative, civil and, in certain cases, criminal fines, sanctions or penalties.</w:t>
      </w:r>
    </w:p>
    <w:p>
      <w:pPr>
        <w:sectPr>
          <w:pgSz w:w="11900" w:h="16838" w:orient="portrait"/>
          <w:cols w:equalWidth="0" w:num="1">
            <w:col w:w="11000"/>
          </w:cols>
          <w:pgMar w:left="440" w:top="274" w:right="459" w:bottom="1440" w:gutter="0" w:footer="0" w:header="0"/>
        </w:sectPr>
      </w:pPr>
    </w:p>
    <w:bookmarkStart w:id="93" w:name="page94"/>
    <w:bookmarkEnd w:id="9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IV Pre-Clearance of Personal Account Transactions; Window Period to Trade PennantPark shares</w:t>
      </w:r>
    </w:p>
    <w:p>
      <w:pPr>
        <w:spacing w:after="0" w:line="121" w:lineRule="exact"/>
        <w:rPr>
          <w:sz w:val="20"/>
          <w:szCs w:val="20"/>
          <w:color w:val="auto"/>
        </w:rPr>
      </w:pPr>
    </w:p>
    <w:p>
      <w:pPr>
        <w:ind w:left="4" w:right="220" w:firstLine="991"/>
        <w:spacing w:after="0" w:line="255" w:lineRule="auto"/>
        <w:rPr>
          <w:sz w:val="20"/>
          <w:szCs w:val="20"/>
          <w:color w:val="auto"/>
        </w:rPr>
      </w:pPr>
      <w:r>
        <w:rPr>
          <w:rFonts w:ascii="Arial" w:cs="Arial" w:eastAsia="Arial" w:hAnsi="Arial"/>
          <w:sz w:val="18"/>
          <w:szCs w:val="18"/>
          <w:color w:val="auto"/>
        </w:rPr>
        <w:t>Except as noted below, all Access Persons must obtain the prior written approval of the Managing Member (or such person as the Managing Member may designate) (“Approving Officer”) before engaging in any transaction in his or her Personal Account. The Approving Officer may approve the transaction if he concludes that the transaction would comply with the provisions of this Code of Ethics and is not likely to have any adverse economic impact on clients. A request for preclearance must be made by email, with a copy to the Compliance Officer, in advance of the contemplated transaction. No particular form is required, but the email must include sufficient detail for the Approving Officer to decide if a trade is permissible.</w:t>
      </w:r>
    </w:p>
    <w:p>
      <w:pPr>
        <w:spacing w:after="0" w:line="19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Any approval given under this paragraph will be provided by email and will remain in effect for 72 hours.</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Exceptions to the Pre-Clearance Requirement Policy,</w:t>
      </w:r>
    </w:p>
    <w:p>
      <w:pPr>
        <w:spacing w:after="0" w:line="225" w:lineRule="exact"/>
        <w:rPr>
          <w:sz w:val="20"/>
          <w:szCs w:val="20"/>
          <w:color w:val="auto"/>
        </w:rPr>
      </w:pPr>
    </w:p>
    <w:p>
      <w:pPr>
        <w:ind w:left="4" w:firstLine="991"/>
        <w:spacing w:after="0" w:line="287" w:lineRule="auto"/>
        <w:rPr>
          <w:sz w:val="20"/>
          <w:szCs w:val="20"/>
          <w:color w:val="auto"/>
        </w:rPr>
      </w:pPr>
      <w:r>
        <w:rPr>
          <w:rFonts w:ascii="Arial" w:cs="Arial" w:eastAsia="Arial" w:hAnsi="Arial"/>
          <w:sz w:val="16"/>
          <w:szCs w:val="16"/>
          <w:color w:val="auto"/>
        </w:rPr>
        <w:t>Access Persons will be allowed to trade securities of the Corporations during a “window period” that may be announced following the release of Corporations’ earnings release. If the window is opened for trading, it will begin no earlier than the second business day after a Corporation publicly releases quarterly or annual financial results and extends no later than (i) 30 calendar days after the release of results (29 calendar days in all) or</w:t>
      </w:r>
    </w:p>
    <w:p>
      <w:pPr>
        <w:spacing w:after="0" w:line="2" w:lineRule="exact"/>
        <w:rPr>
          <w:sz w:val="20"/>
          <w:szCs w:val="20"/>
          <w:color w:val="auto"/>
        </w:rPr>
      </w:pPr>
    </w:p>
    <w:p>
      <w:pPr>
        <w:ind w:left="4" w:right="20" w:hanging="4"/>
        <w:spacing w:after="0" w:line="270" w:lineRule="auto"/>
        <w:tabs>
          <w:tab w:leader="none" w:pos="269" w:val="left"/>
        </w:tabs>
        <w:numPr>
          <w:ilvl w:val="0"/>
          <w:numId w:val="114"/>
        </w:numPr>
        <w:rPr>
          <w:rFonts w:ascii="Arial" w:cs="Arial" w:eastAsia="Arial" w:hAnsi="Arial"/>
          <w:sz w:val="17"/>
          <w:szCs w:val="17"/>
          <w:color w:val="auto"/>
        </w:rPr>
      </w:pPr>
      <w:r>
        <w:rPr>
          <w:rFonts w:ascii="Arial" w:cs="Arial" w:eastAsia="Arial" w:hAnsi="Arial"/>
          <w:sz w:val="17"/>
          <w:szCs w:val="17"/>
          <w:color w:val="auto"/>
        </w:rPr>
        <w:t>in the case of PennantPark Floating Rate Capital, Ltd.’s and the Adviser’s decision to sell such Corporation’s equity securities, the end of the quarterly period during which such financial results of such Corporation have been publicly released. Note that the ability of an officer, director or other Access Person to engage in transactions in the securities of a Corporation during a window period is not automatic or absolute because no trades may be made even during a window period by an individual who possesses material, nonpublic information. Further, the window period may not open in a particular quarter, and it may be closed prior to (i) the expiration of 30 days or (ii) to the extent provided above in the case of PennantPark Floating Rate Capital, Ltd., the applicable quarter end, in each case as events require.</w:t>
      </w:r>
    </w:p>
    <w:p>
      <w:pPr>
        <w:spacing w:after="0" w:line="178" w:lineRule="exact"/>
        <w:rPr>
          <w:sz w:val="20"/>
          <w:szCs w:val="20"/>
          <w:color w:val="auto"/>
        </w:rPr>
      </w:pPr>
    </w:p>
    <w:p>
      <w:pPr>
        <w:ind w:left="4" w:right="600" w:firstLine="991"/>
        <w:spacing w:after="0" w:line="277" w:lineRule="auto"/>
        <w:rPr>
          <w:sz w:val="20"/>
          <w:szCs w:val="20"/>
          <w:color w:val="auto"/>
        </w:rPr>
      </w:pPr>
      <w:r>
        <w:rPr>
          <w:rFonts w:ascii="Arial" w:cs="Arial" w:eastAsia="Arial" w:hAnsi="Arial"/>
          <w:sz w:val="18"/>
          <w:szCs w:val="18"/>
          <w:color w:val="auto"/>
        </w:rPr>
        <w:t>Additionally, Independent Directors are not required to seek preapproval for any transactions other than those which would trigger reporting requirements as set forth in Section VI (C) of this Code below.</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Section V Prohibited Transactions</w:t>
      </w:r>
    </w:p>
    <w:p>
      <w:pPr>
        <w:spacing w:after="0" w:line="135" w:lineRule="exact"/>
        <w:rPr>
          <w:sz w:val="20"/>
          <w:szCs w:val="20"/>
          <w:color w:val="auto"/>
        </w:rPr>
      </w:pPr>
    </w:p>
    <w:p>
      <w:pPr>
        <w:ind w:left="964" w:right="40" w:hanging="532"/>
        <w:spacing w:after="0" w:line="254" w:lineRule="auto"/>
        <w:tabs>
          <w:tab w:leader="none" w:pos="96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 Access Person may not purchase or otherwise acquire direct or indirect Beneficial Ownership of any Covered Security on the Restricted List, and may not sell or otherwise dispose of any Covered Security on the Restricted List in which he or she has direct or indirect Beneficial Ownership, if he or she knows or should know at the time of entering into the transaction that: (1) the Corporation has purchased or sold the Covered Security within the last 15 calendar days, or is purchasing or selling or intends to purchase or sell the Covered Security in the next 15 calendar days; or (2) the Adviser has within the last 15 calendar days considered purchasing or selling the Covered Security for the Corporation or within the next 15 calendar days intend to consider purchasing or selling the Covered Security for the Corporation.</w:t>
      </w:r>
    </w:p>
    <w:p>
      <w:pPr>
        <w:sectPr>
          <w:pgSz w:w="11900" w:h="16838" w:orient="portrait"/>
          <w:cols w:equalWidth="0" w:num="1">
            <w:col w:w="10984"/>
          </w:cols>
          <w:pgMar w:left="436" w:top="270" w:right="479" w:bottom="1440" w:gutter="0" w:footer="0" w:header="0"/>
        </w:sectPr>
      </w:pPr>
    </w:p>
    <w:bookmarkStart w:id="94" w:name="page95"/>
    <w:bookmarkEnd w:id="94"/>
    <w:p>
      <w:pPr>
        <w:ind w:left="960" w:right="200" w:hanging="532"/>
        <w:spacing w:after="0" w:line="259" w:lineRule="auto"/>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Every Advisory Person of the Corporation or the Adviser must obtain approval from the Corporation or the Adviser, as the case may be, before directly or indirectly acquiring Beneficial Ownership in any securities in an Initial Public Offering or in a Limited Offering. Such approval must be obtained from the Chief Compliance Officer, unless he is the person seeking such approval, in which case it must be obtained from the President of the 17j-1 Organization.</w:t>
      </w:r>
    </w:p>
    <w:p>
      <w:pPr>
        <w:spacing w:after="0" w:line="92" w:lineRule="exact"/>
        <w:rPr>
          <w:rFonts w:ascii="Arial" w:cs="Arial" w:eastAsia="Arial" w:hAnsi="Arial"/>
          <w:sz w:val="18"/>
          <w:szCs w:val="18"/>
          <w:color w:val="auto"/>
        </w:rPr>
      </w:pPr>
    </w:p>
    <w:p>
      <w:pPr>
        <w:ind w:left="960" w:right="180" w:hanging="532"/>
        <w:spacing w:after="0" w:line="275" w:lineRule="auto"/>
        <w:tabs>
          <w:tab w:leader="none" w:pos="9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No Access Person shall recommend any transaction in any Covered Securities by the Corporation without having disclosed to the Chief Compliance Officer his or her interest, if any, in such Covered Securities or the issuer thereof, including: the Access Person’s Beneficial Ownership of any Covered Securities of such issuer; any contemplated transaction by the Access Person in such Covered Securities; any position the Access Person has with such issuer; and any present or proposed business relationship between such issuer and the Access Person (or a party which the Access Person has a significant interest).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 Reports by Access Persons</w:t>
      </w:r>
    </w:p>
    <w:p>
      <w:pPr>
        <w:spacing w:after="0" w:line="135" w:lineRule="exact"/>
        <w:rPr>
          <w:sz w:val="20"/>
          <w:szCs w:val="20"/>
          <w:color w:val="auto"/>
        </w:rPr>
      </w:pPr>
    </w:p>
    <w:p>
      <w:pPr>
        <w:ind w:left="960" w:hanging="532"/>
        <w:spacing w:after="0"/>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Personal Securities Holdings Reports.</w:t>
      </w:r>
    </w:p>
    <w:p>
      <w:pPr>
        <w:spacing w:after="0" w:line="11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All Access Persons shall within 10 days of the date on which they become Access Persons, and thereafter, within 30 days after the end of each calendar year, disclose the title, number of shares and principal amount of all Covered Securities in which they have a Beneficial Ownership as of the date the person became an Access Person, in the case of such person’s initial report, and as of the last day of the year, as to annual reports. A form of such report, which is hereinafter called a “Personal Securities Holdings Report,” is attached as Schedule A. Each Personal Securities Holdings Report must also disclose the name of any broker, dealer or bank with whom the Access Person maintained an account in which any securities were held for the direct or indirect benefit of the Access Person as of the date the person became an Access Person or as of the last day of the year, as the case may be. Each Personal Securities Holdings Report shall state the date it is being submitted.</w:t>
      </w:r>
    </w:p>
    <w:p>
      <w:pPr>
        <w:spacing w:after="0" w:line="204" w:lineRule="exact"/>
        <w:rPr>
          <w:sz w:val="20"/>
          <w:szCs w:val="20"/>
          <w:color w:val="auto"/>
        </w:rPr>
      </w:pPr>
    </w:p>
    <w:p>
      <w:pPr>
        <w:ind w:left="960" w:hanging="532"/>
        <w:spacing w:after="0"/>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Quarterly Transaction Reports.</w:t>
      </w:r>
    </w:p>
    <w:p>
      <w:pPr>
        <w:spacing w:after="0" w:line="117" w:lineRule="exact"/>
        <w:rPr>
          <w:sz w:val="20"/>
          <w:szCs w:val="20"/>
          <w:color w:val="auto"/>
        </w:rPr>
      </w:pPr>
    </w:p>
    <w:p>
      <w:pPr>
        <w:ind w:right="140" w:firstLine="991"/>
        <w:spacing w:after="0" w:line="263" w:lineRule="auto"/>
        <w:rPr>
          <w:sz w:val="20"/>
          <w:szCs w:val="20"/>
          <w:color w:val="auto"/>
        </w:rPr>
      </w:pPr>
      <w:r>
        <w:rPr>
          <w:rFonts w:ascii="Arial" w:cs="Arial" w:eastAsia="Arial" w:hAnsi="Arial"/>
          <w:sz w:val="18"/>
          <w:szCs w:val="18"/>
          <w:color w:val="auto"/>
        </w:rPr>
        <w:t>Within 30 days after the end of each calendar quarter, each Access Person shall make a written report to the Chief Compliance Officer of all transactions occurring in the quarter in a Covered Security in which he or she had any Beneficial Ownership. A form of such report, which is hereinafter called a “Quarterly Securities Transaction Report,” is attached as Schedule B.</w:t>
      </w:r>
    </w:p>
    <w:p>
      <w:pPr>
        <w:spacing w:after="0" w:line="184"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A Quarterly Securities Transaction Report shall be in the form of Schedule B or such other form approved by the Chief Compliance Officer and must contain the following information with respect to each reportable transaction:</w:t>
      </w:r>
    </w:p>
    <w:p>
      <w:pPr>
        <w:spacing w:after="0" w:line="62" w:lineRule="exact"/>
        <w:rPr>
          <w:sz w:val="20"/>
          <w:szCs w:val="20"/>
          <w:color w:val="auto"/>
        </w:rPr>
      </w:pPr>
    </w:p>
    <w:p>
      <w:pPr>
        <w:ind w:left="1240" w:hanging="253"/>
        <w:spacing w:after="0"/>
        <w:tabs>
          <w:tab w:leader="none" w:pos="12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Date and nature of the transaction (purchase, sale or any other type of acquisition or disposition);</w:t>
      </w:r>
    </w:p>
    <w:p>
      <w:pPr>
        <w:spacing w:after="0" w:line="225" w:lineRule="exact"/>
        <w:rPr>
          <w:rFonts w:ascii="Arial" w:cs="Arial" w:eastAsia="Arial" w:hAnsi="Arial"/>
          <w:sz w:val="18"/>
          <w:szCs w:val="18"/>
          <w:color w:val="auto"/>
        </w:rPr>
      </w:pPr>
    </w:p>
    <w:p>
      <w:pPr>
        <w:ind w:right="100" w:firstLine="987"/>
        <w:spacing w:after="0" w:line="277" w:lineRule="auto"/>
        <w:tabs>
          <w:tab w:leader="none" w:pos="124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Title, interest rate and maturity date (if applicable), number of shares and principal amount of each Covered Security involved and the price of the Covered Security at which the transaction was effected;</w:t>
      </w:r>
    </w:p>
    <w:p>
      <w:pPr>
        <w:sectPr>
          <w:pgSz w:w="11900" w:h="16838" w:orient="portrait"/>
          <w:cols w:equalWidth="0" w:num="1">
            <w:col w:w="10980"/>
          </w:cols>
          <w:pgMar w:left="440" w:top="274" w:right="479" w:bottom="1440" w:gutter="0" w:footer="0" w:header="0"/>
        </w:sectPr>
      </w:pPr>
    </w:p>
    <w:bookmarkStart w:id="95" w:name="page96"/>
    <w:bookmarkEnd w:id="95"/>
    <w:p>
      <w:pPr>
        <w:ind w:left="1240" w:hanging="253"/>
        <w:spacing w:after="0"/>
        <w:tabs>
          <w:tab w:leader="none" w:pos="12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Name of the broker, dealer or bank with or through whom the transaction was effected; and</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date the report is submitted by the Access Person.</w:t>
      </w:r>
    </w:p>
    <w:p>
      <w:pPr>
        <w:spacing w:after="0" w:line="252" w:lineRule="exact"/>
        <w:rPr>
          <w:rFonts w:ascii="Arial" w:cs="Arial" w:eastAsia="Arial" w:hAnsi="Arial"/>
          <w:sz w:val="18"/>
          <w:szCs w:val="18"/>
          <w:color w:val="auto"/>
        </w:rPr>
      </w:pPr>
    </w:p>
    <w:p>
      <w:pPr>
        <w:ind w:left="960" w:hanging="532"/>
        <w:spacing w:after="0"/>
        <w:tabs>
          <w:tab w:leader="none" w:pos="9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Independent Directors.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Notwithstanding the reporting requirements set forth in this Section V, an Independent Director who would be required to make a report</w:t>
      </w:r>
    </w:p>
    <w:p>
      <w:pPr>
        <w:spacing w:after="0" w:line="46" w:lineRule="exact"/>
        <w:rPr>
          <w:sz w:val="20"/>
          <w:szCs w:val="20"/>
          <w:color w:val="auto"/>
        </w:rPr>
      </w:pPr>
    </w:p>
    <w:p>
      <w:pPr>
        <w:spacing w:after="0" w:line="292" w:lineRule="auto"/>
        <w:rPr>
          <w:sz w:val="20"/>
          <w:szCs w:val="20"/>
          <w:color w:val="auto"/>
        </w:rPr>
      </w:pPr>
      <w:r>
        <w:rPr>
          <w:rFonts w:ascii="Arial" w:cs="Arial" w:eastAsia="Arial" w:hAnsi="Arial"/>
          <w:sz w:val="16"/>
          <w:szCs w:val="16"/>
          <w:color w:val="auto"/>
        </w:rPr>
        <w:t>under this Section V solely by reason of being a director of the Corporation is not required to file a Personal Securities Holding Report upon becoming a director of the Corporation or an annual Personal Securities Holding Report. Such an Independent Director also need not file a Quarterly Securities Transaction Report unless such director knew or, in the ordinary course of fulfilling his or her official duties as a director of the Corporation, should have known that during the 15-day period immediately preceding or after the date of the transaction in a Covered Security by the director such Covered Security is or was purchased or sold by the Corporation or the Corporation or the Adviser considered purchasing or selling such Covered Security.</w:t>
      </w:r>
    </w:p>
    <w:p>
      <w:pPr>
        <w:spacing w:after="0" w:line="189" w:lineRule="exact"/>
        <w:rPr>
          <w:sz w:val="20"/>
          <w:szCs w:val="20"/>
          <w:color w:val="auto"/>
        </w:rPr>
      </w:pPr>
    </w:p>
    <w:p>
      <w:pPr>
        <w:ind w:left="960" w:hanging="532"/>
        <w:spacing w:after="0"/>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Access Persons of the Adviser.</w:t>
      </w:r>
    </w:p>
    <w:p>
      <w:pPr>
        <w:spacing w:after="0" w:line="117" w:lineRule="exact"/>
        <w:rPr>
          <w:sz w:val="20"/>
          <w:szCs w:val="20"/>
          <w:color w:val="auto"/>
        </w:rPr>
      </w:pPr>
    </w:p>
    <w:p>
      <w:pPr>
        <w:ind w:right="380" w:firstLine="991"/>
        <w:spacing w:after="0" w:line="342" w:lineRule="auto"/>
        <w:rPr>
          <w:sz w:val="20"/>
          <w:szCs w:val="20"/>
          <w:color w:val="auto"/>
        </w:rPr>
      </w:pPr>
      <w:r>
        <w:rPr>
          <w:rFonts w:ascii="Arial" w:cs="Arial" w:eastAsia="Arial" w:hAnsi="Arial"/>
          <w:sz w:val="16"/>
          <w:szCs w:val="16"/>
          <w:color w:val="auto"/>
        </w:rPr>
        <w:t>An Access Person of the Adviser need not make a Quarterly Transaction Report if all of the information in the report would duplicate information required to be recorded pursuant to Rules 204-2(a)(12) or (13) under the Investment Advisers Act of 1940, as amended.</w:t>
      </w:r>
    </w:p>
    <w:p>
      <w:pPr>
        <w:spacing w:after="0" w:line="151" w:lineRule="exact"/>
        <w:rPr>
          <w:sz w:val="20"/>
          <w:szCs w:val="20"/>
          <w:color w:val="auto"/>
        </w:rPr>
      </w:pPr>
    </w:p>
    <w:p>
      <w:pPr>
        <w:ind w:left="960" w:hanging="532"/>
        <w:spacing w:after="0"/>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Brokerage Accounts and Statements.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Access Persons, except Independent Directors, shall:</w:t>
      </w:r>
    </w:p>
    <w:p>
      <w:pPr>
        <w:spacing w:after="0" w:line="117" w:lineRule="exact"/>
        <w:rPr>
          <w:rFonts w:ascii="Arial" w:cs="Arial" w:eastAsia="Arial" w:hAnsi="Arial"/>
          <w:sz w:val="18"/>
          <w:szCs w:val="18"/>
          <w:color w:val="auto"/>
        </w:rPr>
      </w:pPr>
    </w:p>
    <w:p>
      <w:pPr>
        <w:ind w:right="140" w:firstLine="987"/>
        <w:spacing w:after="0" w:line="311" w:lineRule="auto"/>
        <w:tabs>
          <w:tab w:leader="none" w:pos="1246" w:val="left"/>
        </w:tabs>
        <w:numPr>
          <w:ilvl w:val="1"/>
          <w:numId w:val="123"/>
        </w:numPr>
        <w:rPr>
          <w:rFonts w:ascii="Arial" w:cs="Arial" w:eastAsia="Arial" w:hAnsi="Arial"/>
          <w:sz w:val="16"/>
          <w:szCs w:val="16"/>
          <w:color w:val="auto"/>
        </w:rPr>
      </w:pPr>
      <w:r>
        <w:rPr>
          <w:rFonts w:ascii="Arial" w:cs="Arial" w:eastAsia="Arial" w:hAnsi="Arial"/>
          <w:sz w:val="16"/>
          <w:szCs w:val="16"/>
          <w:color w:val="auto"/>
        </w:rPr>
        <w:t>within 10 days after the end of each calendar quarter, identify the name of the broker, dealer or bank with whom the Access Person established an account in which any securities were held during the quarter for the direct or indirect benefit of the Access Person and identify any new account(s) and the date the account(s) were established. This information shall be included on the appropriate Quarterly Securities Transaction Report.</w:t>
      </w:r>
    </w:p>
    <w:p>
      <w:pPr>
        <w:spacing w:after="0" w:line="148" w:lineRule="exact"/>
        <w:rPr>
          <w:rFonts w:ascii="Arial" w:cs="Arial" w:eastAsia="Arial" w:hAnsi="Arial"/>
          <w:sz w:val="16"/>
          <w:szCs w:val="16"/>
          <w:color w:val="auto"/>
        </w:rPr>
      </w:pPr>
    </w:p>
    <w:p>
      <w:pPr>
        <w:ind w:right="220" w:firstLine="987"/>
        <w:spacing w:after="0" w:line="277" w:lineRule="auto"/>
        <w:tabs>
          <w:tab w:leader="none" w:pos="1246" w:val="left"/>
        </w:tabs>
        <w:numPr>
          <w:ilvl w:val="1"/>
          <w:numId w:val="123"/>
        </w:numPr>
        <w:rPr>
          <w:rFonts w:ascii="Arial" w:cs="Arial" w:eastAsia="Arial" w:hAnsi="Arial"/>
          <w:sz w:val="18"/>
          <w:szCs w:val="18"/>
          <w:color w:val="auto"/>
        </w:rPr>
      </w:pPr>
      <w:r>
        <w:rPr>
          <w:rFonts w:ascii="Arial" w:cs="Arial" w:eastAsia="Arial" w:hAnsi="Arial"/>
          <w:sz w:val="18"/>
          <w:szCs w:val="18"/>
          <w:color w:val="auto"/>
        </w:rPr>
        <w:t>instruct the brokers, dealers or banks with whom they maintain such an account to provide duplicate account statements to the Chief Compliance Officer.</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123"/>
        </w:numPr>
        <w:rPr>
          <w:rFonts w:ascii="Arial" w:cs="Arial" w:eastAsia="Arial" w:hAnsi="Arial"/>
          <w:sz w:val="18"/>
          <w:szCs w:val="18"/>
          <w:color w:val="auto"/>
        </w:rPr>
      </w:pPr>
      <w:r>
        <w:rPr>
          <w:rFonts w:ascii="Arial" w:cs="Arial" w:eastAsia="Arial" w:hAnsi="Arial"/>
          <w:sz w:val="18"/>
          <w:szCs w:val="18"/>
          <w:color w:val="auto"/>
        </w:rPr>
        <w:t>on an annual basis, certify that they have complied with the requirements of (1) and (2) above.</w:t>
      </w:r>
    </w:p>
    <w:p>
      <w:pPr>
        <w:spacing w:after="0" w:line="252" w:lineRule="exact"/>
        <w:rPr>
          <w:rFonts w:ascii="Arial" w:cs="Arial" w:eastAsia="Arial" w:hAnsi="Arial"/>
          <w:sz w:val="18"/>
          <w:szCs w:val="18"/>
          <w:color w:val="auto"/>
        </w:rPr>
      </w:pPr>
    </w:p>
    <w:p>
      <w:pPr>
        <w:ind w:left="960" w:hanging="532"/>
        <w:spacing w:after="0"/>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Form of Reports.</w:t>
      </w:r>
    </w:p>
    <w:p>
      <w:pPr>
        <w:spacing w:after="0" w:line="117"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A Quarterly Securities Transaction Report may consist of broker statements or other statements that provide a list of all personal Covered Securities holdings and transactions in the time period covered by the report and contain the information required in a Quarterly Securities Transaction Report.</w:t>
      </w:r>
    </w:p>
    <w:p>
      <w:pPr>
        <w:spacing w:after="0" w:line="211" w:lineRule="exact"/>
        <w:rPr>
          <w:sz w:val="20"/>
          <w:szCs w:val="20"/>
          <w:color w:val="auto"/>
        </w:rPr>
      </w:pPr>
    </w:p>
    <w:p>
      <w:pPr>
        <w:ind w:left="960" w:hanging="532"/>
        <w:spacing w:after="0"/>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Responsibility to Report.</w:t>
      </w:r>
    </w:p>
    <w:p>
      <w:pPr>
        <w:spacing w:after="0" w:line="117"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It is the responsibility of each Access Person to take the initiative to comply with the requirements of this Section V. Any effort by the Corporation, or by the Adviser and its affiliates, to facilitate the reporting process does not change or alter that responsibility. A person need not make a report hereunder with respect to transactions effected for, and Covered Securities held in, any account over which the person has no direct or indirect influence or control.</w:t>
      </w:r>
    </w:p>
    <w:p>
      <w:pPr>
        <w:sectPr>
          <w:pgSz w:w="11900" w:h="16838" w:orient="portrait"/>
          <w:cols w:equalWidth="0" w:num="1">
            <w:col w:w="10980"/>
          </w:cols>
          <w:pgMar w:left="440" w:top="274" w:right="479" w:bottom="1440" w:gutter="0" w:footer="0" w:header="0"/>
        </w:sectPr>
      </w:pPr>
    </w:p>
    <w:bookmarkStart w:id="96" w:name="page97"/>
    <w:bookmarkEnd w:id="96"/>
    <w:p>
      <w:pPr>
        <w:ind w:left="960" w:hanging="532"/>
        <w:spacing w:after="0"/>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to File Reports.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6"/>
          <w:szCs w:val="16"/>
          <w:color w:val="auto"/>
        </w:rPr>
        <w:t>All Quarterly Securities Transaction Reports and Personal Securities Holdings Reports must be filed with the Chief Compliance Officer.</w:t>
      </w:r>
    </w:p>
    <w:p>
      <w:pPr>
        <w:spacing w:after="0" w:line="275" w:lineRule="exact"/>
        <w:rPr>
          <w:rFonts w:ascii="Arial" w:cs="Arial" w:eastAsia="Arial" w:hAnsi="Arial"/>
          <w:sz w:val="18"/>
          <w:szCs w:val="18"/>
          <w:color w:val="auto"/>
        </w:rPr>
      </w:pPr>
    </w:p>
    <w:p>
      <w:pPr>
        <w:ind w:left="960" w:hanging="532"/>
        <w:spacing w:after="0"/>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Disclaimers.</w:t>
      </w:r>
    </w:p>
    <w:p>
      <w:pPr>
        <w:spacing w:after="0" w:line="11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Any report required by this Section V may contain a statement that the report will not be construed as an admission that the person making the report has any direct or indirect Beneficial Ownership in the Covered, Security to which the report relates.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VII Additional Prohibitions</w:t>
      </w:r>
    </w:p>
    <w:p>
      <w:pPr>
        <w:spacing w:after="0" w:line="135" w:lineRule="exact"/>
        <w:rPr>
          <w:sz w:val="20"/>
          <w:szCs w:val="20"/>
          <w:color w:val="auto"/>
        </w:rPr>
      </w:pPr>
    </w:p>
    <w:p>
      <w:pPr>
        <w:ind w:left="960" w:hanging="532"/>
        <w:spacing w:after="0"/>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Confidentiality of the Corporation’s Transactions.</w:t>
      </w:r>
    </w:p>
    <w:p>
      <w:pPr>
        <w:spacing w:after="0" w:line="117"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Until disclosed in a public report to shareholders or to the Securities and Exchange Commission in the normal course, all information concerning the securities “being considered for purchase or sale” by the Corporation shall be kept confidential by all Covered Personnel and disclosed by them only on a “need to know” basis. It shall be the responsibility of the Chief Compliance Officer to report any inadequacy found in this regard to the directors of the Corporation.</w:t>
      </w:r>
    </w:p>
    <w:p>
      <w:pPr>
        <w:spacing w:after="0" w:line="214" w:lineRule="exact"/>
        <w:rPr>
          <w:sz w:val="20"/>
          <w:szCs w:val="20"/>
          <w:color w:val="auto"/>
        </w:rPr>
      </w:pPr>
    </w:p>
    <w:p>
      <w:pPr>
        <w:ind w:left="960" w:hanging="532"/>
        <w:spacing w:after="0"/>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Outside Business Activities and Directorships.</w:t>
      </w:r>
    </w:p>
    <w:p>
      <w:pPr>
        <w:spacing w:after="0" w:line="117"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Access Persons may not engage in any outside business activities that may give rise to conflicts of interest or jeopardize the integrity or reputation of the Corporation. Similarly, no such outside business activities may be inconsistent with the interests of the Corporation. All directorships of public or private companies held by Access Persons shall be reported to the Chief Compliance Officer.</w:t>
      </w:r>
    </w:p>
    <w:p>
      <w:pPr>
        <w:spacing w:after="0" w:line="211" w:lineRule="exact"/>
        <w:rPr>
          <w:sz w:val="20"/>
          <w:szCs w:val="20"/>
          <w:color w:val="auto"/>
        </w:rPr>
      </w:pPr>
    </w:p>
    <w:p>
      <w:pPr>
        <w:ind w:left="960" w:hanging="532"/>
        <w:spacing w:after="0"/>
        <w:tabs>
          <w:tab w:leader="none" w:pos="9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Gratuities.</w:t>
      </w:r>
    </w:p>
    <w:p>
      <w:pPr>
        <w:spacing w:after="0" w:line="117"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Covered Personnel shall not, directly or indirectly, take, accept or receive gifts or other consideration in merchandise, services or otherwise of more than nominal value from any person, firm, corporation, association or other entity other than such person’s employer that does business, or proposes to do business, with the Corporation.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VIII Prohibition Against Insider Trading</w:t>
      </w:r>
    </w:p>
    <w:p>
      <w:pPr>
        <w:spacing w:after="0" w:line="121"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This Section is intended to satisfy the requirements of Section 204A of the Advisers Act, which is applicable to the Adviser and requires that the Adviser establish and enforce procedures designed to prevent the misuse of material, non-public information by its associated persons. It applies to all Advisory Persons. Trading securities while in possession of material, non-public information, or improperly communicating that information to others, may expose an Advisory Person to severe penalties. Criminal sanctions may include a fine of up to $1,000,000 and/or ten years imprisonment. The SEC can recover the profits gained or losses avoided through the violative trading, a penalty of up to three times the illicit windfall, and an order permanently barring an Advisory Person from the securities industry. Finally, an Advisory Person may be sued by investors seeking to recover damages for insider trading violations.</w:t>
      </w:r>
    </w:p>
    <w:p>
      <w:pPr>
        <w:sectPr>
          <w:pgSz w:w="11900" w:h="16838" w:orient="portrait"/>
          <w:cols w:equalWidth="0" w:num="1">
            <w:col w:w="11000"/>
          </w:cols>
          <w:pgMar w:left="440" w:top="274" w:right="459" w:bottom="1440" w:gutter="0" w:footer="0" w:header="0"/>
        </w:sectPr>
      </w:pPr>
    </w:p>
    <w:bookmarkStart w:id="97" w:name="page98"/>
    <w:bookmarkEnd w:id="97"/>
    <w:p>
      <w:pPr>
        <w:ind w:left="960" w:right="120" w:hanging="532"/>
        <w:spacing w:after="0" w:line="263"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Advisory Person may trade a security, either personally or on behalf of any other person or account (including any fund), while in possession of material, non-public information concerning that security or the issuer thereof, nor may any Advisory Person communicate material, non-public information to others in violation of the law.</w:t>
      </w:r>
    </w:p>
    <w:p>
      <w:pPr>
        <w:spacing w:after="0" w:line="89" w:lineRule="exact"/>
        <w:rPr>
          <w:rFonts w:ascii="Arial" w:cs="Arial" w:eastAsia="Arial" w:hAnsi="Arial"/>
          <w:sz w:val="18"/>
          <w:szCs w:val="18"/>
          <w:color w:val="auto"/>
        </w:rPr>
      </w:pPr>
    </w:p>
    <w:p>
      <w:pPr>
        <w:ind w:left="960" w:hanging="532"/>
        <w:spacing w:after="0" w:line="270" w:lineRule="auto"/>
        <w:tabs>
          <w:tab w:leader="none" w:pos="9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Information is “material” where there is a substantial likelihood that a reasonable investor would consider it important in making his or her investment decisions. Generally, this includes any information the disclosure of which will have a substantial effect on the price of a security. No simple test exists to determine when information is material; assessments of materiality involve a highly fact specific inquiry. For this reason, an Advisory Person should direct any questions about whether information is material to the Chief Compliance Officer. Material information often relates to a company’s results and operations, including, for example, dividend changes, earnings results, changes in previously released earnings estimates, significant merger or acquisition proposals or agreements, major litigation, liquidation problems, and extraordinary management developments. Material information may also relate to the market for a company’s securities. Information about a significant order to purchase or sell Securities may, in some contexts, be material. Pre-publication information regarding reports in the financial press may also be material.</w:t>
      </w:r>
    </w:p>
    <w:p>
      <w:pPr>
        <w:spacing w:after="0" w:line="86" w:lineRule="exact"/>
        <w:rPr>
          <w:rFonts w:ascii="Arial" w:cs="Arial" w:eastAsia="Arial" w:hAnsi="Arial"/>
          <w:sz w:val="17"/>
          <w:szCs w:val="17"/>
          <w:color w:val="auto"/>
        </w:rPr>
      </w:pPr>
    </w:p>
    <w:p>
      <w:pPr>
        <w:ind w:left="960" w:right="40" w:hanging="532"/>
        <w:spacing w:after="0" w:line="259"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Information is “public” when it has been disseminated broadly to investors in the marketplace. For example, information is public after it has become available to the general public through a public filing with the SEC or some other government agency, the Dow Jones “tape” or The Wall Street Journal or some other publication of general circulation, and after sufficient time has passed so that the information has been disseminated widely.</w:t>
      </w:r>
    </w:p>
    <w:p>
      <w:pPr>
        <w:spacing w:after="0" w:line="92" w:lineRule="exact"/>
        <w:rPr>
          <w:rFonts w:ascii="Arial" w:cs="Arial" w:eastAsia="Arial" w:hAnsi="Arial"/>
          <w:sz w:val="18"/>
          <w:szCs w:val="18"/>
          <w:color w:val="auto"/>
        </w:rPr>
      </w:pPr>
    </w:p>
    <w:p>
      <w:pPr>
        <w:ind w:left="960" w:right="80" w:hanging="532"/>
        <w:spacing w:after="0" w:line="259" w:lineRule="auto"/>
        <w:tabs>
          <w:tab w:leader="none" w:pos="9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 Advisory Person, before executing any trade for himself or herself, or others, including the Corporation or other accounts managed by the Adviser or by a stockholder of the Adviser, or any affiliate of the stockholder (“Client Accounts”), must determine whether he or she has material, non-public information. Any Advisory Person who believes he or she is in possession of material, non-public information must take the following steps:</w:t>
      </w:r>
    </w:p>
    <w:p>
      <w:pPr>
        <w:spacing w:after="0" w:line="186" w:lineRule="exact"/>
        <w:rPr>
          <w:rFonts w:ascii="Arial" w:cs="Arial" w:eastAsia="Arial" w:hAnsi="Arial"/>
          <w:sz w:val="18"/>
          <w:szCs w:val="18"/>
          <w:color w:val="auto"/>
        </w:rPr>
      </w:pPr>
    </w:p>
    <w:p>
      <w:pPr>
        <w:ind w:left="1240" w:hanging="253"/>
        <w:spacing w:after="0"/>
        <w:tabs>
          <w:tab w:leader="none" w:pos="12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Report the information and proposed trade immediately to the Chief Compliance Officer.</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Do not purchase or sell the securities on behalf of anyone, including Client Accounts.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Do not communicate the information to any person, other than to the Chief Compliance Officer.</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After the Chief Compliance Officer has reviewed the issue, the Chief Compliance Officer will determine whether the information is material and non-public and, if so, what action the Advisory Person should take. An Advisory Person must consult with the Chief Compliance Officer before taking any further action. This degree of caution will protect the Advisory Person and the Adviser.</w:t>
      </w:r>
    </w:p>
    <w:p>
      <w:pPr>
        <w:spacing w:after="0" w:line="89" w:lineRule="exact"/>
        <w:rPr>
          <w:sz w:val="20"/>
          <w:szCs w:val="20"/>
          <w:color w:val="auto"/>
        </w:rPr>
      </w:pPr>
    </w:p>
    <w:p>
      <w:pPr>
        <w:ind w:left="960" w:right="60" w:hanging="532"/>
        <w:spacing w:after="0" w:line="301" w:lineRule="auto"/>
        <w:tabs>
          <w:tab w:leader="none" w:pos="9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To prevent and detect insider trading from occurring, the Chief Compliance Officer shall prepare and maintain a “Restricted List” in order to monitor and prevent the occurrence of insider trading in certain securities that Access Persons are prohibited or restricted from trading. The Chief Compliance Officer manages, maintains and updates the Restricted List to actually restrict trading (no buying, no selling, no shorting, no trading, etc.) in the securities of specific issuers for personal accounts and on behalf Adviser’s clients. Before</w:t>
      </w:r>
    </w:p>
    <w:p>
      <w:pPr>
        <w:sectPr>
          <w:pgSz w:w="11900" w:h="16838" w:orient="portrait"/>
          <w:cols w:equalWidth="0" w:num="1">
            <w:col w:w="10960"/>
          </w:cols>
          <w:pgMar w:left="440" w:top="274" w:right="499" w:bottom="1440" w:gutter="0" w:footer="0" w:header="0"/>
        </w:sectPr>
      </w:pPr>
    </w:p>
    <w:bookmarkStart w:id="98" w:name="page99"/>
    <w:bookmarkEnd w:id="98"/>
    <w:p>
      <w:pPr>
        <w:ind w:left="980"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executing any trade for himself or herself, Advisory Persons are required to determine whether the transaction involves a security on the Restricted List. Advisory Persons are prohibited from trading any security which appears on the Restricted List, except that, with prior approval, an Advisory Person may sell securities which were not on the Restricted List when acquired (or which were acquired at a time when the Advisory Person was not subject to such restrictions). The Restricted List must be maintained strictly confidential and not disclosed to anyone outside of the Adviser and the Corporation.</w:t>
      </w:r>
    </w:p>
    <w:p>
      <w:pPr>
        <w:spacing w:after="0" w:line="93" w:lineRule="exact"/>
        <w:rPr>
          <w:sz w:val="20"/>
          <w:szCs w:val="20"/>
          <w:color w:val="auto"/>
        </w:rPr>
      </w:pPr>
    </w:p>
    <w:p>
      <w:pPr>
        <w:ind w:left="960" w:right="80" w:hanging="532"/>
        <w:spacing w:after="0" w:line="291" w:lineRule="auto"/>
        <w:tabs>
          <w:tab w:leader="none" w:pos="9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Contacts with public companies will sometimes be a part of an Adviser’s research efforts. Persons providing investment advisory services to the Corporation may make investment decisions on the basis of conclusions formed through such contacts and analysis of publicly available information. Difficult legal issues arise, however, when, in the course of these contacts, an Advisory Person becomes aware of material, non-public information. This could happen, for example, if a company’s chief financial officer prematurely discloses quarterly results to an analyst, or an investor relations representative makes selective disclosure of adverse news to a handful of investors. In such situations, the Adviser must make a judgment as to its further conduct. To protect yourself, clients and the Adviser, you should contact the Chief Compliance Officer immediately if you believe that you may have received material, non-public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IX Annual Certification</w:t>
      </w:r>
    </w:p>
    <w:p>
      <w:pPr>
        <w:spacing w:after="0" w:line="135" w:lineRule="exact"/>
        <w:rPr>
          <w:sz w:val="20"/>
          <w:szCs w:val="20"/>
          <w:color w:val="auto"/>
        </w:rPr>
      </w:pPr>
    </w:p>
    <w:p>
      <w:pPr>
        <w:ind w:left="960" w:hanging="532"/>
        <w:spacing w:after="0"/>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Access Persons.</w:t>
      </w:r>
    </w:p>
    <w:p>
      <w:pPr>
        <w:spacing w:after="0" w:line="117"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Access Persons who are directors, managers, officers or employees of the Corporation or the Adviser shall be required to certify annually that they have read this Code and that they understand it and recognize that they are subject to it. Further, such Access Persons shall be required to certify annually that they have complied with the requirements of this Code.</w:t>
      </w:r>
    </w:p>
    <w:p>
      <w:pPr>
        <w:spacing w:after="0" w:line="211" w:lineRule="exact"/>
        <w:rPr>
          <w:sz w:val="20"/>
          <w:szCs w:val="20"/>
          <w:color w:val="auto"/>
        </w:rPr>
      </w:pPr>
    </w:p>
    <w:p>
      <w:pPr>
        <w:ind w:left="960" w:hanging="532"/>
        <w:spacing w:after="0"/>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Board Review.</w:t>
      </w:r>
    </w:p>
    <w:p>
      <w:pPr>
        <w:spacing w:after="0" w:line="117"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No less frequently than annually, the Corporation and the Adviser must furnish to the Corporation’s board of directors, and the board must consider, a written report that: (A) describes any issues arising under this Code or procedures since the last report to the board, including, but not limited to, information about material violations of the Code or procedures and sanctions imposed in response to material violations; and (B) certifies that the Corporation or the Adviser, as applicable, has adopted procedures reasonably necessary to prevent Access Persons from violating the Code.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 Sanctions</w:t>
      </w:r>
    </w:p>
    <w:p>
      <w:pPr>
        <w:spacing w:after="0" w:line="121"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Any violation of this Code shall be subject to the imposition of such sanctions by the 17j-1 Organization as may be deemed appropriate under the circumstances to achieve the purposes of Rule 17j-1 and this Code. The sanctions to be imposed shall be determined by the board of directors, including a majority of the Independent Directors, provided, however, that with respect to violations by persons who are directors, managers, officers or employees of the Adviser (or of a company that controls the Adviser), the sanctions to be imposed shall be determined by the Adviser (or the controlling person thereof). Sanctions may include, but are not limited to, suspension or</w:t>
      </w:r>
    </w:p>
    <w:p>
      <w:pPr>
        <w:sectPr>
          <w:pgSz w:w="11900" w:h="16838" w:orient="portrait"/>
          <w:cols w:equalWidth="0" w:num="1">
            <w:col w:w="10980"/>
          </w:cols>
          <w:pgMar w:left="440" w:top="274" w:right="479" w:bottom="1440" w:gutter="0" w:footer="0" w:header="0"/>
        </w:sectPr>
      </w:pPr>
    </w:p>
    <w:bookmarkStart w:id="99" w:name="page100"/>
    <w:bookmarkEnd w:id="99"/>
    <w:p>
      <w:pPr>
        <w:ind w:right="7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employment, a letter of censure and/or restitution of an amount equal to the difference between the price paid or received by the Corporation and the more advantageous price paid or received by the offending person.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XI Administration and Construction</w:t>
      </w:r>
    </w:p>
    <w:p>
      <w:pPr>
        <w:spacing w:after="0" w:line="135" w:lineRule="exact"/>
        <w:rPr>
          <w:sz w:val="20"/>
          <w:szCs w:val="20"/>
          <w:color w:val="auto"/>
        </w:rPr>
      </w:pPr>
    </w:p>
    <w:p>
      <w:pPr>
        <w:ind w:left="960" w:hanging="532"/>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administration of this Code shall be the responsibility of the Chief Compliance Officer.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duties of the Chief Compliance Officer are as follows:</w:t>
      </w:r>
    </w:p>
    <w:p>
      <w:pPr>
        <w:spacing w:after="0" w:line="117" w:lineRule="exact"/>
        <w:rPr>
          <w:rFonts w:ascii="Arial" w:cs="Arial" w:eastAsia="Arial" w:hAnsi="Arial"/>
          <w:sz w:val="18"/>
          <w:szCs w:val="18"/>
          <w:color w:val="auto"/>
        </w:rPr>
      </w:pPr>
    </w:p>
    <w:p>
      <w:pPr>
        <w:ind w:right="360" w:firstLine="987"/>
        <w:spacing w:after="0" w:line="263" w:lineRule="auto"/>
        <w:tabs>
          <w:tab w:leader="none" w:pos="124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Continuous maintenance of a current list of the names of all Access Persons with an appropriate description of their title or employment, including a notation of any directorships held by Access Persons who are officers or employees of the Adviser or of any company that controls the Adviser, and informing all Access Persons of their reporting obligations hereunder;</w:t>
      </w:r>
    </w:p>
    <w:p>
      <w:pPr>
        <w:spacing w:after="0" w:line="183" w:lineRule="exact"/>
        <w:rPr>
          <w:rFonts w:ascii="Arial" w:cs="Arial" w:eastAsia="Arial" w:hAnsi="Arial"/>
          <w:sz w:val="18"/>
          <w:szCs w:val="18"/>
          <w:color w:val="auto"/>
        </w:rPr>
      </w:pPr>
    </w:p>
    <w:p>
      <w:pPr>
        <w:ind w:right="300" w:firstLine="987"/>
        <w:spacing w:after="0" w:line="277" w:lineRule="auto"/>
        <w:tabs>
          <w:tab w:leader="none" w:pos="124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On an annual basis, providing all Covered Personnel a copy of this Code and informing such persons of their duties and obligations hereunder including any supplemental training that may be required from time to time;</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Maintaining or supervising the maintenance of all records and reports required by this Code;</w:t>
      </w:r>
    </w:p>
    <w:p>
      <w:pPr>
        <w:spacing w:after="0" w:line="225" w:lineRule="exact"/>
        <w:rPr>
          <w:rFonts w:ascii="Arial" w:cs="Arial" w:eastAsia="Arial" w:hAnsi="Arial"/>
          <w:sz w:val="18"/>
          <w:szCs w:val="18"/>
          <w:color w:val="auto"/>
        </w:rPr>
      </w:pPr>
    </w:p>
    <w:p>
      <w:pPr>
        <w:ind w:right="660" w:firstLine="987"/>
        <w:spacing w:after="0" w:line="308" w:lineRule="auto"/>
        <w:tabs>
          <w:tab w:leader="none" w:pos="1246" w:val="left"/>
        </w:tabs>
        <w:numPr>
          <w:ilvl w:val="1"/>
          <w:numId w:val="134"/>
        </w:numPr>
        <w:rPr>
          <w:rFonts w:ascii="Arial" w:cs="Arial" w:eastAsia="Arial" w:hAnsi="Arial"/>
          <w:sz w:val="17"/>
          <w:szCs w:val="17"/>
          <w:color w:val="auto"/>
        </w:rPr>
      </w:pPr>
      <w:r>
        <w:rPr>
          <w:rFonts w:ascii="Arial" w:cs="Arial" w:eastAsia="Arial" w:hAnsi="Arial"/>
          <w:sz w:val="17"/>
          <w:szCs w:val="17"/>
          <w:color w:val="auto"/>
        </w:rPr>
        <w:t>Preparing listings of all transactions effected by Access Persons who are subject to the requirement to file Quarterly Securities Transaction Reports and reviewing such transactions against a listing of all transactions effected by the Corporation;</w:t>
      </w:r>
    </w:p>
    <w:p>
      <w:pPr>
        <w:spacing w:after="0" w:line="146" w:lineRule="exact"/>
        <w:rPr>
          <w:rFonts w:ascii="Arial" w:cs="Arial" w:eastAsia="Arial" w:hAnsi="Arial"/>
          <w:sz w:val="17"/>
          <w:szCs w:val="17"/>
          <w:color w:val="auto"/>
        </w:rPr>
      </w:pPr>
    </w:p>
    <w:p>
      <w:pPr>
        <w:ind w:right="200" w:firstLine="987"/>
        <w:spacing w:after="0" w:line="277" w:lineRule="auto"/>
        <w:tabs>
          <w:tab w:leader="none" w:pos="124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Issuance either personally or with the assistance of counsel as may be appropriate, of any interpretation of this Code that may appear consistent with the objectives of Rule 17j-1 and this Code;</w:t>
      </w:r>
    </w:p>
    <w:p>
      <w:pPr>
        <w:spacing w:after="0" w:line="170" w:lineRule="exact"/>
        <w:rPr>
          <w:rFonts w:ascii="Arial" w:cs="Arial" w:eastAsia="Arial" w:hAnsi="Arial"/>
          <w:sz w:val="18"/>
          <w:szCs w:val="18"/>
          <w:color w:val="auto"/>
        </w:rPr>
      </w:pPr>
    </w:p>
    <w:p>
      <w:pPr>
        <w:ind w:right="220" w:firstLine="987"/>
        <w:spacing w:after="0" w:line="277" w:lineRule="auto"/>
        <w:tabs>
          <w:tab w:leader="none" w:pos="124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Conduct such inspections or investigations as shall reasonably be required to detect and report, with recommendations, any apparent violations of this Code to the board of directors of the Corporation;</w:t>
      </w:r>
    </w:p>
    <w:p>
      <w:pPr>
        <w:spacing w:after="0" w:line="170" w:lineRule="exact"/>
        <w:rPr>
          <w:rFonts w:ascii="Arial" w:cs="Arial" w:eastAsia="Arial" w:hAnsi="Arial"/>
          <w:sz w:val="18"/>
          <w:szCs w:val="18"/>
          <w:color w:val="auto"/>
        </w:rPr>
      </w:pPr>
    </w:p>
    <w:p>
      <w:pPr>
        <w:ind w:right="60" w:firstLine="987"/>
        <w:spacing w:after="0" w:line="342" w:lineRule="auto"/>
        <w:tabs>
          <w:tab w:leader="none" w:pos="1246" w:val="left"/>
        </w:tabs>
        <w:numPr>
          <w:ilvl w:val="1"/>
          <w:numId w:val="134"/>
        </w:numPr>
        <w:rPr>
          <w:rFonts w:ascii="Arial" w:cs="Arial" w:eastAsia="Arial" w:hAnsi="Arial"/>
          <w:sz w:val="16"/>
          <w:szCs w:val="16"/>
          <w:color w:val="auto"/>
        </w:rPr>
      </w:pPr>
      <w:r>
        <w:rPr>
          <w:rFonts w:ascii="Arial" w:cs="Arial" w:eastAsia="Arial" w:hAnsi="Arial"/>
          <w:sz w:val="16"/>
          <w:szCs w:val="16"/>
          <w:color w:val="auto"/>
        </w:rPr>
        <w:t>Submission of a report to the board of directors of the Corporation, no less frequently than annually, a written report that describes any issues arising under the Code since the last such report, including but not limited to the information described in Section VII (B); and</w:t>
      </w:r>
    </w:p>
    <w:p>
      <w:pPr>
        <w:spacing w:after="0" w:line="29" w:lineRule="exact"/>
        <w:rPr>
          <w:rFonts w:ascii="Arial" w:cs="Arial" w:eastAsia="Arial" w:hAnsi="Arial"/>
          <w:sz w:val="16"/>
          <w:szCs w:val="16"/>
          <w:color w:val="auto"/>
        </w:rPr>
      </w:pPr>
    </w:p>
    <w:p>
      <w:pPr>
        <w:ind w:left="960" w:hanging="532"/>
        <w:spacing w:after="0"/>
        <w:tabs>
          <w:tab w:leader="none" w:pos="9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Chief Financial Officer shall maintain and cause to be maintained in an easily accessible place at the principal place of business of the</w:t>
      </w:r>
    </w:p>
    <w:p>
      <w:pPr>
        <w:spacing w:after="0" w:line="46" w:lineRule="exact"/>
        <w:rPr>
          <w:rFonts w:ascii="Arial" w:cs="Arial" w:eastAsia="Arial" w:hAnsi="Arial"/>
          <w:sz w:val="16"/>
          <w:szCs w:val="16"/>
          <w:color w:val="auto"/>
        </w:rPr>
      </w:pPr>
    </w:p>
    <w:p>
      <w:pPr>
        <w:ind w:left="960"/>
        <w:spacing w:after="0"/>
        <w:rPr>
          <w:rFonts w:ascii="Arial" w:cs="Arial" w:eastAsia="Arial" w:hAnsi="Arial"/>
          <w:sz w:val="16"/>
          <w:szCs w:val="16"/>
          <w:color w:val="auto"/>
        </w:rPr>
      </w:pPr>
      <w:r>
        <w:rPr>
          <w:rFonts w:ascii="Arial" w:cs="Arial" w:eastAsia="Arial" w:hAnsi="Arial"/>
          <w:sz w:val="18"/>
          <w:szCs w:val="18"/>
          <w:color w:val="auto"/>
        </w:rPr>
        <w:t>17j-1 Organization, the following records:</w:t>
      </w:r>
    </w:p>
    <w:p>
      <w:pPr>
        <w:spacing w:after="0" w:line="102" w:lineRule="exact"/>
        <w:rPr>
          <w:rFonts w:ascii="Arial" w:cs="Arial" w:eastAsia="Arial" w:hAnsi="Arial"/>
          <w:sz w:val="16"/>
          <w:szCs w:val="16"/>
          <w:color w:val="auto"/>
        </w:rPr>
      </w:pPr>
    </w:p>
    <w:p>
      <w:pPr>
        <w:ind w:right="280" w:firstLine="987"/>
        <w:spacing w:after="0" w:line="277" w:lineRule="auto"/>
        <w:tabs>
          <w:tab w:leader="none" w:pos="124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copy of all codes of ethics adopted by the Corporation or the Adviser and its affiliates, as the case may be, pursuant to Rule 17j-1 that have been in effect at any time during the past five (5) years;</w:t>
      </w:r>
    </w:p>
    <w:p>
      <w:pPr>
        <w:spacing w:after="0" w:line="170" w:lineRule="exact"/>
        <w:rPr>
          <w:rFonts w:ascii="Arial" w:cs="Arial" w:eastAsia="Arial" w:hAnsi="Arial"/>
          <w:sz w:val="18"/>
          <w:szCs w:val="18"/>
          <w:color w:val="auto"/>
        </w:rPr>
      </w:pPr>
    </w:p>
    <w:p>
      <w:pPr>
        <w:ind w:firstLine="987"/>
        <w:spacing w:after="0" w:line="277" w:lineRule="auto"/>
        <w:tabs>
          <w:tab w:leader="none" w:pos="124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record of each violation of such codes of ethics and of any action taken as a result of such violation for at least five (5) years after the end of the fiscal year in which the violation occurs;</w:t>
      </w:r>
    </w:p>
    <w:p>
      <w:pPr>
        <w:spacing w:after="0" w:line="170" w:lineRule="exact"/>
        <w:rPr>
          <w:rFonts w:ascii="Arial" w:cs="Arial" w:eastAsia="Arial" w:hAnsi="Arial"/>
          <w:sz w:val="18"/>
          <w:szCs w:val="18"/>
          <w:color w:val="auto"/>
        </w:rPr>
      </w:pPr>
    </w:p>
    <w:p>
      <w:pPr>
        <w:ind w:right="180" w:firstLine="987"/>
        <w:spacing w:after="0" w:line="277" w:lineRule="auto"/>
        <w:tabs>
          <w:tab w:leader="none" w:pos="1246"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 copy of each report made by an Access Person for at least two (2) years after the end of the fiscal year in which the report is made, and for an additional three (3) years in a place that need not be easily accessible;</w:t>
      </w:r>
    </w:p>
    <w:p>
      <w:pPr>
        <w:sectPr>
          <w:pgSz w:w="11900" w:h="16838" w:orient="portrait"/>
          <w:cols w:equalWidth="0" w:num="1">
            <w:col w:w="11000"/>
          </w:cols>
          <w:pgMar w:left="440" w:top="274" w:right="459" w:bottom="1440" w:gutter="0" w:footer="0" w:header="0"/>
        </w:sectPr>
      </w:pPr>
    </w:p>
    <w:bookmarkStart w:id="100" w:name="page101"/>
    <w:bookmarkEnd w:id="100"/>
    <w:p>
      <w:pPr>
        <w:ind w:right="80" w:firstLine="987"/>
        <w:spacing w:after="0" w:line="308" w:lineRule="auto"/>
        <w:tabs>
          <w:tab w:leader="none" w:pos="1246" w:val="left"/>
        </w:tabs>
        <w:numPr>
          <w:ilvl w:val="1"/>
          <w:numId w:val="13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copy of each report made by the Chief Compliance Officer to the board of directors for two (2) years from the end of the fiscal year of the Corporation in which such report is made or issued and for an additional three (3) years in a place that need not be easily accessible;</w:t>
      </w:r>
    </w:p>
    <w:p>
      <w:pPr>
        <w:spacing w:after="0" w:line="146" w:lineRule="exact"/>
        <w:rPr>
          <w:rFonts w:ascii="Arial" w:cs="Arial" w:eastAsia="Arial" w:hAnsi="Arial"/>
          <w:sz w:val="17"/>
          <w:szCs w:val="17"/>
          <w:color w:val="auto"/>
        </w:rPr>
      </w:pPr>
    </w:p>
    <w:p>
      <w:pPr>
        <w:ind w:firstLine="987"/>
        <w:spacing w:after="0" w:line="277" w:lineRule="auto"/>
        <w:tabs>
          <w:tab w:leader="none" w:pos="124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list of all persons who are, or within the past five (5) years have been, required to make reports pursuant to the Rule and this Code of Ethics, or who are or were responsible for reviewing such reports;</w:t>
      </w:r>
    </w:p>
    <w:p>
      <w:pPr>
        <w:spacing w:after="0" w:line="170" w:lineRule="exact"/>
        <w:rPr>
          <w:rFonts w:ascii="Arial" w:cs="Arial" w:eastAsia="Arial" w:hAnsi="Arial"/>
          <w:sz w:val="18"/>
          <w:szCs w:val="18"/>
          <w:color w:val="auto"/>
        </w:rPr>
      </w:pPr>
    </w:p>
    <w:p>
      <w:pPr>
        <w:ind w:right="120" w:firstLine="987"/>
        <w:spacing w:after="0" w:line="277" w:lineRule="auto"/>
        <w:tabs>
          <w:tab w:leader="none" w:pos="1246"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 copy of each report required by Section VII (B) for at least two (2) years after the end of the fiscal year in which it is made, and for an additional three (3) years in a place that need not be easily accessible; and</w:t>
      </w:r>
    </w:p>
    <w:p>
      <w:pPr>
        <w:spacing w:after="0" w:line="170" w:lineRule="exact"/>
        <w:rPr>
          <w:rFonts w:ascii="Arial" w:cs="Arial" w:eastAsia="Arial" w:hAnsi="Arial"/>
          <w:sz w:val="18"/>
          <w:szCs w:val="18"/>
          <w:color w:val="auto"/>
        </w:rPr>
      </w:pPr>
    </w:p>
    <w:p>
      <w:pPr>
        <w:ind w:right="80" w:firstLine="987"/>
        <w:spacing w:after="0" w:line="308" w:lineRule="auto"/>
        <w:tabs>
          <w:tab w:leader="none" w:pos="1246"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 record of any decision, and the reasons supporting the decision, to approve the acquisition by an Advisory Person of securities in an Initial Public Offering or Limited Offering for at least five (5) years after the end of the fiscal year in which the approval is granted.</w:t>
      </w:r>
    </w:p>
    <w:p>
      <w:pPr>
        <w:spacing w:after="0" w:line="51" w:lineRule="exact"/>
        <w:rPr>
          <w:rFonts w:ascii="Arial" w:cs="Arial" w:eastAsia="Arial" w:hAnsi="Arial"/>
          <w:sz w:val="17"/>
          <w:szCs w:val="17"/>
          <w:color w:val="auto"/>
        </w:rPr>
      </w:pPr>
    </w:p>
    <w:p>
      <w:pPr>
        <w:ind w:left="960" w:right="360" w:hanging="532"/>
        <w:spacing w:after="0" w:line="277" w:lineRule="auto"/>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This Code may not be amended or modified except in a written form that is specifically approved by majority vote of the Independent Directors.</w:t>
      </w:r>
    </w:p>
    <w:p>
      <w:pPr>
        <w:spacing w:after="0" w:line="17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This Joint Code of Ethics, originally adopted December 12, 2007, is annually reviewed and approved by the Board of Directors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Corporation, including a majority of the Independent Directors.</w:t>
      </w:r>
    </w:p>
    <w:sectPr>
      <w:pgSz w:w="11900" w:h="16838" w:orient="portrait"/>
      <w:cols w:equalWidth="0" w:num="1">
        <w:col w:w="10980"/>
      </w:cols>
      <w:pgMar w:left="4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1)"/>
      <w:numFmt w:val="lowerLetter"/>
      <w:start w:val="1"/>
    </w:lvl>
    <w:lvl w:ilvl="1">
      <w:lvlJc w:val="left"/>
      <w:lvlText w:val="(%2)"/>
      <w:numFmt w:val="lowerLetter"/>
      <w:start w:val="9"/>
    </w:lvl>
  </w:abstractNum>
  <w:abstractNum w:abstractNumId="2">
    <w:nsid w:val="15014ACB"/>
    <w:multiLevelType w:val="hybridMultilevel"/>
    <w:lvl w:ilvl="0">
      <w:lvlJc w:val="left"/>
      <w:lvlText w:val="%1"/>
      <w:numFmt w:val="lowerRoman"/>
      <w:start w:val="1"/>
    </w:lvl>
    <w:lvl w:ilvl="1">
      <w:lvlJc w:val="left"/>
      <w:lvlText w:val="(%2)"/>
      <w:numFmt w:val="lowerRoman"/>
      <w:start w:val="2"/>
    </w:lvl>
  </w:abstractNum>
  <w:abstractNum w:abstractNumId="3">
    <w:nsid w:val="5F5E7FD0"/>
    <w:multiLevelType w:val="hybridMultilevel"/>
    <w:lvl w:ilvl="0">
      <w:lvlJc w:val="left"/>
      <w:lvlText w:val="(%1)"/>
      <w:numFmt w:val="lowerRoman"/>
      <w:start w:val="3"/>
    </w:lvl>
    <w:lvl w:ilvl="1">
      <w:lvlJc w:val="left"/>
      <w:lvlText w:val="(%2)"/>
      <w:numFmt w:val="lowerRoman"/>
      <w:start w:val="3"/>
    </w:lvl>
  </w:abstractNum>
  <w:abstractNum w:abstractNumId="4">
    <w:nsid w:val="98A3148"/>
    <w:multiLevelType w:val="hybridMultilevel"/>
    <w:lvl w:ilvl="0">
      <w:lvlJc w:val="left"/>
      <w:lvlText w:val="(%1)"/>
      <w:numFmt w:val="lowerRoman"/>
      <w:start w:val="5"/>
    </w:lvl>
  </w:abstractNum>
  <w:abstractNum w:abstractNumId="5">
    <w:nsid w:val="799D0247"/>
    <w:multiLevelType w:val="hybridMultilevel"/>
    <w:lvl w:ilvl="0">
      <w:lvlJc w:val="left"/>
      <w:lvlText w:val="(%1)"/>
      <w:numFmt w:val="lowerRoman"/>
      <w:start w:val="9"/>
    </w:lvl>
  </w:abstractNum>
  <w:abstractNum w:abstractNumId="6">
    <w:nsid w:val="6B94764"/>
    <w:multiLevelType w:val="hybridMultilevel"/>
    <w:lvl w:ilvl="0">
      <w:lvlJc w:val="left"/>
      <w:lvlText w:val="(%1)"/>
      <w:numFmt w:val="lowerRoman"/>
      <w:start w:val="12"/>
    </w:lvl>
  </w:abstractNum>
  <w:abstractNum w:abstractNumId="7">
    <w:nsid w:val="42C296BD"/>
    <w:multiLevelType w:val="hybridMultilevel"/>
    <w:lvl w:ilvl="0">
      <w:lvlJc w:val="left"/>
      <w:lvlText w:val="(%1)"/>
      <w:numFmt w:val="lowerRoman"/>
      <w:start w:val="17"/>
    </w:lvl>
  </w:abstractNum>
  <w:abstractNum w:abstractNumId="8">
    <w:nsid w:val="168E121F"/>
    <w:multiLevelType w:val="hybridMultilevel"/>
    <w:lvl w:ilvl="0">
      <w:lvlJc w:val="left"/>
      <w:lvlText w:val="(%1)"/>
      <w:numFmt w:val="lowerRoman"/>
      <w:start w:val="21"/>
    </w:lvl>
  </w:abstractNum>
  <w:abstractNum w:abstractNumId="9">
    <w:nsid w:val="1EBA5D23"/>
    <w:multiLevelType w:val="hybridMultilevel"/>
    <w:lvl w:ilvl="0">
      <w:lvlJc w:val="left"/>
      <w:lvlText w:val="(%1)"/>
      <w:numFmt w:val="lowerRoman"/>
      <w:start w:val="24"/>
    </w:lvl>
  </w:abstractNum>
  <w:abstractNum w:abstractNumId="10">
    <w:nsid w:val="661E3F1E"/>
    <w:multiLevelType w:val="hybridMultilevel"/>
    <w:lvl w:ilvl="0">
      <w:lvlJc w:val="left"/>
      <w:lvlText w:val="(%1)"/>
      <w:numFmt w:val="lowerRoman"/>
      <w:start w:val="27"/>
    </w:lvl>
  </w:abstractNum>
  <w:abstractNum w:abstractNumId="11">
    <w:nsid w:val="5DC79EA8"/>
    <w:multiLevelType w:val="hybridMultilevel"/>
    <w:lvl w:ilvl="0">
      <w:lvlJc w:val="left"/>
      <w:lvlText w:val="(%1)"/>
      <w:numFmt w:val="lowerRoman"/>
      <w:start w:val="31"/>
    </w:lvl>
  </w:abstractNum>
  <w:abstractNum w:abstractNumId="12">
    <w:nsid w:val="540A471C"/>
    <w:multiLevelType w:val="hybridMultilevel"/>
    <w:lvl w:ilvl="0">
      <w:lvlJc w:val="left"/>
      <w:lvlText w:val="%1"/>
      <w:numFmt w:val="upperLetter"/>
      <w:start w:val="1"/>
    </w:lvl>
    <w:lvl w:ilvl="1">
      <w:lvlJc w:val="left"/>
      <w:lvlText w:val="(%2)"/>
      <w:numFmt w:val="lowerRoman"/>
      <w:start w:val="37"/>
    </w:lvl>
  </w:abstractNum>
  <w:abstractNum w:abstractNumId="13">
    <w:nsid w:val="7BD3EE7B"/>
    <w:multiLevelType w:val="hybridMultilevel"/>
    <w:lvl w:ilvl="0">
      <w:lvlJc w:val="left"/>
      <w:lvlText w:val="(%1)"/>
      <w:numFmt w:val="upperLetter"/>
      <w:start w:val="2"/>
    </w:lvl>
    <w:lvl w:ilvl="1">
      <w:lvlJc w:val="left"/>
      <w:lvlText w:val="(%2)"/>
      <w:numFmt w:val="lowerRoman"/>
      <w:start w:val="38"/>
    </w:lvl>
  </w:abstractNum>
  <w:abstractNum w:abstractNumId="14">
    <w:nsid w:val="51D9C564"/>
    <w:multiLevelType w:val="hybridMultilevel"/>
    <w:lvl w:ilvl="0">
      <w:lvlJc w:val="left"/>
      <w:lvlText w:val="(%1)"/>
      <w:numFmt w:val="lowerLetter"/>
      <w:start w:val="2"/>
    </w:lvl>
    <w:lvl w:ilvl="1">
      <w:lvlJc w:val="left"/>
      <w:lvlText w:val="(%2)"/>
      <w:numFmt w:val="lowerRoman"/>
      <w:start w:val="1"/>
    </w:lvl>
  </w:abstractNum>
  <w:abstractNum w:abstractNumId="15">
    <w:nsid w:val="613EFDC5"/>
    <w:multiLevelType w:val="hybridMultilevel"/>
    <w:lvl w:ilvl="0">
      <w:lvlJc w:val="left"/>
      <w:lvlText w:val="(%1)"/>
      <w:numFmt w:val="lowerRoman"/>
      <w:start w:val="3"/>
    </w:lvl>
  </w:abstractNum>
  <w:abstractNum w:abstractNumId="16">
    <w:nsid w:val="BF72B14"/>
    <w:multiLevelType w:val="hybridMultilevel"/>
    <w:lvl w:ilvl="0">
      <w:lvlJc w:val="left"/>
      <w:lvlText w:val="%1"/>
      <w:numFmt w:val="lowerLetter"/>
      <w:start w:val="1"/>
    </w:lvl>
    <w:lvl w:ilvl="1">
      <w:lvlJc w:val="left"/>
      <w:lvlText w:val="(%2)"/>
      <w:numFmt w:val="lowerRoman"/>
      <w:start w:val="6"/>
    </w:lvl>
  </w:abstractNum>
  <w:abstractNum w:abstractNumId="17">
    <w:nsid w:val="11447B73"/>
    <w:multiLevelType w:val="hybridMultilevel"/>
    <w:lvl w:ilvl="0">
      <w:lvlJc w:val="left"/>
      <w:lvlText w:val="(%1)"/>
      <w:numFmt w:val="lowerLetter"/>
      <w:start w:val="2"/>
    </w:lvl>
    <w:lvl w:ilvl="1">
      <w:lvlJc w:val="left"/>
      <w:lvlText w:val="(%2)"/>
      <w:numFmt w:val="lowerRoman"/>
      <w:start w:val="7"/>
    </w:lvl>
  </w:abstractNum>
  <w:abstractNum w:abstractNumId="18">
    <w:nsid w:val="42963E5A"/>
    <w:multiLevelType w:val="hybridMultilevel"/>
    <w:lvl w:ilvl="0">
      <w:lvlJc w:val="left"/>
      <w:lvlText w:val="(%1)"/>
      <w:numFmt w:val="lowerRoman"/>
      <w:start w:val="10"/>
    </w:lvl>
  </w:abstractNum>
  <w:abstractNum w:abstractNumId="19">
    <w:nsid w:val="A0382C5"/>
    <w:multiLevelType w:val="hybridMultilevel"/>
    <w:lvl w:ilvl="0">
      <w:lvlJc w:val="left"/>
      <w:lvlText w:val="(%1)"/>
      <w:numFmt w:val="lowerRoman"/>
      <w:start w:val="14"/>
    </w:lvl>
  </w:abstractNum>
  <w:abstractNum w:abstractNumId="20">
    <w:nsid w:val="8F2B15E"/>
    <w:multiLevelType w:val="hybridMultilevel"/>
    <w:lvl w:ilvl="0">
      <w:lvlJc w:val="left"/>
      <w:lvlText w:val="%1"/>
      <w:numFmt w:val="lowerLetter"/>
      <w:start w:val="1"/>
    </w:lvl>
    <w:lvl w:ilvl="1">
      <w:lvlJc w:val="left"/>
      <w:lvlText w:val="(%2)"/>
      <w:numFmt w:val="lowerRoman"/>
      <w:start w:val="19"/>
    </w:lvl>
  </w:abstractNum>
  <w:abstractNum w:abstractNumId="21">
    <w:nsid w:val="1A32234B"/>
    <w:multiLevelType w:val="hybridMultilevel"/>
    <w:lvl w:ilvl="0">
      <w:lvlJc w:val="left"/>
      <w:lvlText w:val="(%1)"/>
      <w:numFmt w:val="lowerLetter"/>
      <w:start w:val="3"/>
    </w:lvl>
    <w:lvl w:ilvl="1">
      <w:lvlJc w:val="left"/>
      <w:lvlText w:val="%2"/>
      <w:numFmt w:val="lowerRoman"/>
      <w:start w:val="1"/>
    </w:lvl>
  </w:abstractNum>
  <w:abstractNum w:abstractNumId="22">
    <w:nsid w:val="3B0FD37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3">
    <w:nsid w:val="68EB2F63"/>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24">
    <w:nsid w:val="4962813B"/>
    <w:multiLevelType w:val="hybridMultilevel"/>
    <w:lvl w:ilvl="0">
      <w:lvlJc w:val="left"/>
      <w:lvlText w:val="(%1)"/>
      <w:numFmt w:val="lowerRoman"/>
      <w:start w:val="2"/>
    </w:lvl>
  </w:abstractNum>
  <w:abstractNum w:abstractNumId="25">
    <w:nsid w:val="60B6DF70"/>
    <w:multiLevelType w:val="hybridMultilevel"/>
    <w:lvl w:ilvl="0">
      <w:lvlJc w:val="left"/>
      <w:lvlText w:val="(%1)"/>
      <w:numFmt w:val="lowerRoman"/>
      <w:start w:val="5"/>
    </w:lvl>
  </w:abstractNum>
  <w:abstractNum w:abstractNumId="26">
    <w:nsid w:val="6A5EE64"/>
    <w:multiLevelType w:val="hybridMultilevel"/>
    <w:lvl w:ilvl="0">
      <w:lvlJc w:val="left"/>
      <w:lvlText w:val="(%1)"/>
      <w:numFmt w:val="lowerLetter"/>
      <w:start w:val="2"/>
    </w:lvl>
  </w:abstractNum>
  <w:abstractNum w:abstractNumId="27">
    <w:nsid w:val="14330624"/>
    <w:multiLevelType w:val="hybridMultilevel"/>
    <w:lvl w:ilvl="0">
      <w:lvlJc w:val="left"/>
      <w:lvlText w:val="(%1)"/>
      <w:numFmt w:val="lowerLetter"/>
      <w:start w:val="4"/>
    </w:lvl>
  </w:abstractNum>
  <w:abstractNum w:abstractNumId="28">
    <w:nsid w:val="7FFFCA11"/>
    <w:multiLevelType w:val="hybridMultilevel"/>
    <w:lvl w:ilvl="0">
      <w:lvlJc w:val="left"/>
      <w:lvlText w:val="(%1)"/>
      <w:numFmt w:val="lowerLetter"/>
      <w:start w:val="8"/>
    </w:lvl>
  </w:abstractNum>
  <w:abstractNum w:abstractNumId="29">
    <w:nsid w:val="1A27709E"/>
    <w:multiLevelType w:val="hybridMultilevel"/>
    <w:lvl w:ilvl="0">
      <w:lvlJc w:val="left"/>
      <w:lvlText w:val="%1"/>
      <w:numFmt w:val="lowerLetter"/>
      <w:start w:val="1"/>
    </w:lvl>
    <w:lvl w:ilvl="1">
      <w:lvlJc w:val="left"/>
      <w:lvlText w:val="(%2)"/>
      <w:numFmt w:val="lowerLetter"/>
      <w:start w:val="1"/>
    </w:lvl>
  </w:abstractNum>
  <w:abstractNum w:abstractNumId="30">
    <w:nsid w:val="71EA1109"/>
    <w:multiLevelType w:val="hybridMultilevel"/>
    <w:lvl w:ilvl="0">
      <w:lvlJc w:val="left"/>
      <w:lvlText w:val="(%1)"/>
      <w:numFmt w:val="lowerLetter"/>
      <w:start w:val="9"/>
    </w:lvl>
    <w:lvl w:ilvl="1">
      <w:lvlJc w:val="left"/>
      <w:lvlText w:val="%2"/>
      <w:numFmt w:val="lowerLetter"/>
      <w:start w:val="1"/>
    </w:lvl>
  </w:abstractNum>
  <w:abstractNum w:abstractNumId="31">
    <w:nsid w:val="100F59DC"/>
    <w:multiLevelType w:val="hybridMultilevel"/>
    <w:lvl w:ilvl="0">
      <w:lvlJc w:val="left"/>
      <w:lvlText w:val="(%1)"/>
      <w:numFmt w:val="lowerLetter"/>
      <w:start w:val="22"/>
    </w:lvl>
    <w:lvl w:ilvl="1">
      <w:lvlJc w:val="left"/>
      <w:lvlText w:val="%2"/>
      <w:numFmt w:val="lowerLetter"/>
      <w:start w:val="1"/>
    </w:lvl>
  </w:abstractNum>
  <w:abstractNum w:abstractNumId="32">
    <w:nsid w:val="7FB7E0AA"/>
    <w:multiLevelType w:val="hybridMultilevel"/>
    <w:lvl w:ilvl="0">
      <w:lvlJc w:val="left"/>
      <w:lvlText w:val="(%1)"/>
      <w:numFmt w:val="lowerLetter"/>
      <w:start w:val="2"/>
    </w:lvl>
  </w:abstractNum>
  <w:abstractNum w:abstractNumId="33">
    <w:nsid w:val="6EB5BD4"/>
    <w:multiLevelType w:val="hybridMultilevel"/>
    <w:lvl w:ilvl="0">
      <w:lvlJc w:val="left"/>
      <w:lvlText w:val="(%1)"/>
      <w:numFmt w:val="lowerLetter"/>
      <w:start w:val="5"/>
    </w:lvl>
  </w:abstractNum>
  <w:abstractNum w:abstractNumId="34">
    <w:nsid w:val="6F6DD9AC"/>
    <w:multiLevelType w:val="hybridMultilevel"/>
    <w:lvl w:ilvl="0">
      <w:lvlJc w:val="left"/>
      <w:lvlText w:val="%1"/>
      <w:numFmt w:val="upperLetter"/>
      <w:start w:val="1"/>
    </w:lvl>
    <w:lvl w:ilvl="1">
      <w:lvlJc w:val="left"/>
      <w:lvlText w:val="(%2)"/>
      <w:numFmt w:val="lowerLetter"/>
      <w:start w:val="11"/>
    </w:lvl>
  </w:abstractNum>
  <w:abstractNum w:abstractNumId="35">
    <w:nsid w:val="94211F2"/>
    <w:multiLevelType w:val="hybridMultilevel"/>
    <w:lvl w:ilvl="0">
      <w:lvlJc w:val="left"/>
      <w:lvlText w:val="(%1)"/>
      <w:numFmt w:val="upperLetter"/>
      <w:start w:val="2"/>
    </w:lvl>
    <w:lvl w:ilvl="1">
      <w:lvlJc w:val="left"/>
      <w:lvlText w:val="%2"/>
      <w:numFmt w:val="lowerLetter"/>
      <w:start w:val="1"/>
    </w:lvl>
  </w:abstractNum>
  <w:abstractNum w:abstractNumId="36">
    <w:nsid w:val="885E1B"/>
    <w:multiLevelType w:val="hybridMultilevel"/>
    <w:lvl w:ilvl="0">
      <w:lvlJc w:val="left"/>
      <w:lvlText w:val="(%1)"/>
      <w:numFmt w:val="upperLetter"/>
      <w:start w:val="5"/>
    </w:lvl>
    <w:lvl w:ilvl="1">
      <w:lvlJc w:val="left"/>
      <w:lvlText w:val="(%2)"/>
      <w:numFmt w:val="lowerLetter"/>
      <w:start w:val="16"/>
    </w:lvl>
  </w:abstractNum>
  <w:abstractNum w:abstractNumId="37">
    <w:nsid w:val="76272110"/>
    <w:multiLevelType w:val="hybridMultilevel"/>
    <w:lvl w:ilvl="0">
      <w:lvlJc w:val="left"/>
      <w:lvlText w:val="(%1)"/>
      <w:numFmt w:val="lowerLetter"/>
      <w:start w:val="17"/>
    </w:lvl>
  </w:abstractNum>
  <w:abstractNum w:abstractNumId="38">
    <w:nsid w:val="4C04A8AF"/>
    <w:multiLevelType w:val="hybridMultilevel"/>
    <w:lvl w:ilvl="0">
      <w:lvlJc w:val="left"/>
      <w:lvlText w:val="(%1)"/>
      <w:numFmt w:val="lowerRoman"/>
      <w:start w:val="3"/>
    </w:lvl>
  </w:abstractNum>
  <w:abstractNum w:abstractNumId="39">
    <w:nsid w:val="1716703B"/>
    <w:multiLevelType w:val="hybridMultilevel"/>
    <w:lvl w:ilvl="0">
      <w:lvlJc w:val="left"/>
      <w:lvlText w:val="(%1)"/>
      <w:numFmt w:val="lowerLetter"/>
      <w:start w:val="1"/>
    </w:lvl>
  </w:abstractNum>
  <w:abstractNum w:abstractNumId="40">
    <w:nsid w:val="14E17E33"/>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41">
    <w:nsid w:val="3222E7CD"/>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42">
    <w:nsid w:val="74DE0EE3"/>
    <w:multiLevelType w:val="hybridMultilevel"/>
    <w:lvl w:ilvl="0">
      <w:lvlJc w:val="left"/>
      <w:lvlText w:val="(%1)"/>
      <w:numFmt w:val="lowerLetter"/>
      <w:start w:val="6"/>
    </w:lvl>
  </w:abstractNum>
  <w:abstractNum w:abstractNumId="43">
    <w:nsid w:val="68EBC550"/>
    <w:multiLevelType w:val="hybridMultilevel"/>
    <w:lvl w:ilvl="0">
      <w:lvlJc w:val="left"/>
      <w:lvlText w:val="(%1)"/>
      <w:numFmt w:val="lowerLetter"/>
      <w:start w:val="1"/>
    </w:lvl>
    <w:lvl w:ilvl="1">
      <w:lvlJc w:val="left"/>
      <w:lvlText w:val="(%2)"/>
      <w:numFmt w:val="lowerRoman"/>
      <w:start w:val="1"/>
    </w:lvl>
  </w:abstractNum>
  <w:abstractNum w:abstractNumId="44">
    <w:nsid w:val="2DF6D648"/>
    <w:multiLevelType w:val="hybridMultilevel"/>
    <w:lvl w:ilvl="0">
      <w:lvlJc w:val="left"/>
      <w:lvlText w:val="(%1)"/>
      <w:numFmt w:val="lowerLetter"/>
      <w:start w:val="2"/>
    </w:lvl>
  </w:abstractNum>
  <w:abstractNum w:abstractNumId="45">
    <w:nsid w:val="46B7D447"/>
    <w:multiLevelType w:val="hybridMultilevel"/>
    <w:lvl w:ilvl="0">
      <w:lvlJc w:val="left"/>
      <w:lvlText w:val="(%1)"/>
      <w:numFmt w:val="lowerLetter"/>
      <w:start w:val="4"/>
    </w:lvl>
  </w:abstractNum>
  <w:abstractNum w:abstractNumId="46">
    <w:nsid w:val="4A2AC315"/>
    <w:multiLevelType w:val="hybridMultilevel"/>
    <w:lvl w:ilvl="0">
      <w:lvlJc w:val="left"/>
      <w:lvlText w:val="(%1)"/>
      <w:numFmt w:val="lowerLetter"/>
      <w:start w:val="1"/>
    </w:lvl>
  </w:abstractNum>
  <w:abstractNum w:abstractNumId="47">
    <w:nsid w:val="39EE015C"/>
    <w:multiLevelType w:val="hybridMultilevel"/>
    <w:lvl w:ilvl="0">
      <w:lvlJc w:val="left"/>
      <w:lvlText w:val="(%1)"/>
      <w:numFmt w:val="lowerRoman"/>
      <w:start w:val="4"/>
    </w:lvl>
    <w:lvl w:ilvl="1">
      <w:lvlJc w:val="left"/>
      <w:lvlText w:val="(%2)"/>
      <w:numFmt w:val="lowerLetter"/>
      <w:start w:val="3"/>
    </w:lvl>
  </w:abstractNum>
  <w:abstractNum w:abstractNumId="48">
    <w:nsid w:val="57FC4FBB"/>
    <w:multiLevelType w:val="hybridMultilevel"/>
    <w:lvl w:ilvl="0">
      <w:lvlJc w:val="left"/>
      <w:lvlText w:val="(%1)"/>
      <w:numFmt w:val="lowerLetter"/>
      <w:start w:val="5"/>
    </w:lvl>
  </w:abstractNum>
  <w:abstractNum w:abstractNumId="49">
    <w:nsid w:val="CC1016F"/>
    <w:multiLevelType w:val="hybridMultilevel"/>
    <w:lvl w:ilvl="0">
      <w:lvlJc w:val="left"/>
      <w:lvlText w:val="(%1)"/>
      <w:numFmt w:val="lowerLetter"/>
      <w:start w:val="1"/>
    </w:lvl>
  </w:abstractNum>
  <w:abstractNum w:abstractNumId="50">
    <w:nsid w:val="43F18422"/>
    <w:multiLevelType w:val="hybridMultilevel"/>
    <w:lvl w:ilvl="0">
      <w:lvlJc w:val="left"/>
      <w:lvlText w:val="%1"/>
      <w:numFmt w:val="lowerLetter"/>
      <w:start w:val="1"/>
    </w:lvl>
    <w:lvl w:ilvl="1">
      <w:lvlJc w:val="left"/>
      <w:lvlText w:val="(%2)"/>
      <w:numFmt w:val="lowerLetter"/>
      <w:start w:val="3"/>
    </w:lvl>
  </w:abstractNum>
  <w:abstractNum w:abstractNumId="51">
    <w:nsid w:val="60EF0119"/>
    <w:multiLevelType w:val="hybridMultilevel"/>
    <w:lvl w:ilvl="0">
      <w:lvlJc w:val="left"/>
      <w:lvlText w:val="(%1)"/>
      <w:numFmt w:val="lowerLetter"/>
      <w:start w:val="9"/>
    </w:lvl>
    <w:lvl w:ilvl="1">
      <w:lvlJc w:val="left"/>
      <w:lvlText w:val="%2"/>
      <w:numFmt w:val="lowerLetter"/>
      <w:start w:val="1"/>
    </w:lvl>
  </w:abstractNum>
  <w:abstractNum w:abstractNumId="52">
    <w:nsid w:val="26F324BA"/>
    <w:multiLevelType w:val="hybridMultilevel"/>
    <w:lvl w:ilvl="0">
      <w:lvlJc w:val="left"/>
      <w:lvlText w:val="(%1)"/>
      <w:numFmt w:val="lowerLetter"/>
      <w:start w:val="1"/>
    </w:lvl>
    <w:lvl w:ilvl="1">
      <w:lvlJc w:val="left"/>
      <w:lvlText w:val="(%2)"/>
      <w:numFmt w:val="lowerLetter"/>
      <w:start w:val="9"/>
    </w:lvl>
  </w:abstractNum>
  <w:abstractNum w:abstractNumId="53">
    <w:nsid w:val="7F01579B"/>
    <w:multiLevelType w:val="hybridMultilevel"/>
    <w:lvl w:ilvl="0">
      <w:lvlJc w:val="left"/>
      <w:lvlText w:val="%1"/>
      <w:numFmt w:val="lowerRoman"/>
      <w:start w:val="1"/>
    </w:lvl>
    <w:lvl w:ilvl="1">
      <w:lvlJc w:val="left"/>
      <w:lvlText w:val="(%2)"/>
      <w:numFmt w:val="lowerRoman"/>
      <w:start w:val="2"/>
    </w:lvl>
  </w:abstractNum>
  <w:abstractNum w:abstractNumId="54">
    <w:nsid w:val="49DA307D"/>
    <w:multiLevelType w:val="hybridMultilevel"/>
    <w:lvl w:ilvl="0">
      <w:lvlJc w:val="left"/>
      <w:lvlText w:val="(%1)"/>
      <w:numFmt w:val="lowerRoman"/>
      <w:start w:val="3"/>
    </w:lvl>
    <w:lvl w:ilvl="1">
      <w:lvlJc w:val="left"/>
      <w:lvlText w:val="(%2)"/>
      <w:numFmt w:val="lowerRoman"/>
      <w:start w:val="3"/>
    </w:lvl>
  </w:abstractNum>
  <w:abstractNum w:abstractNumId="55">
    <w:nsid w:val="7055A5F5"/>
    <w:multiLevelType w:val="hybridMultilevel"/>
    <w:lvl w:ilvl="0">
      <w:lvlJc w:val="left"/>
      <w:lvlText w:val="(%1)"/>
      <w:numFmt w:val="lowerRoman"/>
      <w:start w:val="5"/>
    </w:lvl>
  </w:abstractNum>
  <w:abstractNum w:abstractNumId="56">
    <w:nsid w:val="5FB8370B"/>
    <w:multiLevelType w:val="hybridMultilevel"/>
    <w:lvl w:ilvl="0">
      <w:lvlJc w:val="left"/>
      <w:lvlText w:val="(%1)"/>
      <w:numFmt w:val="lowerRoman"/>
      <w:start w:val="9"/>
    </w:lvl>
  </w:abstractNum>
  <w:abstractNum w:abstractNumId="57">
    <w:nsid w:val="50801EE1"/>
    <w:multiLevelType w:val="hybridMultilevel"/>
    <w:lvl w:ilvl="0">
      <w:lvlJc w:val="left"/>
      <w:lvlText w:val="(%1)"/>
      <w:numFmt w:val="lowerRoman"/>
      <w:start w:val="12"/>
    </w:lvl>
  </w:abstractNum>
  <w:abstractNum w:abstractNumId="58">
    <w:nsid w:val="488AC1A"/>
    <w:multiLevelType w:val="hybridMultilevel"/>
    <w:lvl w:ilvl="0">
      <w:lvlJc w:val="left"/>
      <w:lvlText w:val="(%1)"/>
      <w:numFmt w:val="lowerRoman"/>
      <w:start w:val="17"/>
    </w:lvl>
  </w:abstractNum>
  <w:abstractNum w:abstractNumId="59">
    <w:nsid w:val="5FB8011C"/>
    <w:multiLevelType w:val="hybridMultilevel"/>
    <w:lvl w:ilvl="0">
      <w:lvlJc w:val="left"/>
      <w:lvlText w:val="(%1)"/>
      <w:numFmt w:val="lowerRoman"/>
      <w:start w:val="21"/>
    </w:lvl>
  </w:abstractNum>
  <w:abstractNum w:abstractNumId="60">
    <w:nsid w:val="6AA78F7F"/>
    <w:multiLevelType w:val="hybridMultilevel"/>
    <w:lvl w:ilvl="0">
      <w:lvlJc w:val="left"/>
      <w:lvlText w:val="(%1)"/>
      <w:numFmt w:val="lowerRoman"/>
      <w:start w:val="24"/>
    </w:lvl>
  </w:abstractNum>
  <w:abstractNum w:abstractNumId="61">
    <w:nsid w:val="7672BD23"/>
    <w:multiLevelType w:val="hybridMultilevel"/>
    <w:lvl w:ilvl="0">
      <w:lvlJc w:val="left"/>
      <w:lvlText w:val="(%1)"/>
      <w:numFmt w:val="lowerRoman"/>
      <w:start w:val="27"/>
    </w:lvl>
  </w:abstractNum>
  <w:abstractNum w:abstractNumId="62">
    <w:nsid w:val="6FC75AF8"/>
    <w:multiLevelType w:val="hybridMultilevel"/>
    <w:lvl w:ilvl="0">
      <w:lvlJc w:val="left"/>
      <w:lvlText w:val="(%1)"/>
      <w:numFmt w:val="lowerRoman"/>
      <w:start w:val="31"/>
    </w:lvl>
  </w:abstractNum>
  <w:abstractNum w:abstractNumId="63">
    <w:nsid w:val="6A5F7029"/>
    <w:multiLevelType w:val="hybridMultilevel"/>
    <w:lvl w:ilvl="0">
      <w:lvlJc w:val="left"/>
      <w:lvlText w:val="%1"/>
      <w:numFmt w:val="upperLetter"/>
      <w:start w:val="1"/>
    </w:lvl>
    <w:lvl w:ilvl="1">
      <w:lvlJc w:val="left"/>
      <w:lvlText w:val="(%2)"/>
      <w:numFmt w:val="lowerRoman"/>
      <w:start w:val="37"/>
    </w:lvl>
  </w:abstractNum>
  <w:abstractNum w:abstractNumId="64">
    <w:nsid w:val="7D5E18F8"/>
    <w:multiLevelType w:val="hybridMultilevel"/>
    <w:lvl w:ilvl="0">
      <w:lvlJc w:val="left"/>
      <w:lvlText w:val="(%1)"/>
      <w:numFmt w:val="upperLetter"/>
      <w:start w:val="2"/>
    </w:lvl>
    <w:lvl w:ilvl="1">
      <w:lvlJc w:val="left"/>
      <w:lvlText w:val="(%2)"/>
      <w:numFmt w:val="lowerRoman"/>
      <w:start w:val="38"/>
    </w:lvl>
  </w:abstractNum>
  <w:abstractNum w:abstractNumId="65">
    <w:nsid w:val="5F3534A4"/>
    <w:multiLevelType w:val="hybridMultilevel"/>
    <w:lvl w:ilvl="0">
      <w:lvlJc w:val="left"/>
      <w:lvlText w:val="(%1)"/>
      <w:numFmt w:val="lowerLetter"/>
      <w:start w:val="2"/>
    </w:lvl>
    <w:lvl w:ilvl="1">
      <w:lvlJc w:val="left"/>
      <w:lvlText w:val="(%2)"/>
      <w:numFmt w:val="lowerRoman"/>
      <w:start w:val="1"/>
    </w:lvl>
  </w:abstractNum>
  <w:abstractNum w:abstractNumId="66">
    <w:nsid w:val="73A1821B"/>
    <w:multiLevelType w:val="hybridMultilevel"/>
    <w:lvl w:ilvl="0">
      <w:lvlJc w:val="left"/>
      <w:lvlText w:val="(%1)"/>
      <w:numFmt w:val="lowerRoman"/>
      <w:start w:val="3"/>
    </w:lvl>
  </w:abstractNum>
  <w:abstractNum w:abstractNumId="67">
    <w:nsid w:val="7DE67713"/>
    <w:multiLevelType w:val="hybridMultilevel"/>
    <w:lvl w:ilvl="0">
      <w:lvlJc w:val="left"/>
      <w:lvlText w:val="%1"/>
      <w:numFmt w:val="lowerLetter"/>
      <w:start w:val="1"/>
    </w:lvl>
    <w:lvl w:ilvl="1">
      <w:lvlJc w:val="left"/>
      <w:lvlText w:val="(%2)"/>
      <w:numFmt w:val="lowerRoman"/>
      <w:start w:val="6"/>
    </w:lvl>
  </w:abstractNum>
  <w:abstractNum w:abstractNumId="68">
    <w:nsid w:val="555C55B5"/>
    <w:multiLevelType w:val="hybridMultilevel"/>
    <w:lvl w:ilvl="0">
      <w:lvlJc w:val="left"/>
      <w:lvlText w:val="(%1)"/>
      <w:numFmt w:val="lowerLetter"/>
      <w:start w:val="2"/>
    </w:lvl>
    <w:lvl w:ilvl="1">
      <w:lvlJc w:val="left"/>
      <w:lvlText w:val="(%2)"/>
      <w:numFmt w:val="lowerRoman"/>
      <w:start w:val="7"/>
    </w:lvl>
  </w:abstractNum>
  <w:abstractNum w:abstractNumId="69">
    <w:nsid w:val="3FA62ACA"/>
    <w:multiLevelType w:val="hybridMultilevel"/>
    <w:lvl w:ilvl="0">
      <w:lvlJc w:val="left"/>
      <w:lvlText w:val="(%1)"/>
      <w:numFmt w:val="lowerRoman"/>
      <w:start w:val="10"/>
    </w:lvl>
  </w:abstractNum>
  <w:abstractNum w:abstractNumId="70">
    <w:nsid w:val="14FCE74E"/>
    <w:multiLevelType w:val="hybridMultilevel"/>
    <w:lvl w:ilvl="0">
      <w:lvlJc w:val="left"/>
      <w:lvlText w:val="(%1)"/>
      <w:numFmt w:val="lowerRoman"/>
      <w:start w:val="14"/>
    </w:lvl>
  </w:abstractNum>
  <w:abstractNum w:abstractNumId="71">
    <w:nsid w:val="6A3DD3E8"/>
    <w:multiLevelType w:val="hybridMultilevel"/>
    <w:lvl w:ilvl="0">
      <w:lvlJc w:val="left"/>
      <w:lvlText w:val="%1"/>
      <w:numFmt w:val="lowerLetter"/>
      <w:start w:val="1"/>
    </w:lvl>
    <w:lvl w:ilvl="1">
      <w:lvlJc w:val="left"/>
      <w:lvlText w:val="(%2)"/>
      <w:numFmt w:val="lowerRoman"/>
      <w:start w:val="19"/>
    </w:lvl>
  </w:abstractNum>
  <w:abstractNum w:abstractNumId="72">
    <w:nsid w:val="71C91298"/>
    <w:multiLevelType w:val="hybridMultilevel"/>
    <w:lvl w:ilvl="0">
      <w:lvlJc w:val="left"/>
      <w:lvlText w:val="(%1)"/>
      <w:numFmt w:val="lowerLetter"/>
      <w:start w:val="3"/>
    </w:lvl>
    <w:lvl w:ilvl="1">
      <w:lvlJc w:val="left"/>
      <w:lvlText w:val="%2"/>
      <w:numFmt w:val="lowerRoman"/>
      <w:start w:val="1"/>
    </w:lvl>
  </w:abstractNum>
  <w:abstractNum w:abstractNumId="73">
    <w:nsid w:val="9DAF632"/>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74">
    <w:nsid w:val="53299938"/>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75">
    <w:nsid w:val="1FBFE8E0"/>
    <w:multiLevelType w:val="hybridMultilevel"/>
    <w:lvl w:ilvl="0">
      <w:lvlJc w:val="left"/>
      <w:lvlText w:val="(%1)"/>
      <w:numFmt w:val="lowerRoman"/>
      <w:start w:val="2"/>
    </w:lvl>
  </w:abstractNum>
  <w:abstractNum w:abstractNumId="76">
    <w:nsid w:val="5092CA79"/>
    <w:multiLevelType w:val="hybridMultilevel"/>
    <w:lvl w:ilvl="0">
      <w:lvlJc w:val="left"/>
      <w:lvlText w:val="(%1)"/>
      <w:numFmt w:val="lowerRoman"/>
      <w:start w:val="5"/>
    </w:lvl>
  </w:abstractNum>
  <w:abstractNum w:abstractNumId="77">
    <w:nsid w:val="1D545C4D"/>
    <w:multiLevelType w:val="hybridMultilevel"/>
    <w:lvl w:ilvl="0">
      <w:lvlJc w:val="left"/>
      <w:lvlText w:val="(%1)"/>
      <w:numFmt w:val="lowerLetter"/>
      <w:start w:val="2"/>
    </w:lvl>
  </w:abstractNum>
  <w:abstractNum w:abstractNumId="78">
    <w:nsid w:val="59ADEA3D"/>
    <w:multiLevelType w:val="hybridMultilevel"/>
    <w:lvl w:ilvl="0">
      <w:lvlJc w:val="left"/>
      <w:lvlText w:val="(%1)"/>
      <w:numFmt w:val="lowerLetter"/>
      <w:start w:val="4"/>
    </w:lvl>
  </w:abstractNum>
  <w:abstractNum w:abstractNumId="79">
    <w:nsid w:val="288F1A34"/>
    <w:multiLevelType w:val="hybridMultilevel"/>
    <w:lvl w:ilvl="0">
      <w:lvlJc w:val="left"/>
      <w:lvlText w:val="(%1)"/>
      <w:numFmt w:val="lowerLetter"/>
      <w:start w:val="8"/>
    </w:lvl>
  </w:abstractNum>
  <w:abstractNum w:abstractNumId="80">
    <w:nsid w:val="2A155DBC"/>
    <w:multiLevelType w:val="hybridMultilevel"/>
    <w:lvl w:ilvl="0">
      <w:lvlJc w:val="left"/>
      <w:lvlText w:val="%1"/>
      <w:numFmt w:val="lowerLetter"/>
      <w:start w:val="1"/>
    </w:lvl>
    <w:lvl w:ilvl="1">
      <w:lvlJc w:val="left"/>
      <w:lvlText w:val="(%2)"/>
      <w:numFmt w:val="lowerLetter"/>
      <w:start w:val="1"/>
    </w:lvl>
  </w:abstractNum>
  <w:abstractNum w:abstractNumId="81">
    <w:nsid w:val="1D9F6E5F"/>
    <w:multiLevelType w:val="hybridMultilevel"/>
    <w:lvl w:ilvl="0">
      <w:lvlJc w:val="left"/>
      <w:lvlText w:val="(%1)"/>
      <w:numFmt w:val="lowerLetter"/>
      <w:start w:val="9"/>
    </w:lvl>
    <w:lvl w:ilvl="1">
      <w:lvlJc w:val="left"/>
      <w:lvlText w:val="%2"/>
      <w:numFmt w:val="lowerLetter"/>
      <w:start w:val="1"/>
    </w:lvl>
  </w:abstractNum>
  <w:abstractNum w:abstractNumId="82">
    <w:nsid w:val="97E1B4E"/>
    <w:multiLevelType w:val="hybridMultilevel"/>
    <w:lvl w:ilvl="0">
      <w:lvlJc w:val="left"/>
      <w:lvlText w:val="(%1)"/>
      <w:numFmt w:val="lowerLetter"/>
      <w:start w:val="22"/>
    </w:lvl>
    <w:lvl w:ilvl="1">
      <w:lvlJc w:val="left"/>
      <w:lvlText w:val="%2"/>
      <w:numFmt w:val="lowerLetter"/>
      <w:start w:val="1"/>
    </w:lvl>
  </w:abstractNum>
  <w:abstractNum w:abstractNumId="83">
    <w:nsid w:val="51088277"/>
    <w:multiLevelType w:val="hybridMultilevel"/>
    <w:lvl w:ilvl="0">
      <w:lvlJc w:val="left"/>
      <w:lvlText w:val="(%1)"/>
      <w:numFmt w:val="lowerLetter"/>
      <w:start w:val="2"/>
    </w:lvl>
  </w:abstractNum>
  <w:abstractNum w:abstractNumId="84">
    <w:nsid w:val="1CA0C5FA"/>
    <w:multiLevelType w:val="hybridMultilevel"/>
    <w:lvl w:ilvl="0">
      <w:lvlJc w:val="left"/>
      <w:lvlText w:val="(%1)"/>
      <w:numFmt w:val="lowerLetter"/>
      <w:start w:val="5"/>
    </w:lvl>
  </w:abstractNum>
  <w:abstractNum w:abstractNumId="85">
    <w:nsid w:val="53584BCB"/>
    <w:multiLevelType w:val="hybridMultilevel"/>
    <w:lvl w:ilvl="0">
      <w:lvlJc w:val="left"/>
      <w:lvlText w:val="%1"/>
      <w:numFmt w:val="upperLetter"/>
      <w:start w:val="1"/>
    </w:lvl>
    <w:lvl w:ilvl="1">
      <w:lvlJc w:val="left"/>
      <w:lvlText w:val="(%2)"/>
      <w:numFmt w:val="lowerLetter"/>
      <w:start w:val="11"/>
    </w:lvl>
  </w:abstractNum>
  <w:abstractNum w:abstractNumId="86">
    <w:nsid w:val="415E286C"/>
    <w:multiLevelType w:val="hybridMultilevel"/>
    <w:lvl w:ilvl="0">
      <w:lvlJc w:val="left"/>
      <w:lvlText w:val="(%1)"/>
      <w:numFmt w:val="upperLetter"/>
      <w:start w:val="2"/>
    </w:lvl>
    <w:lvl w:ilvl="1">
      <w:lvlJc w:val="left"/>
      <w:lvlText w:val="%2"/>
      <w:numFmt w:val="lowerLetter"/>
      <w:start w:val="1"/>
    </w:lvl>
  </w:abstractNum>
  <w:abstractNum w:abstractNumId="87">
    <w:nsid w:val="7C58FD05"/>
    <w:multiLevelType w:val="hybridMultilevel"/>
    <w:lvl w:ilvl="0">
      <w:lvlJc w:val="left"/>
      <w:lvlText w:val="(%1)"/>
      <w:numFmt w:val="upperLetter"/>
      <w:start w:val="5"/>
    </w:lvl>
    <w:lvl w:ilvl="1">
      <w:lvlJc w:val="left"/>
      <w:lvlText w:val="(%2)"/>
      <w:numFmt w:val="lowerLetter"/>
      <w:start w:val="16"/>
    </w:lvl>
  </w:abstractNum>
  <w:abstractNum w:abstractNumId="88">
    <w:nsid w:val="23D86AAC"/>
    <w:multiLevelType w:val="hybridMultilevel"/>
    <w:lvl w:ilvl="0">
      <w:lvlJc w:val="left"/>
      <w:lvlText w:val="(%1)"/>
      <w:numFmt w:val="lowerLetter"/>
      <w:start w:val="17"/>
    </w:lvl>
  </w:abstractNum>
  <w:abstractNum w:abstractNumId="89">
    <w:nsid w:val="45E6D486"/>
    <w:multiLevelType w:val="hybridMultilevel"/>
    <w:lvl w:ilvl="0">
      <w:lvlJc w:val="left"/>
      <w:lvlText w:val="(%1)"/>
      <w:numFmt w:val="lowerRoman"/>
      <w:start w:val="3"/>
    </w:lvl>
  </w:abstractNum>
  <w:abstractNum w:abstractNumId="90">
    <w:nsid w:val="5C10FE21"/>
    <w:multiLevelType w:val="hybridMultilevel"/>
    <w:lvl w:ilvl="0">
      <w:lvlJc w:val="left"/>
      <w:lvlText w:val="(%1)"/>
      <w:numFmt w:val="lowerLetter"/>
      <w:start w:val="1"/>
    </w:lvl>
  </w:abstractNum>
  <w:abstractNum w:abstractNumId="91">
    <w:nsid w:val="E7FFA2B"/>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92">
    <w:nsid w:val="3C5991AA"/>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93">
    <w:nsid w:val="4BD8591A"/>
    <w:multiLevelType w:val="hybridMultilevel"/>
    <w:lvl w:ilvl="0">
      <w:lvlJc w:val="left"/>
      <w:lvlText w:val="(%1)"/>
      <w:numFmt w:val="lowerLetter"/>
      <w:start w:val="6"/>
    </w:lvl>
  </w:abstractNum>
  <w:abstractNum w:abstractNumId="94">
    <w:nsid w:val="78DF6A55"/>
    <w:multiLevelType w:val="hybridMultilevel"/>
    <w:lvl w:ilvl="0">
      <w:lvlJc w:val="left"/>
      <w:lvlText w:val="(%1)"/>
      <w:numFmt w:val="lowerLetter"/>
      <w:start w:val="1"/>
    </w:lvl>
    <w:lvl w:ilvl="1">
      <w:lvlJc w:val="left"/>
      <w:lvlText w:val="(%2)"/>
      <w:numFmt w:val="lowerRoman"/>
      <w:start w:val="1"/>
    </w:lvl>
  </w:abstractNum>
  <w:abstractNum w:abstractNumId="95">
    <w:nsid w:val="39B7AAA2"/>
    <w:multiLevelType w:val="hybridMultilevel"/>
    <w:lvl w:ilvl="0">
      <w:lvlJc w:val="left"/>
      <w:lvlText w:val="(%1)"/>
      <w:numFmt w:val="lowerLetter"/>
      <w:start w:val="2"/>
    </w:lvl>
  </w:abstractNum>
  <w:abstractNum w:abstractNumId="96">
    <w:nsid w:val="2B0D8DBE"/>
    <w:multiLevelType w:val="hybridMultilevel"/>
    <w:lvl w:ilvl="0">
      <w:lvlJc w:val="left"/>
      <w:lvlText w:val="(%1)"/>
      <w:numFmt w:val="lowerLetter"/>
      <w:start w:val="4"/>
    </w:lvl>
  </w:abstractNum>
  <w:abstractNum w:abstractNumId="97">
    <w:nsid w:val="6C80EC70"/>
    <w:multiLevelType w:val="hybridMultilevel"/>
    <w:lvl w:ilvl="0">
      <w:lvlJc w:val="left"/>
      <w:lvlText w:val="(%1)"/>
      <w:numFmt w:val="lowerLetter"/>
      <w:start w:val="1"/>
    </w:lvl>
  </w:abstractNum>
  <w:abstractNum w:abstractNumId="98">
    <w:nsid w:val="379E21B5"/>
    <w:multiLevelType w:val="hybridMultilevel"/>
    <w:lvl w:ilvl="0">
      <w:lvlJc w:val="left"/>
      <w:lvlText w:val="(%1)"/>
      <w:numFmt w:val="lowerRoman"/>
      <w:start w:val="4"/>
    </w:lvl>
    <w:lvl w:ilvl="1">
      <w:lvlJc w:val="left"/>
      <w:lvlText w:val="(%2)"/>
      <w:numFmt w:val="lowerLetter"/>
      <w:start w:val="3"/>
    </w:lvl>
  </w:abstractNum>
  <w:abstractNum w:abstractNumId="99">
    <w:nsid w:val="69E373"/>
    <w:multiLevelType w:val="hybridMultilevel"/>
    <w:lvl w:ilvl="0">
      <w:lvlJc w:val="left"/>
      <w:lvlText w:val="(%1)"/>
      <w:numFmt w:val="lowerLetter"/>
      <w:start w:val="5"/>
    </w:lvl>
  </w:abstractNum>
  <w:abstractNum w:abstractNumId="100">
    <w:nsid w:val="2C27173B"/>
    <w:multiLevelType w:val="hybridMultilevel"/>
    <w:lvl w:ilvl="0">
      <w:lvlJc w:val="left"/>
      <w:lvlText w:val="(%1)"/>
      <w:numFmt w:val="lowerLetter"/>
      <w:start w:val="1"/>
    </w:lvl>
  </w:abstractNum>
  <w:abstractNum w:abstractNumId="101">
    <w:nsid w:val="4C9B0904"/>
    <w:multiLevelType w:val="hybridMultilevel"/>
    <w:lvl w:ilvl="0">
      <w:lvlJc w:val="left"/>
      <w:lvlText w:val="%1"/>
      <w:numFmt w:val="lowerLetter"/>
      <w:start w:val="1"/>
    </w:lvl>
    <w:lvl w:ilvl="1">
      <w:lvlJc w:val="left"/>
      <w:lvlText w:val="(%2)"/>
      <w:numFmt w:val="lowerLetter"/>
      <w:start w:val="3"/>
    </w:lvl>
  </w:abstractNum>
  <w:abstractNum w:abstractNumId="102">
    <w:nsid w:val="6AA7B75C"/>
    <w:multiLevelType w:val="hybridMultilevel"/>
    <w:lvl w:ilvl="0">
      <w:lvlJc w:val="left"/>
      <w:lvlText w:val="(%1)"/>
      <w:numFmt w:val="lowerLetter"/>
      <w:start w:val="9"/>
    </w:lvl>
    <w:lvl w:ilvl="1">
      <w:lvlJc w:val="left"/>
      <w:lvlText w:val="%2"/>
      <w:numFmt w:val="lowerLetter"/>
      <w:start w:val="1"/>
    </w:lvl>
  </w:abstractNum>
  <w:abstractNum w:abstractNumId="103">
    <w:nsid w:val="1DF029D3"/>
    <w:multiLevelType w:val="hybridMultilevel"/>
    <w:lvl w:ilvl="0">
      <w:lvlJc w:val="left"/>
      <w:lvlText w:val="%1."/>
      <w:numFmt w:val="decimal"/>
      <w:start w:val="1"/>
    </w:lvl>
  </w:abstractNum>
  <w:abstractNum w:abstractNumId="104">
    <w:nsid w:val="5675FF36"/>
    <w:multiLevelType w:val="hybridMultilevel"/>
    <w:lvl w:ilvl="0">
      <w:lvlJc w:val="left"/>
      <w:lvlText w:val="%1"/>
      <w:numFmt w:val="lowerLetter"/>
      <w:start w:val="1"/>
    </w:lvl>
    <w:lvl w:ilvl="1">
      <w:lvlJc w:val="left"/>
      <w:lvlText w:val="%2."/>
      <w:numFmt w:val="decimal"/>
      <w:start w:val="6"/>
    </w:lvl>
  </w:abstractNum>
  <w:abstractNum w:abstractNumId="105">
    <w:nsid w:val="3DD15094"/>
    <w:multiLevelType w:val="hybridMultilevel"/>
    <w:lvl w:ilvl="0">
      <w:lvlJc w:val="left"/>
      <w:lvlText w:val="(%1)"/>
      <w:numFmt w:val="lowerLetter"/>
      <w:start w:val="3"/>
    </w:lvl>
    <w:lvl w:ilvl="1">
      <w:lvlJc w:val="left"/>
      <w:lvlText w:val="%2."/>
      <w:numFmt w:val="decimal"/>
      <w:start w:val="7"/>
    </w:lvl>
  </w:abstractNum>
  <w:abstractNum w:abstractNumId="106">
    <w:nsid w:val="3DB012B3"/>
    <w:multiLevelType w:val="hybridMultilevel"/>
    <w:lvl w:ilvl="0">
      <w:lvlJc w:val="left"/>
      <w:lvlText w:val="%1."/>
      <w:numFmt w:val="decimal"/>
      <w:start w:val="2"/>
    </w:lvl>
  </w:abstractNum>
  <w:abstractNum w:abstractNumId="107">
    <w:nsid w:val="2708C9AF"/>
    <w:multiLevelType w:val="hybridMultilevel"/>
    <w:lvl w:ilvl="0">
      <w:lvlJc w:val="left"/>
      <w:lvlText w:val="%1."/>
      <w:numFmt w:val="decimal"/>
      <w:start w:val="4"/>
    </w:lvl>
  </w:abstractNum>
  <w:abstractNum w:abstractNumId="108">
    <w:nsid w:val="5B25ACE2"/>
    <w:multiLevelType w:val="hybridMultilevel"/>
    <w:lvl w:ilvl="0">
      <w:lvlJc w:val="left"/>
      <w:lvlText w:val="%1."/>
      <w:numFmt w:val="decimal"/>
      <w:start w:val="1"/>
    </w:lvl>
  </w:abstractNum>
  <w:abstractNum w:abstractNumId="109">
    <w:nsid w:val="175DFCF0"/>
    <w:multiLevelType w:val="hybridMultilevel"/>
    <w:lvl w:ilvl="0">
      <w:lvlJc w:val="left"/>
      <w:lvlText w:val="(%1)"/>
      <w:numFmt w:val="upperLetter"/>
      <w:start w:val="1"/>
    </w:lvl>
  </w:abstractNum>
  <w:abstractNum w:abstractNumId="110">
    <w:nsid w:val="4F97E3E4"/>
    <w:multiLevelType w:val="hybridMultilevel"/>
    <w:lvl w:ilvl="0">
      <w:lvlJc w:val="left"/>
      <w:lvlText w:val="(%1)"/>
      <w:numFmt w:val="upperLetter"/>
      <w:start w:val="3"/>
    </w:lvl>
  </w:abstractNum>
  <w:abstractNum w:abstractNumId="111">
    <w:nsid w:val="53B0A9E"/>
    <w:multiLevelType w:val="hybridMultilevel"/>
    <w:lvl w:ilvl="0">
      <w:lvlJc w:val="left"/>
      <w:lvlText w:val="(%1)"/>
      <w:numFmt w:val="upperLetter"/>
      <w:start w:val="8"/>
    </w:lvl>
  </w:abstractNum>
  <w:abstractNum w:abstractNumId="112">
    <w:nsid w:val="34FD6B4F"/>
    <w:multiLevelType w:val="hybridMultilevel"/>
    <w:lvl w:ilvl="0">
      <w:lvlJc w:val="left"/>
      <w:lvlText w:val="(%1)"/>
      <w:numFmt w:val="lowerRoman"/>
      <w:start w:val="1"/>
    </w:lvl>
  </w:abstractNum>
  <w:abstractNum w:abstractNumId="113">
    <w:nsid w:val="5915FF32"/>
    <w:multiLevelType w:val="hybridMultilevel"/>
    <w:lvl w:ilvl="0">
      <w:lvlJc w:val="left"/>
      <w:lvlText w:val="(%1)"/>
      <w:numFmt w:val="lowerRoman"/>
      <w:start w:val="2"/>
    </w:lvl>
  </w:abstractNum>
  <w:abstractNum w:abstractNumId="114">
    <w:nsid w:val="56438D15"/>
    <w:multiLevelType w:val="hybridMultilevel"/>
    <w:lvl w:ilvl="0">
      <w:lvlJc w:val="left"/>
      <w:lvlText w:val="(%1)"/>
      <w:numFmt w:val="upperLetter"/>
      <w:start w:val="1"/>
    </w:lvl>
  </w:abstractNum>
  <w:abstractNum w:abstractNumId="115">
    <w:nsid w:val="519E3149"/>
    <w:multiLevelType w:val="hybridMultilevel"/>
    <w:lvl w:ilvl="0">
      <w:lvlJc w:val="left"/>
      <w:lvlText w:val="(%1)"/>
      <w:numFmt w:val="upperLetter"/>
      <w:start w:val="2"/>
    </w:lvl>
  </w:abstractNum>
  <w:abstractNum w:abstractNumId="116">
    <w:nsid w:val="2C6E4AFD"/>
    <w:multiLevelType w:val="hybridMultilevel"/>
    <w:lvl w:ilvl="0">
      <w:lvlJc w:val="left"/>
      <w:lvlText w:val="(%1)"/>
      <w:numFmt w:val="upperLetter"/>
      <w:start w:val="1"/>
    </w:lvl>
  </w:abstractNum>
  <w:abstractNum w:abstractNumId="117">
    <w:nsid w:val="17A1B582"/>
    <w:multiLevelType w:val="hybridMultilevel"/>
    <w:lvl w:ilvl="0">
      <w:lvlJc w:val="left"/>
      <w:lvlText w:val="(%1)"/>
      <w:numFmt w:val="upperLetter"/>
      <w:start w:val="2"/>
    </w:lvl>
  </w:abstractNum>
  <w:abstractNum w:abstractNumId="118">
    <w:nsid w:val="4DF72E4E"/>
    <w:multiLevelType w:val="hybridMultilevel"/>
    <w:lvl w:ilvl="0">
      <w:lvlJc w:val="left"/>
      <w:lvlText w:val="(%1)"/>
      <w:numFmt w:val="decimal"/>
      <w:start w:val="1"/>
    </w:lvl>
  </w:abstractNum>
  <w:abstractNum w:abstractNumId="119">
    <w:nsid w:val="5046B5A9"/>
    <w:multiLevelType w:val="hybridMultilevel"/>
    <w:lvl w:ilvl="0">
      <w:lvlJc w:val="left"/>
      <w:lvlText w:val="%1"/>
      <w:numFmt w:val="upperLetter"/>
      <w:start w:val="1"/>
    </w:lvl>
    <w:lvl w:ilvl="1">
      <w:lvlJc w:val="left"/>
      <w:lvlText w:val="(%2)"/>
      <w:numFmt w:val="decimal"/>
      <w:start w:val="3"/>
    </w:lvl>
  </w:abstractNum>
  <w:abstractNum w:abstractNumId="120">
    <w:nsid w:val="5D888A08"/>
    <w:multiLevelType w:val="hybridMultilevel"/>
    <w:lvl w:ilvl="0">
      <w:lvlJc w:val="left"/>
      <w:lvlText w:val="(%1)"/>
      <w:numFmt w:val="upperLetter"/>
      <w:start w:val="3"/>
    </w:lvl>
    <w:lvl w:ilvl="1">
      <w:lvlJc w:val="left"/>
      <w:lvlText w:val="%2"/>
      <w:numFmt w:val="decimal"/>
      <w:start w:val="1"/>
    </w:lvl>
  </w:abstractNum>
  <w:abstractNum w:abstractNumId="121">
    <w:nsid w:val="2A082C70"/>
    <w:multiLevelType w:val="hybridMultilevel"/>
    <w:lvl w:ilvl="0">
      <w:lvlJc w:val="left"/>
      <w:lvlText w:val="(%1)"/>
      <w:numFmt w:val="upperLetter"/>
      <w:start w:val="4"/>
    </w:lvl>
  </w:abstractNum>
  <w:abstractNum w:abstractNumId="122">
    <w:nsid w:val="5EC6AFD4"/>
    <w:multiLevelType w:val="hybridMultilevel"/>
    <w:lvl w:ilvl="0">
      <w:lvlJc w:val="left"/>
      <w:lvlText w:val="(%1)"/>
      <w:numFmt w:val="upperLetter"/>
      <w:start w:val="5"/>
    </w:lvl>
    <w:lvl w:ilvl="1">
      <w:lvlJc w:val="left"/>
      <w:lvlText w:val="(%2)"/>
      <w:numFmt w:val="decimal"/>
      <w:start w:val="1"/>
    </w:lvl>
  </w:abstractNum>
  <w:abstractNum w:abstractNumId="123">
    <w:nsid w:val="19E21BB2"/>
    <w:multiLevelType w:val="hybridMultilevel"/>
    <w:lvl w:ilvl="0">
      <w:lvlJc w:val="left"/>
      <w:lvlText w:val="(%1)"/>
      <w:numFmt w:val="upperLetter"/>
      <w:start w:val="7"/>
    </w:lvl>
  </w:abstractNum>
  <w:abstractNum w:abstractNumId="124">
    <w:nsid w:val="75E0858A"/>
    <w:multiLevelType w:val="hybridMultilevel"/>
    <w:lvl w:ilvl="0">
      <w:lvlJc w:val="left"/>
      <w:lvlText w:val="(%1)"/>
      <w:numFmt w:val="upperLetter"/>
      <w:start w:val="8"/>
    </w:lvl>
  </w:abstractNum>
  <w:abstractNum w:abstractNumId="125">
    <w:nsid w:val="57A61A29"/>
    <w:multiLevelType w:val="hybridMultilevel"/>
    <w:lvl w:ilvl="0">
      <w:lvlJc w:val="left"/>
      <w:lvlText w:val="(%1)"/>
      <w:numFmt w:val="upperLetter"/>
      <w:start w:val="1"/>
    </w:lvl>
  </w:abstractNum>
  <w:abstractNum w:abstractNumId="126">
    <w:nsid w:val="5399C654"/>
    <w:multiLevelType w:val="hybridMultilevel"/>
    <w:lvl w:ilvl="0">
      <w:lvlJc w:val="left"/>
      <w:lvlText w:val="(%1)"/>
      <w:numFmt w:val="upperLetter"/>
      <w:start w:val="2"/>
    </w:lvl>
  </w:abstractNum>
  <w:abstractNum w:abstractNumId="127">
    <w:nsid w:val="20EE1348"/>
    <w:multiLevelType w:val="hybridMultilevel"/>
    <w:lvl w:ilvl="0">
      <w:lvlJc w:val="left"/>
      <w:lvlText w:val="(%1)"/>
      <w:numFmt w:val="upperLetter"/>
      <w:start w:val="3"/>
    </w:lvl>
  </w:abstractNum>
  <w:abstractNum w:abstractNumId="128">
    <w:nsid w:val="4427069A"/>
    <w:multiLevelType w:val="hybridMultilevel"/>
    <w:lvl w:ilvl="0">
      <w:lvlJc w:val="left"/>
      <w:lvlText w:val="(%1)"/>
      <w:numFmt w:val="upperLetter"/>
      <w:start w:val="1"/>
    </w:lvl>
    <w:lvl w:ilvl="1">
      <w:lvlJc w:val="left"/>
      <w:lvlText w:val="(%2)"/>
      <w:numFmt w:val="decimal"/>
      <w:start w:val="1"/>
    </w:lvl>
  </w:abstractNum>
  <w:abstractNum w:abstractNumId="129">
    <w:nsid w:val="B37E80A"/>
    <w:multiLevelType w:val="hybridMultilevel"/>
    <w:lvl w:ilvl="0">
      <w:lvlJc w:val="left"/>
      <w:lvlText w:val="(%1)"/>
      <w:numFmt w:val="upperLetter"/>
      <w:start w:val="5"/>
    </w:lvl>
  </w:abstractNum>
  <w:abstractNum w:abstractNumId="130">
    <w:nsid w:val="2157F6BC"/>
    <w:multiLevelType w:val="hybridMultilevel"/>
    <w:lvl w:ilvl="0">
      <w:lvlJc w:val="left"/>
      <w:lvlText w:val="(%1)"/>
      <w:numFmt w:val="upperLetter"/>
      <w:start w:val="6"/>
    </w:lvl>
  </w:abstractNum>
  <w:abstractNum w:abstractNumId="131">
    <w:nsid w:val="704E1DD5"/>
    <w:multiLevelType w:val="hybridMultilevel"/>
    <w:lvl w:ilvl="0">
      <w:lvlJc w:val="left"/>
      <w:lvlText w:val="(%1)"/>
      <w:numFmt w:val="upperLetter"/>
      <w:start w:val="1"/>
    </w:lvl>
  </w:abstractNum>
  <w:abstractNum w:abstractNumId="132">
    <w:nsid w:val="57D2F10E"/>
    <w:multiLevelType w:val="hybridMultilevel"/>
    <w:lvl w:ilvl="0">
      <w:lvlJc w:val="left"/>
      <w:lvlText w:val="(%1)"/>
      <w:numFmt w:val="upperLetter"/>
      <w:start w:val="2"/>
    </w:lvl>
  </w:abstractNum>
  <w:abstractNum w:abstractNumId="133">
    <w:nsid w:val="BFFAE18"/>
    <w:multiLevelType w:val="hybridMultilevel"/>
    <w:lvl w:ilvl="0">
      <w:lvlJc w:val="left"/>
      <w:lvlText w:val="(%1)"/>
      <w:numFmt w:val="upperLetter"/>
      <w:start w:val="1"/>
    </w:lvl>
    <w:lvl w:ilvl="1">
      <w:lvlJc w:val="left"/>
      <w:lvlText w:val="(%2)"/>
      <w:numFmt w:val="decimal"/>
      <w:start w:val="1"/>
    </w:lvl>
  </w:abstractNum>
  <w:abstractNum w:abstractNumId="134">
    <w:nsid w:val="E3E47A8"/>
    <w:multiLevelType w:val="hybridMultilevel"/>
    <w:lvl w:ilvl="0">
      <w:lvlJc w:val="left"/>
      <w:lvlText w:val="%1"/>
      <w:numFmt w:val="upperLetter"/>
      <w:start w:val="1"/>
    </w:lvl>
    <w:lvl w:ilvl="1">
      <w:lvlJc w:val="left"/>
      <w:lvlText w:val="(%2)"/>
      <w:numFmt w:val="decimal"/>
      <w:start w:val="4"/>
    </w:lvl>
  </w:abstractNum>
  <w:abstractNum w:abstractNumId="135">
    <w:nsid w:val="2E48F044"/>
    <w:multiLevelType w:val="hybridMultilevel"/>
    <w:lvl w:ilvl="0">
      <w:lvlJc w:val="left"/>
      <w:lvlText w:val="(%1)"/>
      <w:numFmt w:val="upperLetter"/>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2021-08-20T16:13:44Z</dcterms:created>
  <dcterms:modified xsi:type="dcterms:W3CDTF">2021-08-20T16:13:44Z</dcterms:modified>
</cp:coreProperties>
</file>