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07,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jc w:val="both"/>
        <w:ind w:left="40" w:right="200"/>
        <w:spacing w:after="0"/>
        <w:rPr>
          <w:sz w:val="20"/>
          <w:szCs w:val="20"/>
          <w:color w:val="auto"/>
        </w:rPr>
      </w:pPr>
      <w:r>
        <w:rPr>
          <w:rFonts w:ascii="Arial" w:cs="Arial" w:eastAsia="Arial" w:hAnsi="Arial"/>
          <w:sz w:val="22"/>
          <w:szCs w:val="22"/>
          <w:color w:val="auto"/>
        </w:rPr>
        <w:t>On February 7, 2013, PennantPark Floating Rate Capital Ltd. issued a press release announcing its financial results for its first fiscal quarter ended December 31, 2012. A copy of the press release is furnished as Exhibit 99.1 to this report pursuant to Item 2.02 on Form 8-K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February 07, 2013</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07, 2013</w:t>
            </w:r>
          </w:p>
        </w:tc>
        <w:tc>
          <w:tcPr>
            <w:tcW w:w="6700" w:type="dxa"/>
            <w:vAlign w:val="bottom"/>
            <w:gridSpan w:val="3"/>
          </w:tcPr>
          <w:p>
            <w:pPr>
              <w:ind w:left="17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20" w:type="dxa"/>
            <w:vAlign w:val="bottom"/>
          </w:tcPr>
          <w:p>
            <w:pPr>
              <w:spacing w:after="0"/>
              <w:rPr>
                <w:sz w:val="24"/>
                <w:szCs w:val="24"/>
                <w:color w:val="auto"/>
              </w:rPr>
            </w:pPr>
          </w:p>
        </w:tc>
        <w:tc>
          <w:tcPr>
            <w:tcW w:w="670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70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70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February 07, 2013</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Floating Rate Capital Ltd. Announces Financial Results for the Quarter Ended December 31, 2012</w:t>
      </w:r>
    </w:p>
    <w:p>
      <w:pPr>
        <w:spacing w:after="0" w:line="224"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NEW YORK, NY -- (Marketwire - February 07, 2013) - PennantPark Floating Rate Capital Ltd. (NASDAQ: PFLT) announced today financial results for its first fiscal quarter ended December 31, 2012.</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December 31, 2012</w:t>
      </w:r>
    </w:p>
    <w:p>
      <w:pPr>
        <w:spacing w:after="0" w:line="238" w:lineRule="auto"/>
        <w:rPr>
          <w:sz w:val="20"/>
          <w:szCs w:val="20"/>
          <w:color w:val="auto"/>
        </w:rPr>
      </w:pPr>
      <w:r>
        <w:rPr>
          <w:rFonts w:ascii="Courier New" w:cs="Courier New" w:eastAsia="Courier New" w:hAnsi="Courier New"/>
          <w:sz w:val="18"/>
          <w:szCs w:val="18"/>
          <w:color w:val="auto"/>
        </w:rPr>
        <w:t>($in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180.8</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Net assets</w:t>
            </w:r>
          </w:p>
        </w:tc>
        <w:tc>
          <w:tcPr>
            <w:tcW w:w="4100" w:type="dxa"/>
            <w:vAlign w:val="bottom"/>
          </w:tcPr>
          <w:p>
            <w:pPr>
              <w:spacing w:after="0"/>
              <w:rPr>
                <w:sz w:val="17"/>
                <w:szCs w:val="17"/>
                <w:color w:val="auto"/>
              </w:rPr>
            </w:pP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95.8</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per share</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13.99</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Credit Facility Drawn (cost $85.8)</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85.8</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8.9%</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Operating Results: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0.2475</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investments</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38.9</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investments</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30.3</w:t>
            </w:r>
          </w:p>
        </w:tc>
      </w:tr>
      <w:tr>
        <w:trPr>
          <w:trHeight w:val="405"/>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new portfolio companies invested</w:t>
            </w:r>
          </w:p>
        </w:tc>
        <w:tc>
          <w:tcPr>
            <w:tcW w:w="5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portfolio companies invested</w:t>
            </w:r>
          </w:p>
        </w:tc>
        <w:tc>
          <w:tcPr>
            <w:tcW w:w="5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portfolio companies at quarter-end</w:t>
            </w:r>
          </w:p>
        </w:tc>
        <w:tc>
          <w:tcPr>
            <w:tcW w:w="5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8, 2013</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February 8, 2013 to discuss its financial results. All interested parties are welcome to participate. You can access the conference call by dialing (888) 417-8516 approximately 5-10 minutes prior to the call. International callers should dial (719)</w:t>
      </w:r>
    </w:p>
    <w:p>
      <w:pPr>
        <w:spacing w:after="0" w:line="1" w:lineRule="exact"/>
        <w:rPr>
          <w:sz w:val="20"/>
          <w:szCs w:val="20"/>
          <w:color w:val="auto"/>
        </w:rPr>
      </w:pPr>
    </w:p>
    <w:p>
      <w:pPr>
        <w:jc w:val="both"/>
        <w:ind w:right="340"/>
        <w:spacing w:after="0" w:line="234" w:lineRule="auto"/>
        <w:rPr>
          <w:sz w:val="20"/>
          <w:szCs w:val="20"/>
          <w:color w:val="auto"/>
        </w:rPr>
      </w:pPr>
      <w:r>
        <w:rPr>
          <w:rFonts w:ascii="Arial" w:cs="Arial" w:eastAsia="Arial" w:hAnsi="Arial"/>
          <w:sz w:val="22"/>
          <w:szCs w:val="22"/>
          <w:color w:val="auto"/>
        </w:rPr>
        <w:t>325-2464. All callers should reference PennantPark Floating Rate Capital Ltd. An archived replay of the call will be available through February 22, 2013 by calling (888) 203-1112. International callers please dial (719) 457-0820. For all phone replays, please reference conference ID #4475931.</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160"/>
        <w:spacing w:after="0" w:line="270" w:lineRule="auto"/>
        <w:rPr>
          <w:sz w:val="20"/>
          <w:szCs w:val="20"/>
          <w:color w:val="auto"/>
        </w:rPr>
      </w:pPr>
      <w:r>
        <w:rPr>
          <w:rFonts w:ascii="Arial" w:cs="Arial" w:eastAsia="Arial" w:hAnsi="Arial"/>
          <w:sz w:val="19"/>
          <w:szCs w:val="19"/>
          <w:color w:val="auto"/>
        </w:rPr>
        <w:t>As of December 31, 2012, our portfolio totaled $180.8 million and consisted of $157.2 million of senior secured loans, $10.5 million of second lien secured debt and $13.1 million of subordinated debt, preferred and common equity investments. Our debt portfolio consisted of 87% floating rate investments (including 81% with a London Interbank Offered Rate, or LIBOR, or prime floor) and 13% fixed-rate investments. Overall, the portfolio had unrealized depreciation of $0.1 million. Our overall portfolio consisted of 64 companies with an average investment size of $2.8 million, a weighted average yield on debt investments of</w:t>
      </w:r>
    </w:p>
    <w:p>
      <w:pPr>
        <w:spacing w:after="0" w:line="4"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8.9%, and was invested 87% in senior secured loans, 6% in second lien secured debt and 7% in subordinated debt, preferred and common equity investments.</w:t>
      </w:r>
    </w:p>
    <w:p>
      <w:pPr>
        <w:spacing w:after="0" w:line="187" w:lineRule="exact"/>
        <w:rPr>
          <w:sz w:val="20"/>
          <w:szCs w:val="20"/>
          <w:color w:val="auto"/>
        </w:rPr>
      </w:pPr>
    </w:p>
    <w:p>
      <w:pPr>
        <w:ind w:right="220"/>
        <w:spacing w:after="0" w:line="234" w:lineRule="auto"/>
        <w:rPr>
          <w:sz w:val="20"/>
          <w:szCs w:val="20"/>
          <w:color w:val="auto"/>
        </w:rPr>
      </w:pPr>
      <w:r>
        <w:rPr>
          <w:rFonts w:ascii="Arial" w:cs="Arial" w:eastAsia="Arial" w:hAnsi="Arial"/>
          <w:sz w:val="22"/>
          <w:szCs w:val="22"/>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floating rate investments (including 81% with a LIBOR, or prime floor) and 15% fixed-rate investments. Overall, the portfolio had unrealized appreciation of $0.3 million. Our overall portfolio consisted of 61 companies with an average investment size of $2.8 million, had a weighted average yield on debt investments of 8.6%, and was invested 87% in senior secured loans, 7% in second lien secured debt and 6% in subordinated debt, preferred and common equity investments.</w:t>
      </w:r>
    </w:p>
    <w:p>
      <w:pPr>
        <w:spacing w:after="0" w:line="191"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For the three months ended December 31, 2012, we invested $38.9 million in 12 new portfolio companies and two existing portfolio companies with a weighted average yield on debt investments of 9.6%. Sales and repayments of investments for the three months ended December 31, 2012 totaled $30.3 million.</w:t>
      </w:r>
    </w:p>
    <w:p>
      <w:pPr>
        <w:spacing w:after="0" w:line="186"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For the three months ended December 31, 2011, we invested $39.3 million in 13 new portfolio companies and two existing portfolio companies with a weighted average yield on debt investments of 9.4%. Sales and repayments of investments for the three months ended December 31, 2011 totaled $22.3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2012 and 2011.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ectPr>
          <w:pgSz w:w="11900" w:h="16838" w:orient="portrait"/>
          <w:cols w:equalWidth="0" w:num="1">
            <w:col w:w="11240"/>
          </w:cols>
          <w:pgMar w:left="320" w:top="111" w:right="339" w:bottom="32" w:gutter="0" w:footer="0" w:header="0"/>
        </w:sectPr>
      </w:pPr>
    </w:p>
    <w:bookmarkStart w:id="3" w:name="page4"/>
    <w:bookmarkEnd w:id="3"/>
    <w:p>
      <w:pPr>
        <w:ind w:right="200"/>
        <w:spacing w:after="0" w:line="279" w:lineRule="auto"/>
        <w:rPr>
          <w:sz w:val="20"/>
          <w:szCs w:val="20"/>
          <w:color w:val="auto"/>
        </w:rPr>
      </w:pPr>
      <w:r>
        <w:rPr>
          <w:rFonts w:ascii="Arial" w:cs="Arial" w:eastAsia="Arial" w:hAnsi="Arial"/>
          <w:sz w:val="19"/>
          <w:szCs w:val="19"/>
          <w:color w:val="auto"/>
        </w:rPr>
        <w:t>Investment income for the three months ended December 31, 2012 was $4.0 million and was attributable to $3.3 million from senior secured loans, $0.3 million from second lien secured debt investments and $0.4 million from subordinated debt investments. This compares to investment income for the three months ended December 31, 2011, which was $2.5 million, and was attributable to $2.0 million from senior secured loan investments, $0.3 million from second lien secured debt investments and $0.2 million from subordinated debt investments. The increase in investment income is due to a larger portfolio which was funded through both our senior secured revolving credit facility, or the Credit Facility, and rotation out of lower yielding assets.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Expenses for the three months ended December 31, 2012 totaled $1.9 million. Base management fees for the same period totaled $0.5 million, performance-based incentive fees totaled $0.4 million, Credit Facility expenses totaled $0.5 million, general and administrative expenses totaled $0.5 million and excise taxes were less than $0.1 million. This compares to expenses for the three months ended December 31, 2011, which totaled $1.1 million. Base management fees for the same period totaled $0.3 million, performance-based incentive fees totaled zero, or the Credit Facility expenses totaled $0.3 million and general and administrative expenses totaled $0.5 million. The increase in management fees, incentive fees and Credit Facility expenses is due to the growth of our portfolio.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Net investment income totaled $2.1 million, or $0.30 per share, for the three months ended December 31, 2012, and $1.4 million, or $0.20 per share, for the three months ended December 31, 2011. The increase in net investment income is due to a larger portfolio and higher yielding assets offset by higher Credit Facility expenses and management and incentive fees.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Sales and repayments of investments for the three months ended December 31, 2012 totaled $30.3 million and realized gains totaled $0.4 million. Sales and repayments of long-term investments totaled $22.3 million and realized gains totaled $0.3 million for the three months ended December 31, 2011. The increase in realized gains was driven by a higher volume of repayments than the comparable period.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For the three months ended December 31, 2012 and 2011, we reported unrealized (depreciation) appreciation on investments of $(0.4) million and $1.1 million, respectively. As of December 31, 2012 and September 30, 2012, net unrealized (depreciation) appreciation on investments totaled $(0.1) million and $0.3 million, respectively. The change in the three month period compared to last year is the result of the reversal of unrealized gains upon exiting our investments and changes in market values.</w:t>
      </w:r>
    </w:p>
    <w:p>
      <w:pPr>
        <w:spacing w:after="0" w:line="143" w:lineRule="exact"/>
        <w:rPr>
          <w:sz w:val="20"/>
          <w:szCs w:val="20"/>
          <w:color w:val="auto"/>
        </w:rPr>
      </w:pPr>
    </w:p>
    <w:p>
      <w:pPr>
        <w:ind w:right="240"/>
        <w:spacing w:after="0" w:line="252" w:lineRule="auto"/>
        <w:rPr>
          <w:sz w:val="20"/>
          <w:szCs w:val="20"/>
          <w:color w:val="auto"/>
        </w:rPr>
      </w:pPr>
      <w:r>
        <w:rPr>
          <w:rFonts w:ascii="Arial" w:cs="Arial" w:eastAsia="Arial" w:hAnsi="Arial"/>
          <w:sz w:val="21"/>
          <w:szCs w:val="21"/>
          <w:color w:val="auto"/>
        </w:rPr>
        <w:t>For the three months ended December 31, 2012 and 2011, our Credit Facility had a change in unrealized (appreciation) depreciation of $(0.4) million and $0.4 million, respectively. As of December 31, 2012 and September 30, 2012, net unrealized (appreciation) depreciation on our Credit Facility totaled zero and $0.4 million, respectively. The change in the three month period compared to last year was due to changes in the leveraged finance markets.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Net increase in net assets resulting from operations totaled $1.8 million, or $0.26 per share, for the three months ended December 31, 2012. This compares to a net increase in net assets resulting from operations which totaled $3.1 million, or $0.45 per share, for the three months ended December 31, 2011. The decrease in net assets resulting from operations compared to last year is due to changes in fair value of our investments due to changes in the leveraged finance markets.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color w:val="auto"/>
        </w:rPr>
        <w:t>Our liquidity and capital resources are derived from proceeds of our initial public offering,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As of December 31, 2012 and September 30, 2012, there were $85.8 million and $75.5 million of outstanding borrowings under the Credit Facility, respectively, with an interest rate of 2.47%, in each case excluding the 0.375% undrawn commitment fee.</w:t>
      </w:r>
    </w:p>
    <w:p>
      <w:pPr>
        <w:spacing w:after="0" w:line="10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Our operating activities used cash of $8.5 million for the three months ended December 31, 2012, and our financing activities provided net cash proceeds of $8.6 million for the same period. Our operating activities used cash primarily for net investing that was financed by net draws under the Credit Facility.</w:t>
      </w:r>
    </w:p>
    <w:p>
      <w:pPr>
        <w:spacing w:after="0" w:line="18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Our operating activities used cash of $11.3 million for the three months ended December 31, 2011, and our financing activities provided net cash proceeds of $9.0 million for the same period. Our operating activities used cash primarily for net investing that was financed by net draws under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ectPr>
          <w:pgSz w:w="11900" w:h="16838" w:orient="portrait"/>
          <w:cols w:equalWidth="0" w:num="1">
            <w:col w:w="11220"/>
          </w:cols>
          <w:pgMar w:left="320" w:top="118" w:right="359" w:bottom="0" w:gutter="0" w:footer="0" w:header="0"/>
        </w:sectPr>
      </w:pPr>
    </w:p>
    <w:bookmarkStart w:id="4" w:name="page5"/>
    <w:bookmarkEnd w:id="4"/>
    <w:p>
      <w:pPr>
        <w:ind w:right="80"/>
        <w:spacing w:after="0" w:line="279" w:lineRule="auto"/>
        <w:rPr>
          <w:sz w:val="20"/>
          <w:szCs w:val="20"/>
          <w:color w:val="auto"/>
        </w:rPr>
      </w:pPr>
      <w:r>
        <w:rPr>
          <w:rFonts w:ascii="Arial" w:cs="Arial" w:eastAsia="Arial" w:hAnsi="Arial"/>
          <w:sz w:val="19"/>
          <w:szCs w:val="19"/>
          <w:color w:val="auto"/>
        </w:rPr>
        <w:t>During the three months ended December 31, 2012 and 2011, we declared distributions of approximately $0.25 and $0.21 per share, respectively, for total distributions of $1.7 million and $1.4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Under terms agreed among us, PennantPark Investment Advisers, LLC, or the Investment Adviser, and underwriters of our initial public offering, the Investment Adviser paid 2% of the underwriters' sales load, or approximately $2.1 million in the aggregate, on our behalf. We agreed to repay such amount to the Investment Adviser upon its achievement of a benchmark return over four consecutive quarters, and the Investment Adviser agreed to use such amount to purchase shares of our common stock over a six-month period following such repayment. We met the conditions for repayment of the Investment Adviser at the end of the quarter ended December 31, 2012 and repaid approximately $2.1 million to the Investment Adviser. The Investment Adviser announced that it intends to purchase shares of our common stock in the secondary market over the applicable six-month purchase period in compliance with applicable law and SEC guidance.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396"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328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December 31,</w:t>
            </w:r>
          </w:p>
        </w:tc>
        <w:tc>
          <w:tcPr>
            <w:tcW w:w="1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2012</w:t>
            </w:r>
          </w:p>
        </w:tc>
        <w:tc>
          <w:tcPr>
            <w:tcW w:w="22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fair value (cost--$180,898,304 and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$171,578,009, respectively)</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$ 180,795,910</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$ 171,834,400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3,987,645</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3,845,803</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1,089,228</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1,388,867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986,278</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256,196</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311,313</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186,128,979</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178,366,661</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565,180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548,053</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3,357,500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Credit Facility payable (cost--$85,775,000 and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$75,500,000, respectively)</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85,775,000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75,122,500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162,800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161,550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458,986</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424,747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fees payable</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713,068</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506,314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585,177</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447,120</w:t>
            </w:r>
          </w:p>
        </w:tc>
      </w:tr>
      <w:tr>
        <w:trPr>
          <w:trHeight w:val="202"/>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sales load charges</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2,055,000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2,055,000</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90,315,211</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82,622,784</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6,850,667 shares are issued and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Par value $0.001 per share and 100,000,000</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6,851</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6,851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95,192,222</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95,192,222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(949,667)</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(1,313,000)</w:t>
            </w:r>
          </w:p>
        </w:tc>
      </w:tr>
      <w:tr>
        <w:trPr>
          <w:trHeight w:val="202"/>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gain on investments</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1,666,756</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1,223,913</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appreciation on</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(102,394)</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256,391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unrealized depreciation on Credit Facility</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377,500</w:t>
            </w:r>
          </w:p>
        </w:tc>
      </w:tr>
      <w:tr>
        <w:trPr>
          <w:trHeight w:val="202"/>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95,813,768</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95,743,877</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$ 186,128,979</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$ 178,366,661</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13.99</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13.98</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ectPr>
          <w:pgSz w:w="11900" w:h="16838" w:orient="portrait"/>
          <w:cols w:equalWidth="0" w:num="1">
            <w:col w:w="11200"/>
          </w:cols>
          <w:pgMar w:left="320" w:top="118" w:right="379" w:bottom="0" w:gutter="0" w:footer="0" w:header="0"/>
        </w:sectPr>
      </w:pPr>
    </w:p>
    <w:bookmarkStart w:id="5" w:name="page6"/>
    <w:bookmarkEnd w:id="5"/>
    <w:p>
      <w:pPr>
        <w:spacing w:after="0" w:line="64"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308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jc w:val="center"/>
        <w:ind w:right="308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960" w:type="dxa"/>
            <w:vAlign w:val="bottom"/>
          </w:tcPr>
          <w:p>
            <w:pPr>
              <w:spacing w:after="0"/>
              <w:rPr>
                <w:sz w:val="17"/>
                <w:szCs w:val="17"/>
                <w:color w:val="auto"/>
              </w:rPr>
            </w:pPr>
          </w:p>
        </w:tc>
        <w:tc>
          <w:tcPr>
            <w:tcW w:w="3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2012</w:t>
            </w:r>
          </w:p>
        </w:tc>
        <w:tc>
          <w:tcPr>
            <w:tcW w:w="32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4960" w:type="dxa"/>
            <w:vAlign w:val="bottom"/>
          </w:tcPr>
          <w:p>
            <w:pPr>
              <w:spacing w:after="0"/>
              <w:rPr>
                <w:sz w:val="17"/>
                <w:szCs w:val="17"/>
                <w:color w:val="auto"/>
              </w:rPr>
            </w:pP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3,638,227</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2,467,028</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52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324,446</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52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3,962,673</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2,467,028</w:t>
            </w:r>
          </w:p>
        </w:tc>
      </w:tr>
      <w:tr>
        <w:trPr>
          <w:trHeight w:val="203"/>
        </w:trPr>
        <w:tc>
          <w:tcPr>
            <w:tcW w:w="4960" w:type="dxa"/>
            <w:vAlign w:val="bottom"/>
          </w:tcPr>
          <w:p>
            <w:pPr>
              <w:spacing w:after="0"/>
              <w:rPr>
                <w:sz w:val="17"/>
                <w:szCs w:val="17"/>
                <w:color w:val="auto"/>
              </w:rPr>
            </w:pP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fees</w:t>
            </w:r>
          </w:p>
        </w:tc>
        <w:tc>
          <w:tcPr>
            <w:tcW w:w="52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458,986</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315,845</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fees</w:t>
            </w:r>
          </w:p>
        </w:tc>
        <w:tc>
          <w:tcPr>
            <w:tcW w:w="52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417,029</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Interest and expenses on the Credit Facility</w:t>
            </w:r>
          </w:p>
        </w:tc>
        <w:tc>
          <w:tcPr>
            <w:tcW w:w="52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471,068</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278,980</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52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155,145</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138,335</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52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367,500</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358,969</w:t>
            </w:r>
          </w:p>
        </w:tc>
      </w:tr>
      <w:tr>
        <w:trPr>
          <w:trHeight w:val="203"/>
        </w:trPr>
        <w:tc>
          <w:tcPr>
            <w:tcW w:w="4960" w:type="dxa"/>
            <w:vAlign w:val="bottom"/>
          </w:tcPr>
          <w:p>
            <w:pPr>
              <w:spacing w:after="0"/>
              <w:rPr>
                <w:sz w:val="17"/>
                <w:szCs w:val="17"/>
                <w:color w:val="auto"/>
              </w:rPr>
            </w:pP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excise tax expense</w:t>
            </w:r>
          </w:p>
        </w:tc>
        <w:tc>
          <w:tcPr>
            <w:tcW w:w="52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1,869,728</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1,092,129</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Excise tax</w:t>
            </w:r>
          </w:p>
        </w:tc>
        <w:tc>
          <w:tcPr>
            <w:tcW w:w="52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34,072</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52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1,903,800</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1,092,129</w:t>
            </w:r>
          </w:p>
        </w:tc>
      </w:tr>
      <w:tr>
        <w:trPr>
          <w:trHeight w:val="203"/>
        </w:trPr>
        <w:tc>
          <w:tcPr>
            <w:tcW w:w="4960" w:type="dxa"/>
            <w:vAlign w:val="bottom"/>
          </w:tcPr>
          <w:p>
            <w:pPr>
              <w:spacing w:after="0"/>
              <w:rPr>
                <w:sz w:val="17"/>
                <w:szCs w:val="17"/>
                <w:color w:val="auto"/>
              </w:rPr>
            </w:pP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52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2,058,873</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1,374,899</w:t>
            </w:r>
          </w:p>
        </w:tc>
      </w:tr>
      <w:tr>
        <w:trPr>
          <w:trHeight w:val="203"/>
        </w:trPr>
        <w:tc>
          <w:tcPr>
            <w:tcW w:w="4960" w:type="dxa"/>
            <w:vAlign w:val="bottom"/>
          </w:tcPr>
          <w:p>
            <w:pPr>
              <w:spacing w:after="0"/>
              <w:rPr>
                <w:sz w:val="17"/>
                <w:szCs w:val="17"/>
                <w:color w:val="auto"/>
              </w:rPr>
            </w:pP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 (loss) on</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non-controlled, non-</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52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442,843</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310,175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(depreciation)</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5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(358,785)</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1,069,091</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(appreciation) depreciation</w:t>
            </w:r>
          </w:p>
        </w:tc>
        <w:tc>
          <w:tcPr>
            <w:tcW w:w="5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(377,500)</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351,000</w:t>
            </w:r>
          </w:p>
        </w:tc>
      </w:tr>
      <w:tr>
        <w:trPr>
          <w:trHeight w:val="203"/>
        </w:trPr>
        <w:tc>
          <w:tcPr>
            <w:tcW w:w="4960" w:type="dxa"/>
            <w:vAlign w:val="bottom"/>
          </w:tcPr>
          <w:p>
            <w:pPr>
              <w:spacing w:after="0"/>
              <w:rPr>
                <w:sz w:val="17"/>
                <w:szCs w:val="17"/>
                <w:color w:val="auto"/>
              </w:rPr>
            </w:pP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(depreciation)</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 on investments and Credit</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5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(736,285)</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1,420,091</w:t>
            </w:r>
          </w:p>
        </w:tc>
      </w:tr>
      <w:tr>
        <w:trPr>
          <w:trHeight w:val="203"/>
        </w:trPr>
        <w:tc>
          <w:tcPr>
            <w:tcW w:w="4960" w:type="dxa"/>
            <w:vAlign w:val="bottom"/>
          </w:tcPr>
          <w:p>
            <w:pPr>
              <w:spacing w:after="0"/>
              <w:rPr>
                <w:sz w:val="17"/>
                <w:szCs w:val="17"/>
                <w:color w:val="auto"/>
              </w:rPr>
            </w:pP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(loss) gain from</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5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(293,442)</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1,730,266</w:t>
            </w:r>
          </w:p>
        </w:tc>
      </w:tr>
      <w:tr>
        <w:trPr>
          <w:trHeight w:val="203"/>
        </w:trPr>
        <w:tc>
          <w:tcPr>
            <w:tcW w:w="4960" w:type="dxa"/>
            <w:vAlign w:val="bottom"/>
          </w:tcPr>
          <w:p>
            <w:pPr>
              <w:spacing w:after="0"/>
              <w:rPr>
                <w:sz w:val="17"/>
                <w:szCs w:val="17"/>
                <w:color w:val="auto"/>
              </w:rPr>
            </w:pP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1,765,431</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3,105,165</w:t>
            </w:r>
          </w:p>
        </w:tc>
      </w:tr>
      <w:tr>
        <w:trPr>
          <w:trHeight w:val="203"/>
        </w:trPr>
        <w:tc>
          <w:tcPr>
            <w:tcW w:w="4960" w:type="dxa"/>
            <w:vAlign w:val="bottom"/>
          </w:tcPr>
          <w:p>
            <w:pPr>
              <w:spacing w:after="0"/>
              <w:rPr>
                <w:sz w:val="17"/>
                <w:szCs w:val="17"/>
                <w:color w:val="auto"/>
              </w:rPr>
            </w:pP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w:t>
            </w:r>
          </w:p>
        </w:tc>
        <w:tc>
          <w:tcPr>
            <w:tcW w:w="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0.26</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0.45</w:t>
            </w:r>
          </w:p>
        </w:tc>
      </w:tr>
      <w:tr>
        <w:trPr>
          <w:trHeight w:val="203"/>
        </w:trPr>
        <w:tc>
          <w:tcPr>
            <w:tcW w:w="4960" w:type="dxa"/>
            <w:vAlign w:val="bottom"/>
          </w:tcPr>
          <w:p>
            <w:pPr>
              <w:spacing w:after="0"/>
              <w:rPr>
                <w:sz w:val="17"/>
                <w:szCs w:val="17"/>
                <w:color w:val="auto"/>
              </w:rPr>
            </w:pP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0.30</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w:t>
            </w:r>
          </w:p>
        </w:tc>
      </w:tr>
      <w:tr>
        <w:trPr>
          <w:trHeight w:val="203"/>
        </w:trPr>
        <w:tc>
          <w:tcPr>
            <w:tcW w:w="4960" w:type="dxa"/>
            <w:vAlign w:val="bottom"/>
          </w:tcPr>
          <w:p>
            <w:pPr>
              <w:spacing w:after="0"/>
              <w:rPr>
                <w:sz w:val="17"/>
                <w:szCs w:val="17"/>
                <w:color w:val="auto"/>
              </w:rPr>
            </w:pP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w:t>
      </w:r>
    </w:p>
    <w:p>
      <w:pPr>
        <w:sectPr>
          <w:pgSz w:w="11900" w:h="16902" w:orient="portrait"/>
          <w:cols w:equalWidth="0" w:num="1">
            <w:col w:w="11200"/>
          </w:cols>
          <w:pgMar w:left="320" w:top="339" w:right="379" w:bottom="0" w:gutter="0" w:footer="0" w:header="0"/>
        </w:sectPr>
      </w:pPr>
    </w:p>
    <w:bookmarkStart w:id="6" w:name="page7"/>
    <w:bookmarkEnd w:id="6"/>
    <w:p>
      <w:pPr>
        <w:spacing w:after="0" w:line="251" w:lineRule="auto"/>
        <w:rPr>
          <w:sz w:val="20"/>
          <w:szCs w:val="20"/>
          <w:color w:val="auto"/>
        </w:rPr>
      </w:pPr>
      <w:r>
        <w:rPr>
          <w:rFonts w:ascii="Arial" w:cs="Arial" w:eastAsia="Arial" w:hAnsi="Arial"/>
          <w:sz w:val="22"/>
          <w:szCs w:val="22"/>
          <w:color w:val="auto"/>
        </w:rPr>
        <w:t>such statements speak only as of the date on which they are made. We do not undertake to update our forward-looking statements unless required by law.</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2020-05-05T12:04:28Z</dcterms:created>
  <dcterms:modified xsi:type="dcterms:W3CDTF">2020-05-05T12:04:28Z</dcterms:modified>
</cp:coreProperties>
</file>