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8k_063026.htm"/>
      <w:bookmarkStart w:id="1" w:name="ksf8k_063026"/>
      <w:bookmarkEnd w:id="0"/>
      <w:bookmarkEnd w:id="1"/>
      <w:r>
        <w:rPr/>
        <w:t> </w:t>
      </w:r>
    </w:p>
    <w:p>
      <w:pPr>
        <w:pStyle w:val="TextBody"/>
        <w:bidi w:val="0"/>
        <w:spacing w:before="0" w:after="0"/>
        <w:ind w:left="0" w:right="0" w:hanging="0"/>
        <w:jc w:val="center"/>
        <w:rPr>
          <w:b/>
          <w:sz w:val="20"/>
        </w:rPr>
      </w:pPr>
      <w:r>
        <w:rPr>
          <w:b/>
          <w:sz w:val="20"/>
        </w:rPr>
        <w:t xml:space="preserve">UNITED </w:t>
      </w:r>
      <w:r>
        <w:rPr>
          <w:b/>
          <w:spacing w:val="-2"/>
          <w:sz w:val="20"/>
        </w:rPr>
        <w:t>STATES</w:t>
      </w:r>
    </w:p>
    <w:p>
      <w:pPr>
        <w:pStyle w:val="TextBody"/>
        <w:bidi w:val="0"/>
        <w:spacing w:before="0" w:after="0"/>
        <w:ind w:left="0" w:right="0" w:hanging="0"/>
        <w:jc w:val="center"/>
        <w:rPr>
          <w:b/>
          <w:sz w:val="20"/>
        </w:rPr>
      </w:pPr>
      <w:r>
        <w:rPr>
          <w:b/>
          <w:sz w:val="20"/>
        </w:rPr>
        <w:t xml:space="preserve">SECURITIES AND EXCHANGE </w:t>
      </w:r>
      <w:r>
        <w:rPr>
          <w:b/>
          <w:spacing w:val="-2"/>
          <w:sz w:val="20"/>
        </w:rPr>
        <w:t>COMMISSION</w:t>
      </w:r>
    </w:p>
    <w:p>
      <w:pPr>
        <w:pStyle w:val="TextBody"/>
        <w:bidi w:val="0"/>
        <w:spacing w:before="0" w:after="0"/>
        <w:ind w:left="0" w:right="0" w:hanging="0"/>
        <w:jc w:val="center"/>
        <w:rPr>
          <w:spacing w:val="-2"/>
          <w:sz w:val="20"/>
        </w:rPr>
      </w:pPr>
      <w:r>
        <w:rPr>
          <w:spacing w:val="-2"/>
          <w:sz w:val="20"/>
        </w:rPr>
        <w:t>Washington, D.C. 20549</w:t>
      </w:r>
    </w:p>
    <w:p>
      <w:pPr>
        <w:pStyle w:val="TextBody"/>
        <w:bidi w:val="0"/>
        <w:spacing w:before="0" w:after="0"/>
        <w:ind w:left="267" w:right="1" w:hanging="0"/>
        <w:jc w:val="center"/>
        <w:rPr>
          <w:spacing w:val="-2"/>
        </w:rPr>
      </w:pPr>
      <w:r>
        <w:rPr>
          <w:spacing w:val="-2"/>
        </w:rPr>
        <w:t> </w:t>
      </w:r>
    </w:p>
    <w:p>
      <w:pPr>
        <w:pStyle w:val="TextBody"/>
        <w:bidi w:val="0"/>
        <w:spacing w:before="0" w:after="0"/>
        <w:ind w:left="0" w:right="0" w:hanging="0"/>
        <w:jc w:val="center"/>
        <w:rPr>
          <w:b/>
          <w:sz w:val="20"/>
        </w:rPr>
      </w:pPr>
      <w:r>
        <w:rPr>
          <w:b/>
          <w:sz w:val="20"/>
        </w:rPr>
        <w:t xml:space="preserve">FORM </w:t>
      </w:r>
      <w:bookmarkStart w:id="2" w:name="xdx_90C_edei--DocumentType_c20260706__20"/>
      <w:bookmarkEnd w:id="2"/>
      <w:r>
        <w:rPr>
          <w:b/>
          <w:sz w:val="20"/>
        </w:rPr>
        <w:t>8-K</w:t>
      </w:r>
    </w:p>
    <w:p>
      <w:pPr>
        <w:pStyle w:val="TextBody"/>
        <w:bidi w:val="0"/>
        <w:spacing w:before="0" w:after="0"/>
        <w:ind w:left="266" w:right="83" w:hanging="0"/>
        <w:jc w:val="center"/>
        <w:rPr>
          <w:spacing w:val="-10"/>
        </w:rPr>
      </w:pPr>
      <w:r>
        <w:rPr>
          <w:spacing w:val="-10"/>
        </w:rPr>
        <w:t> </w:t>
      </w:r>
    </w:p>
    <w:p>
      <w:pPr>
        <w:pStyle w:val="TextBody"/>
        <w:bidi w:val="0"/>
        <w:spacing w:before="0" w:after="0"/>
        <w:ind w:left="0" w:right="0" w:hanging="0"/>
        <w:jc w:val="center"/>
        <w:rPr>
          <w:sz w:val="20"/>
        </w:rPr>
      </w:pPr>
      <w:r>
        <w:rPr>
          <w:sz w:val="20"/>
        </w:rPr>
        <w:t xml:space="preserve">CURRENT </w:t>
      </w:r>
      <w:r>
        <w:rPr>
          <w:spacing w:val="-2"/>
          <w:sz w:val="20"/>
        </w:rPr>
        <w:t>REPORT</w:t>
      </w:r>
    </w:p>
    <w:p>
      <w:pPr>
        <w:pStyle w:val="TextBody"/>
        <w:bidi w:val="0"/>
        <w:spacing w:before="0" w:after="0"/>
        <w:ind w:left="266" w:right="88" w:hanging="0"/>
        <w:jc w:val="center"/>
        <w:rPr>
          <w:spacing w:val="-2"/>
        </w:rPr>
      </w:pPr>
      <w:r>
        <w:rPr>
          <w:spacing w:val="-2"/>
        </w:rPr>
        <w:t> </w:t>
      </w:r>
    </w:p>
    <w:p>
      <w:pPr>
        <w:pStyle w:val="TextBody"/>
        <w:bidi w:val="0"/>
        <w:spacing w:before="0" w:after="0"/>
        <w:ind w:left="0" w:right="0" w:hanging="0"/>
        <w:jc w:val="center"/>
        <w:rPr>
          <w:sz w:val="20"/>
        </w:rPr>
      </w:pPr>
      <w:r>
        <w:rPr>
          <w:sz w:val="20"/>
        </w:rPr>
        <w:t>Pursuant to Section 13 or 15(d) of the Securities Exchange Act of 1934</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 xml:space="preserve">Date of Report: </w:t>
      </w:r>
      <w:bookmarkStart w:id="3" w:name="xdx_902_edei--DocumentPeriodEndDate_c202"/>
      <w:bookmarkEnd w:id="3"/>
      <w:r>
        <w:rPr>
          <w:b/>
          <w:sz w:val="20"/>
        </w:rPr>
        <w:t xml:space="preserve">July 6, </w:t>
      </w:r>
      <w:r>
        <w:rPr>
          <w:b/>
          <w:spacing w:val="-4"/>
          <w:sz w:val="20"/>
        </w:rPr>
        <w:t>2026</w:t>
      </w:r>
    </w:p>
    <w:p>
      <w:pPr>
        <w:pStyle w:val="TextBody"/>
        <w:bidi w:val="0"/>
        <w:spacing w:before="0" w:after="0"/>
        <w:ind w:left="0" w:right="0" w:hanging="0"/>
        <w:jc w:val="center"/>
        <w:rPr>
          <w:sz w:val="20"/>
        </w:rPr>
      </w:pPr>
      <w:r>
        <w:rPr>
          <w:sz w:val="20"/>
        </w:rPr>
        <w:t xml:space="preserve">(Date of earliest event </w:t>
      </w:r>
      <w:r>
        <w:rPr>
          <w:spacing w:val="-2"/>
          <w:sz w:val="20"/>
        </w:rPr>
        <w:t>reported)</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4" w:name="xdx_90A_edei--EntityRegistrantName_c2026"/>
      <w:bookmarkEnd w:id="4"/>
      <w:r>
        <w:rPr>
          <w:b/>
          <w:sz w:val="20"/>
        </w:rPr>
        <w:t xml:space="preserve">PennantPark Floating Rate Capital </w:t>
      </w:r>
      <w:r>
        <w:rPr>
          <w:b/>
          <w:spacing w:val="-4"/>
          <w:sz w:val="20"/>
        </w:rPr>
        <w:t>Ltd.</w:t>
      </w:r>
    </w:p>
    <w:p>
      <w:pPr>
        <w:pStyle w:val="TextBody"/>
        <w:bidi w:val="0"/>
        <w:spacing w:before="0" w:after="0"/>
        <w:ind w:left="0" w:right="0" w:hanging="0"/>
        <w:jc w:val="center"/>
        <w:rPr>
          <w:sz w:val="20"/>
        </w:rPr>
      </w:pPr>
      <w:r>
        <w:rPr>
          <w:sz w:val="20"/>
        </w:rPr>
        <w:t xml:space="preserve">(Exact name of registrant as specified in its </w:t>
      </w:r>
      <w:r>
        <w:rPr>
          <w:spacing w:val="-2"/>
          <w:sz w:val="20"/>
        </w:rPr>
        <w:t>charter)</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8940" w:type="dxa"/>
        <w:jc w:val="left"/>
        <w:tblInd w:w="0" w:type="dxa"/>
        <w:tblLayout w:type="fixed"/>
        <w:tblCellMar>
          <w:top w:w="0" w:type="dxa"/>
          <w:left w:w="0" w:type="dxa"/>
          <w:bottom w:w="0" w:type="dxa"/>
          <w:right w:w="0" w:type="dxa"/>
        </w:tblCellMar>
      </w:tblPr>
      <w:tblGrid>
        <w:gridCol w:w="3590"/>
        <w:gridCol w:w="2210"/>
        <w:gridCol w:w="3140"/>
      </w:tblGrid>
      <w:tr>
        <w:trPr/>
        <w:tc>
          <w:tcPr>
            <w:tcW w:w="3590" w:type="dxa"/>
            <w:tcBorders/>
            <w:vAlign w:val="center"/>
          </w:tcPr>
          <w:p>
            <w:pPr>
              <w:pStyle w:val="TableContents"/>
              <w:bidi w:val="0"/>
              <w:spacing w:before="0" w:after="0"/>
              <w:ind w:left="0" w:right="0" w:hanging="0"/>
              <w:jc w:val="center"/>
              <w:rPr>
                <w:b/>
                <w:sz w:val="20"/>
              </w:rPr>
            </w:pPr>
            <w:bookmarkStart w:id="5" w:name="xdx_902_edei--EntityIncorporationStateCo"/>
            <w:bookmarkEnd w:id="5"/>
            <w:r>
              <w:rPr>
                <w:b/>
                <w:sz w:val="20"/>
              </w:rPr>
              <w:t>Maryland</w:t>
            </w:r>
          </w:p>
        </w:tc>
        <w:tc>
          <w:tcPr>
            <w:tcW w:w="2210" w:type="dxa"/>
            <w:tcBorders/>
            <w:vAlign w:val="center"/>
          </w:tcPr>
          <w:p>
            <w:pPr>
              <w:pStyle w:val="TableContents"/>
              <w:bidi w:val="0"/>
              <w:spacing w:before="0" w:after="0"/>
              <w:ind w:left="0" w:right="0" w:hanging="0"/>
              <w:jc w:val="center"/>
              <w:rPr>
                <w:b/>
                <w:sz w:val="20"/>
              </w:rPr>
            </w:pPr>
            <w:bookmarkStart w:id="6" w:name="xdx_900_edei--EntityFileNumber_c20260706"/>
            <w:bookmarkEnd w:id="6"/>
            <w:r>
              <w:rPr>
                <w:b/>
                <w:sz w:val="20"/>
              </w:rPr>
              <w:t>814-00891</w:t>
            </w:r>
          </w:p>
        </w:tc>
        <w:tc>
          <w:tcPr>
            <w:tcW w:w="3140" w:type="dxa"/>
            <w:tcBorders/>
            <w:vAlign w:val="center"/>
          </w:tcPr>
          <w:p>
            <w:pPr>
              <w:pStyle w:val="TableContents"/>
              <w:bidi w:val="0"/>
              <w:spacing w:before="0" w:after="0"/>
              <w:ind w:left="0" w:right="0" w:hanging="0"/>
              <w:jc w:val="center"/>
              <w:rPr>
                <w:b/>
                <w:sz w:val="20"/>
              </w:rPr>
            </w:pPr>
            <w:bookmarkStart w:id="7" w:name="xdx_90F_edei--EntityTaxIdentificationNum"/>
            <w:bookmarkEnd w:id="7"/>
            <w:r>
              <w:rPr>
                <w:b/>
                <w:sz w:val="20"/>
              </w:rPr>
              <w:t>27-3794690</w:t>
            </w:r>
          </w:p>
        </w:tc>
      </w:tr>
      <w:tr>
        <w:trPr/>
        <w:tc>
          <w:tcPr>
            <w:tcW w:w="3590" w:type="dxa"/>
            <w:tcBorders/>
            <w:vAlign w:val="center"/>
          </w:tcPr>
          <w:p>
            <w:pPr>
              <w:pStyle w:val="TableContents"/>
              <w:bidi w:val="0"/>
              <w:spacing w:before="0" w:after="0"/>
              <w:ind w:left="0" w:right="0" w:hanging="0"/>
              <w:jc w:val="center"/>
              <w:rPr>
                <w:sz w:val="20"/>
              </w:rPr>
            </w:pPr>
            <w:r>
              <w:rPr>
                <w:sz w:val="20"/>
              </w:rPr>
              <w:t>(State or other jurisdiction of incorporation)</w:t>
            </w:r>
          </w:p>
        </w:tc>
        <w:tc>
          <w:tcPr>
            <w:tcW w:w="2210" w:type="dxa"/>
            <w:tcBorders/>
            <w:vAlign w:val="center"/>
          </w:tcPr>
          <w:p>
            <w:pPr>
              <w:pStyle w:val="TableContents"/>
              <w:bidi w:val="0"/>
              <w:spacing w:before="0" w:after="0"/>
              <w:ind w:left="0" w:right="0" w:hanging="0"/>
              <w:jc w:val="center"/>
              <w:rPr>
                <w:sz w:val="20"/>
              </w:rPr>
            </w:pPr>
            <w:r>
              <w:rPr>
                <w:sz w:val="20"/>
              </w:rPr>
              <w:t>(Commission File Number)</w:t>
            </w:r>
          </w:p>
        </w:tc>
        <w:tc>
          <w:tcPr>
            <w:tcW w:w="3140" w:type="dxa"/>
            <w:tcBorders/>
            <w:vAlign w:val="center"/>
          </w:tcPr>
          <w:p>
            <w:pPr>
              <w:pStyle w:val="TableContents"/>
              <w:bidi w:val="0"/>
              <w:spacing w:before="0" w:after="0"/>
              <w:jc w:val="center"/>
              <w:rPr>
                <w:sz w:val="20"/>
              </w:rPr>
            </w:pPr>
            <w:r>
              <w:rPr>
                <w:sz w:val="20"/>
              </w:rPr>
              <w:t>(IRS Employer Identification Number)</w:t>
            </w:r>
          </w:p>
        </w:tc>
      </w:tr>
    </w:tbl>
    <w:p>
      <w:pPr>
        <w:pStyle w:val="TextBody"/>
        <w:bidi w:val="0"/>
        <w:spacing w:before="0" w:after="0"/>
        <w:ind w:left="0" w:right="0" w:hanging="0"/>
        <w:jc w:val="left"/>
        <w:rPr/>
      </w:pPr>
      <w:r>
        <w:rPr/>
        <w:t> </w:t>
      </w:r>
    </w:p>
    <w:tbl>
      <w:tblPr>
        <w:tblW w:w="4870" w:type="dxa"/>
        <w:jc w:val="left"/>
        <w:tblInd w:w="0" w:type="dxa"/>
        <w:tblLayout w:type="fixed"/>
        <w:tblCellMar>
          <w:top w:w="0" w:type="dxa"/>
          <w:left w:w="0" w:type="dxa"/>
          <w:bottom w:w="0" w:type="dxa"/>
          <w:right w:w="0" w:type="dxa"/>
        </w:tblCellMar>
      </w:tblPr>
      <w:tblGrid>
        <w:gridCol w:w="3950"/>
        <w:gridCol w:w="920"/>
      </w:tblGrid>
      <w:tr>
        <w:trPr/>
        <w:tc>
          <w:tcPr>
            <w:tcW w:w="3950" w:type="dxa"/>
            <w:tcBorders/>
            <w:vAlign w:val="center"/>
          </w:tcPr>
          <w:p>
            <w:pPr>
              <w:pStyle w:val="TableContents"/>
              <w:bidi w:val="0"/>
              <w:spacing w:before="0" w:after="0"/>
              <w:ind w:left="0" w:right="0" w:hanging="0"/>
              <w:jc w:val="center"/>
              <w:rPr>
                <w:b/>
                <w:sz w:val="20"/>
              </w:rPr>
            </w:pPr>
            <w:bookmarkStart w:id="8" w:name="xdx_904_edei--EntityAddressAddressLine1_"/>
            <w:bookmarkEnd w:id="8"/>
            <w:r>
              <w:rPr>
                <w:b/>
                <w:sz w:val="20"/>
              </w:rPr>
              <w:t xml:space="preserve">1691 Michigan Avenue, </w:t>
            </w:r>
            <w:bookmarkStart w:id="9" w:name="xdx_90C_edei--EntityAddressCityOrTown_c2"/>
            <w:bookmarkEnd w:id="9"/>
            <w:r>
              <w:rPr>
                <w:b/>
                <w:sz w:val="20"/>
              </w:rPr>
              <w:t xml:space="preserve">Miami Beach, </w:t>
            </w:r>
            <w:bookmarkStart w:id="10" w:name="xdx_90B_edei--EntityAddressStateOrProvin"/>
            <w:bookmarkEnd w:id="10"/>
            <w:r>
              <w:rPr>
                <w:b/>
                <w:sz w:val="20"/>
              </w:rPr>
              <w:t>Florida</w:t>
            </w:r>
          </w:p>
        </w:tc>
        <w:tc>
          <w:tcPr>
            <w:tcW w:w="920" w:type="dxa"/>
            <w:tcBorders/>
            <w:vAlign w:val="center"/>
          </w:tcPr>
          <w:p>
            <w:pPr>
              <w:pStyle w:val="TableContents"/>
              <w:bidi w:val="0"/>
              <w:spacing w:before="0" w:after="0"/>
              <w:ind w:left="0" w:right="0" w:hanging="0"/>
              <w:jc w:val="center"/>
              <w:rPr>
                <w:b/>
                <w:sz w:val="20"/>
              </w:rPr>
            </w:pPr>
            <w:bookmarkStart w:id="11" w:name="xdx_905_edei--EntityAddressPostalZipCode"/>
            <w:bookmarkEnd w:id="11"/>
            <w:r>
              <w:rPr>
                <w:b/>
                <w:sz w:val="20"/>
              </w:rPr>
              <w:t>33139</w:t>
            </w:r>
          </w:p>
        </w:tc>
      </w:tr>
      <w:tr>
        <w:trPr/>
        <w:tc>
          <w:tcPr>
            <w:tcW w:w="3950" w:type="dxa"/>
            <w:tcBorders/>
            <w:vAlign w:val="center"/>
          </w:tcPr>
          <w:p>
            <w:pPr>
              <w:pStyle w:val="TableContents"/>
              <w:bidi w:val="0"/>
              <w:spacing w:before="0" w:after="0"/>
              <w:ind w:left="0" w:right="0" w:hanging="0"/>
              <w:jc w:val="center"/>
              <w:rPr>
                <w:sz w:val="20"/>
              </w:rPr>
            </w:pPr>
            <w:r>
              <w:rPr>
                <w:sz w:val="20"/>
              </w:rPr>
              <w:t>(Address of principal executive offices)</w:t>
            </w:r>
          </w:p>
        </w:tc>
        <w:tc>
          <w:tcPr>
            <w:tcW w:w="920" w:type="dxa"/>
            <w:tcBorders/>
            <w:vAlign w:val="center"/>
          </w:tcPr>
          <w:p>
            <w:pPr>
              <w:pStyle w:val="TableContents"/>
              <w:bidi w:val="0"/>
              <w:spacing w:before="0" w:after="0"/>
              <w:jc w:val="center"/>
              <w:rPr>
                <w:sz w:val="20"/>
              </w:rPr>
            </w:pPr>
            <w:r>
              <w:rPr>
                <w:sz w:val="20"/>
              </w:rPr>
              <w:t>(Zip Code)</w:t>
            </w:r>
          </w:p>
        </w:tc>
      </w:tr>
    </w:tbl>
    <w:p>
      <w:pPr>
        <w:pStyle w:val="TextBody"/>
        <w:bidi w:val="0"/>
        <w:spacing w:before="0" w:after="0"/>
        <w:ind w:left="0" w:right="0" w:hanging="0"/>
        <w:jc w:val="left"/>
        <w:rPr/>
      </w:pPr>
      <w:r>
        <w:rPr/>
        <w:t> </w:t>
      </w:r>
    </w:p>
    <w:p>
      <w:pPr>
        <w:pStyle w:val="TextBody"/>
        <w:bidi w:val="0"/>
        <w:spacing w:before="0" w:after="0"/>
        <w:jc w:val="center"/>
        <w:rPr>
          <w:b/>
          <w:sz w:val="20"/>
        </w:rPr>
      </w:pPr>
      <w:bookmarkStart w:id="12" w:name="xdx_902_edei--CityAreaCode_c20260706__20"/>
      <w:bookmarkEnd w:id="12"/>
      <w:r>
        <w:rPr>
          <w:b/>
          <w:sz w:val="20"/>
        </w:rPr>
        <w:t xml:space="preserve">(786) </w:t>
      </w:r>
      <w:bookmarkStart w:id="13" w:name="xdx_90D_edei--LocalPhoneNumber_c20260706"/>
      <w:bookmarkEnd w:id="13"/>
      <w:r>
        <w:rPr>
          <w:b/>
          <w:sz w:val="20"/>
        </w:rPr>
        <w:t>297-9500</w:t>
      </w:r>
    </w:p>
    <w:p>
      <w:pPr>
        <w:pStyle w:val="TextBody"/>
        <w:bidi w:val="0"/>
        <w:spacing w:before="0" w:after="0"/>
        <w:jc w:val="center"/>
        <w:rPr>
          <w:sz w:val="20"/>
        </w:rPr>
      </w:pPr>
      <w:r>
        <w:rPr>
          <w:sz w:val="20"/>
        </w:rPr>
        <w:t xml:space="preserve">(Registrant's telephone number, including area </w:t>
      </w:r>
      <w:r>
        <w:rPr>
          <w:spacing w:val="-4"/>
          <w:sz w:val="20"/>
        </w:rPr>
        <w:t>code)</w:t>
      </w:r>
    </w:p>
    <w:p>
      <w:pPr>
        <w:pStyle w:val="TextBody"/>
        <w:bidi w:val="0"/>
        <w:spacing w:before="0" w:after="0"/>
        <w:ind w:left="0" w:right="0" w:hanging="0"/>
        <w:jc w:val="left"/>
        <w:rPr/>
      </w:pPr>
      <w:r>
        <w:rPr/>
        <w:t> </w:t>
      </w:r>
    </w:p>
    <w:p>
      <w:pPr>
        <w:pStyle w:val="TextBody"/>
        <w:bidi w:val="0"/>
        <w:spacing w:before="0" w:after="0"/>
        <w:jc w:val="center"/>
        <w:rPr>
          <w:b/>
          <w:sz w:val="20"/>
        </w:rPr>
      </w:pPr>
      <w:r>
        <w:rPr>
          <w:b/>
          <w:sz w:val="20"/>
        </w:rPr>
        <w:t xml:space="preserve">Not </w:t>
      </w:r>
      <w:r>
        <w:rPr>
          <w:b/>
          <w:spacing w:val="-2"/>
          <w:sz w:val="20"/>
        </w:rPr>
        <w:t>Applicable</w:t>
      </w:r>
    </w:p>
    <w:p>
      <w:pPr>
        <w:pStyle w:val="TextBody"/>
        <w:bidi w:val="0"/>
        <w:spacing w:before="0" w:after="0"/>
        <w:jc w:val="center"/>
        <w:rPr>
          <w:sz w:val="20"/>
        </w:rPr>
      </w:pPr>
      <w:r>
        <w:rPr>
          <w:sz w:val="20"/>
        </w:rPr>
        <w:t xml:space="preserve">(Former Name or Former Address, if changed since last </w:t>
      </w:r>
      <w:r>
        <w:rPr>
          <w:spacing w:val="-2"/>
          <w:sz w:val="20"/>
        </w:rPr>
        <w:t>report)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2_edei--WrittenCommunications_c202"/>
            <w:bookmarkEnd w:id="14"/>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7_edei--SolicitingMaterial_c202607"/>
            <w:bookmarkEnd w:id="15"/>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B_edei--PreCommencementIssuerTende"/>
            <w:bookmarkEnd w:id="17"/>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Securities registered pursuant to Section 12(b) of the Act: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902"/>
        <w:gridCol w:w="1844"/>
        <w:gridCol w:w="4459"/>
      </w:tblGrid>
      <w:tr>
        <w:trPr/>
        <w:tc>
          <w:tcPr>
            <w:tcW w:w="3902" w:type="dxa"/>
            <w:tcBorders/>
            <w:vAlign w:val="center"/>
          </w:tcPr>
          <w:p>
            <w:pPr>
              <w:pStyle w:val="TableContents"/>
              <w:bidi w:val="0"/>
              <w:spacing w:before="0" w:after="283"/>
              <w:jc w:val="center"/>
              <w:rPr>
                <w:b/>
              </w:rPr>
            </w:pPr>
            <w:r>
              <w:rPr>
                <w:b/>
              </w:rPr>
              <w:t>Title of Each Class</w:t>
            </w:r>
          </w:p>
        </w:tc>
        <w:tc>
          <w:tcPr>
            <w:tcW w:w="1844" w:type="dxa"/>
            <w:tcBorders/>
            <w:vAlign w:val="center"/>
          </w:tcPr>
          <w:p>
            <w:pPr>
              <w:pStyle w:val="TableContents"/>
              <w:bidi w:val="0"/>
              <w:spacing w:before="0" w:after="283"/>
              <w:jc w:val="center"/>
              <w:rPr>
                <w:b/>
              </w:rPr>
            </w:pPr>
            <w:r>
              <w:rPr>
                <w:b/>
              </w:rPr>
              <w:t>Trading Symbol(s)</w:t>
            </w:r>
          </w:p>
        </w:tc>
        <w:tc>
          <w:tcPr>
            <w:tcW w:w="4459" w:type="dxa"/>
            <w:tcBorders/>
            <w:vAlign w:val="center"/>
          </w:tcPr>
          <w:p>
            <w:pPr>
              <w:pStyle w:val="TableContents"/>
              <w:bidi w:val="0"/>
              <w:spacing w:before="0" w:after="283"/>
              <w:jc w:val="center"/>
              <w:rPr>
                <w:b/>
              </w:rPr>
            </w:pPr>
            <w:r>
              <w:rPr>
                <w:b/>
              </w:rPr>
              <w:t>Name of Each Exchange on Which Registered</w:t>
            </w:r>
          </w:p>
        </w:tc>
      </w:tr>
      <w:tr>
        <w:trPr/>
        <w:tc>
          <w:tcPr>
            <w:tcW w:w="3902" w:type="dxa"/>
            <w:tcBorders/>
            <w:vAlign w:val="center"/>
          </w:tcPr>
          <w:p>
            <w:pPr>
              <w:pStyle w:val="TableContents"/>
              <w:bidi w:val="0"/>
              <w:spacing w:before="0" w:after="283"/>
              <w:jc w:val="center"/>
              <w:rPr/>
            </w:pPr>
            <w:bookmarkStart w:id="18" w:name="xdx_90C_edei--Security12bTitle_c20260706"/>
            <w:bookmarkEnd w:id="18"/>
            <w:r>
              <w:rPr/>
              <w:t>Common Stock, par value $0.001 per share</w:t>
            </w:r>
          </w:p>
        </w:tc>
        <w:tc>
          <w:tcPr>
            <w:tcW w:w="1844" w:type="dxa"/>
            <w:tcBorders/>
            <w:vAlign w:val="center"/>
          </w:tcPr>
          <w:p>
            <w:pPr>
              <w:pStyle w:val="TableContents"/>
              <w:bidi w:val="0"/>
              <w:spacing w:before="0" w:after="283"/>
              <w:jc w:val="center"/>
              <w:rPr/>
            </w:pPr>
            <w:bookmarkStart w:id="19" w:name="xdx_906_edei--TradingSymbol_c20260706__2"/>
            <w:bookmarkEnd w:id="19"/>
            <w:r>
              <w:rPr/>
              <w:t>PFLT</w:t>
            </w:r>
          </w:p>
        </w:tc>
        <w:tc>
          <w:tcPr>
            <w:tcW w:w="4459" w:type="dxa"/>
            <w:tcBorders/>
            <w:vAlign w:val="center"/>
          </w:tcPr>
          <w:p>
            <w:pPr>
              <w:pStyle w:val="TableContents"/>
              <w:bidi w:val="0"/>
              <w:spacing w:before="0" w:after="283"/>
              <w:jc w:val="center"/>
              <w:rPr/>
            </w:pPr>
            <w:bookmarkStart w:id="20" w:name="xdx_909_edei--SecurityExchangeName_c2026"/>
            <w:bookmarkEnd w:id="20"/>
            <w:r>
              <w:rPr/>
              <w:t>NYSE</w:t>
            </w:r>
          </w:p>
        </w:tc>
      </w:tr>
      <w:tr>
        <w:trPr/>
        <w:tc>
          <w:tcPr>
            <w:tcW w:w="3902" w:type="dxa"/>
            <w:tcBorders/>
            <w:vAlign w:val="center"/>
          </w:tcPr>
          <w:p>
            <w:pPr>
              <w:pStyle w:val="TableContents"/>
              <w:bidi w:val="0"/>
              <w:spacing w:before="0" w:after="283"/>
              <w:jc w:val="center"/>
              <w:rPr/>
            </w:pPr>
            <w:bookmarkStart w:id="21" w:name="xdx_90C_edei--Security12bTitle_c20260706"/>
            <w:bookmarkEnd w:id="21"/>
            <w:r>
              <w:rPr/>
              <w:t>7.375% Notes due 2031</w:t>
            </w:r>
          </w:p>
        </w:tc>
        <w:tc>
          <w:tcPr>
            <w:tcW w:w="1844" w:type="dxa"/>
            <w:tcBorders/>
            <w:vAlign w:val="center"/>
          </w:tcPr>
          <w:p>
            <w:pPr>
              <w:pStyle w:val="TableContents"/>
              <w:bidi w:val="0"/>
              <w:spacing w:before="0" w:after="283"/>
              <w:jc w:val="center"/>
              <w:rPr/>
            </w:pPr>
            <w:bookmarkStart w:id="22" w:name="xdx_901_edei--TradingSymbol_c20260706__2"/>
            <w:bookmarkEnd w:id="22"/>
            <w:r>
              <w:rPr/>
              <w:t>PFLA</w:t>
            </w:r>
          </w:p>
        </w:tc>
        <w:tc>
          <w:tcPr>
            <w:tcW w:w="4459" w:type="dxa"/>
            <w:tcBorders/>
            <w:vAlign w:val="center"/>
          </w:tcPr>
          <w:p>
            <w:pPr>
              <w:pStyle w:val="TableContents"/>
              <w:bidi w:val="0"/>
              <w:spacing w:before="0" w:after="283"/>
              <w:jc w:val="center"/>
              <w:rPr/>
            </w:pPr>
            <w:bookmarkStart w:id="23" w:name="xdx_906_edei--SecurityExchangeName_c2026"/>
            <w:bookmarkEnd w:id="23"/>
            <w:r>
              <w:rPr/>
              <w:t xml:space="preserve">NYSE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Indicate by check mark whether the registrant is an emerging growth company as defined in Rule 405 of the Securities Act of 1933 (17 CFR §230.405) or Rule 12b-2 of the Securities Exchange Act of 1934 (17 CFR §240.12b-2). Emerging growth company </w:t>
      </w:r>
      <w:bookmarkStart w:id="24" w:name="xdx_908_edei--EntityEmergingGrowthCompan"/>
      <w:bookmarkEnd w:id="24"/>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rPr>
      </w:pPr>
      <w:r>
        <w:rPr>
          <w:b/>
        </w:rPr>
        <w:t xml:space="preserve">Item 7.01. Regulation FD </w:t>
      </w:r>
      <w:r>
        <w:rPr>
          <w:b/>
          <w:spacing w:val="-2"/>
        </w:rPr>
        <w:t>Disclosure</w:t>
      </w:r>
    </w:p>
    <w:p>
      <w:pPr>
        <w:pStyle w:val="TextBody"/>
        <w:bidi w:val="0"/>
        <w:spacing w:before="0" w:after="0"/>
        <w:ind w:left="0" w:right="0" w:hanging="0"/>
        <w:jc w:val="left"/>
        <w:rPr>
          <w:spacing w:val="-2"/>
        </w:rPr>
      </w:pPr>
      <w:r>
        <w:rPr>
          <w:spacing w:val="-2"/>
        </w:rPr>
        <w:t> </w:t>
      </w:r>
    </w:p>
    <w:p>
      <w:pPr>
        <w:pStyle w:val="TextBody"/>
        <w:bidi w:val="0"/>
        <w:spacing w:before="0" w:after="0"/>
        <w:ind w:left="0" w:right="0" w:hanging="0"/>
        <w:jc w:val="left"/>
        <w:rPr/>
      </w:pPr>
      <w:r>
        <w:rPr/>
        <w:t>On July 6, 2026, PennantPark Floating Rate Capital Ltd. issued a press release announcing its scheduled earnings release for the third fiscal quarter ended June 30, 2026. A copy of the press release is furnished as Exhibit 99.1 to this report, pursuant to Item 7.01 and Regulation FD.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pStyle w:val="TextBody"/>
        <w:bidi w:val="0"/>
        <w:spacing w:before="0" w:after="0"/>
        <w:ind w:left="0" w:right="0" w:hanging="0"/>
        <w:jc w:val="left"/>
        <w:rPr/>
      </w:pPr>
      <w:r>
        <w:rPr/>
        <w:t> </w:t>
      </w:r>
    </w:p>
    <w:p>
      <w:pPr>
        <w:pStyle w:val="TextBody"/>
        <w:bidi w:val="0"/>
        <w:spacing w:before="0" w:after="0"/>
        <w:ind w:left="0" w:right="0" w:hanging="0"/>
        <w:jc w:val="left"/>
        <w:rPr>
          <w:spacing w:val="-2"/>
          <w:sz w:val="20"/>
        </w:rPr>
      </w:pPr>
      <w:r>
        <w:rPr>
          <w:spacing w:val="-2"/>
          <w:sz w:val="20"/>
        </w:rPr>
        <w:t>Forward-Looking Statements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 xml:space="preserve">Item 9.01. Financial Statements and </w:t>
      </w:r>
      <w:r>
        <w:rPr>
          <w:b/>
          <w:spacing w:val="-2"/>
          <w:sz w:val="20"/>
        </w:rPr>
        <w:t>Exhibits</w:t>
      </w:r>
    </w:p>
    <w:p>
      <w:pPr>
        <w:pStyle w:val="TextBody"/>
        <w:bidi w:val="0"/>
        <w:spacing w:before="0" w:after="0"/>
        <w:ind w:left="0" w:right="0" w:hanging="0"/>
        <w:jc w:val="left"/>
        <w:rPr/>
      </w:pPr>
      <w:r>
        <w:rPr/>
        <w:t> </w:t>
      </w:r>
    </w:p>
    <w:tbl>
      <w:tblPr>
        <w:tblW w:w="2490" w:type="dxa"/>
        <w:jc w:val="left"/>
        <w:tblInd w:w="0" w:type="dxa"/>
        <w:tblLayout w:type="fixed"/>
        <w:tblCellMar>
          <w:top w:w="0" w:type="dxa"/>
          <w:left w:w="0" w:type="dxa"/>
          <w:bottom w:w="0" w:type="dxa"/>
          <w:right w:w="0" w:type="dxa"/>
        </w:tblCellMar>
      </w:tblPr>
      <w:tblGrid>
        <w:gridCol w:w="38"/>
        <w:gridCol w:w="290"/>
        <w:gridCol w:w="2162"/>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(a)</w:t>
            </w:r>
          </w:p>
        </w:tc>
        <w:tc>
          <w:tcPr>
            <w:tcW w:w="2162" w:type="dxa"/>
            <w:tcBorders/>
            <w:vAlign w:val="center"/>
          </w:tcPr>
          <w:p>
            <w:pPr>
              <w:pStyle w:val="TableContents"/>
              <w:bidi w:val="0"/>
              <w:spacing w:before="0" w:after="283"/>
              <w:jc w:val="left"/>
              <w:rPr>
                <w:b/>
              </w:rPr>
            </w:pPr>
            <w:r>
              <w:rPr>
                <w:b/>
              </w:rPr>
              <w:t xml:space="preserve">Financial </w:t>
            </w:r>
            <w:r>
              <w:rPr>
                <w:b/>
                <w:spacing w:val="-2"/>
              </w:rPr>
              <w:t>statements:</w:t>
            </w:r>
          </w:p>
        </w:tc>
      </w:tr>
    </w:tbl>
    <w:p>
      <w:pPr>
        <w:pStyle w:val="TextBody"/>
        <w:bidi w:val="0"/>
        <w:spacing w:before="0" w:after="0"/>
        <w:ind w:left="1584" w:right="0" w:hanging="0"/>
        <w:jc w:val="left"/>
        <w:rPr>
          <w:spacing w:val="-4"/>
          <w:sz w:val="20"/>
        </w:rPr>
      </w:pPr>
      <w:r>
        <w:rPr>
          <w:spacing w:val="-4"/>
          <w:sz w:val="20"/>
        </w:rPr>
        <w:t>None</w:t>
      </w:r>
    </w:p>
    <w:tbl>
      <w:tblPr>
        <w:tblW w:w="3373" w:type="dxa"/>
        <w:jc w:val="left"/>
        <w:tblInd w:w="0" w:type="dxa"/>
        <w:tblLayout w:type="fixed"/>
        <w:tblCellMar>
          <w:top w:w="0" w:type="dxa"/>
          <w:left w:w="0" w:type="dxa"/>
          <w:bottom w:w="0" w:type="dxa"/>
          <w:right w:w="0" w:type="dxa"/>
        </w:tblCellMar>
      </w:tblPr>
      <w:tblGrid>
        <w:gridCol w:w="38"/>
        <w:gridCol w:w="290"/>
        <w:gridCol w:w="30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3045" w:type="dxa"/>
            <w:tcBorders/>
            <w:vAlign w:val="center"/>
          </w:tcPr>
          <w:p>
            <w:pPr>
              <w:pStyle w:val="TableContents"/>
              <w:bidi w:val="0"/>
              <w:spacing w:before="0" w:after="283"/>
              <w:jc w:val="left"/>
              <w:rPr/>
            </w:pPr>
            <w:r>
              <w:rPr/>
              <w:t xml:space="preserve">Pro forma financial </w:t>
            </w:r>
            <w:r>
              <w:rPr>
                <w:spacing w:val="-2"/>
              </w:rPr>
              <w:t>information:</w:t>
            </w:r>
          </w:p>
        </w:tc>
      </w:tr>
    </w:tbl>
    <w:p>
      <w:pPr>
        <w:pStyle w:val="TextBody"/>
        <w:bidi w:val="0"/>
        <w:spacing w:before="0" w:after="0"/>
        <w:ind w:left="1584" w:right="0" w:hanging="0"/>
        <w:jc w:val="left"/>
        <w:rPr>
          <w:spacing w:val="-4"/>
          <w:sz w:val="20"/>
        </w:rPr>
      </w:pPr>
      <w:r>
        <w:rPr>
          <w:spacing w:val="-4"/>
          <w:sz w:val="20"/>
        </w:rPr>
        <w:t>None</w:t>
      </w:r>
    </w:p>
    <w:tbl>
      <w:tblPr>
        <w:tblW w:w="2966" w:type="dxa"/>
        <w:jc w:val="left"/>
        <w:tblInd w:w="0" w:type="dxa"/>
        <w:tblLayout w:type="fixed"/>
        <w:tblCellMar>
          <w:top w:w="0" w:type="dxa"/>
          <w:left w:w="0" w:type="dxa"/>
          <w:bottom w:w="0" w:type="dxa"/>
          <w:right w:w="0" w:type="dxa"/>
        </w:tblCellMar>
      </w:tblPr>
      <w:tblGrid>
        <w:gridCol w:w="38"/>
        <w:gridCol w:w="275"/>
        <w:gridCol w:w="2653"/>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2653" w:type="dxa"/>
            <w:tcBorders/>
            <w:vAlign w:val="center"/>
          </w:tcPr>
          <w:p>
            <w:pPr>
              <w:pStyle w:val="TableContents"/>
              <w:bidi w:val="0"/>
              <w:spacing w:before="0" w:after="283"/>
              <w:jc w:val="left"/>
              <w:rPr/>
            </w:pPr>
            <w:r>
              <w:rPr/>
              <w:t xml:space="preserve">Shell company </w:t>
            </w:r>
            <w:r>
              <w:rPr>
                <w:spacing w:val="-2"/>
              </w:rPr>
              <w:t>transactions:</w:t>
            </w:r>
          </w:p>
        </w:tc>
      </w:tr>
    </w:tbl>
    <w:p>
      <w:pPr>
        <w:pStyle w:val="TextBody"/>
        <w:bidi w:val="0"/>
        <w:spacing w:before="0" w:after="0"/>
        <w:ind w:left="1584" w:right="0" w:hanging="0"/>
        <w:jc w:val="left"/>
        <w:rPr>
          <w:spacing w:val="-4"/>
          <w:sz w:val="20"/>
        </w:rPr>
      </w:pPr>
      <w:r>
        <w:rPr>
          <w:spacing w:val="-4"/>
          <w:sz w:val="20"/>
        </w:rPr>
        <w:t>None</w:t>
      </w:r>
    </w:p>
    <w:tbl>
      <w:tblPr>
        <w:tblW w:w="1129" w:type="dxa"/>
        <w:jc w:val="left"/>
        <w:tblInd w:w="0" w:type="dxa"/>
        <w:tblLayout w:type="fixed"/>
        <w:tblCellMar>
          <w:top w:w="0" w:type="dxa"/>
          <w:left w:w="0" w:type="dxa"/>
          <w:bottom w:w="0" w:type="dxa"/>
          <w:right w:w="0" w:type="dxa"/>
        </w:tblCellMar>
      </w:tblPr>
      <w:tblGrid>
        <w:gridCol w:w="38"/>
        <w:gridCol w:w="290"/>
        <w:gridCol w:w="801"/>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01" w:type="dxa"/>
            <w:tcBorders/>
            <w:vAlign w:val="center"/>
          </w:tcPr>
          <w:p>
            <w:pPr>
              <w:pStyle w:val="TableContents"/>
              <w:bidi w:val="0"/>
              <w:spacing w:before="0" w:after="283"/>
              <w:jc w:val="left"/>
              <w:rPr>
                <w:spacing w:val="-2"/>
              </w:rPr>
            </w:pPr>
            <w:r>
              <w:rPr>
                <w:spacing w:val="-2"/>
              </w:rPr>
              <w:t>Exhibits</w:t>
            </w:r>
          </w:p>
        </w:tc>
      </w:tr>
    </w:tbl>
    <w:p>
      <w:pPr>
        <w:pStyle w:val="TextBody"/>
        <w:bidi w:val="0"/>
        <w:spacing w:before="0" w:after="0"/>
        <w:ind w:left="1584" w:right="0" w:hanging="0"/>
        <w:jc w:val="left"/>
        <w:rPr/>
      </w:pPr>
      <w:hyperlink w:anchor="exh_991.htm">
        <w:r>
          <w:rPr>
            <w:rStyle w:val="InternetLink"/>
            <w:spacing w:val="-4"/>
            <w:sz w:val="20"/>
          </w:rPr>
          <w:t>99.1</w:t>
        </w:r>
      </w:hyperlink>
      <w:r>
        <w:rPr>
          <w:spacing w:val="-4"/>
          <w:sz w:val="20"/>
        </w:rPr>
        <w:t>             </w:t>
      </w:r>
      <w:hyperlink w:anchor="exh_991.htm">
        <w:r>
          <w:rPr>
            <w:rStyle w:val="InternetLink"/>
            <w:spacing w:val="-4"/>
            <w:sz w:val="20"/>
          </w:rPr>
          <w:t>Press Release of PennantPark Floating Rate Capital Ltd. dated July 6, 2026</w:t>
        </w:r>
      </w:hyperlink>
    </w:p>
    <w:p>
      <w:pPr>
        <w:pStyle w:val="TextBody"/>
        <w:bidi w:val="0"/>
        <w:spacing w:before="0" w:after="0"/>
        <w:ind w:left="1584" w:right="0" w:hanging="0"/>
        <w:jc w:val="left"/>
        <w:rPr>
          <w:spacing w:val="-5"/>
          <w:sz w:val="20"/>
        </w:rPr>
      </w:pPr>
      <w:r>
        <w:rPr>
          <w:spacing w:val="-5"/>
          <w:sz w:val="20"/>
        </w:rPr>
        <w:t>104              Cover Page Interactive Data File (embedded within the Inline XBRL document)</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266" w:right="267" w:hanging="0"/>
        <w:jc w:val="center"/>
        <w:rPr>
          <w:b/>
          <w:spacing w:val="-2"/>
          <w:sz w:val="20"/>
        </w:rPr>
      </w:pPr>
      <w:r>
        <w:rPr>
          <w:b/>
          <w:spacing w:val="-2"/>
          <w:sz w:val="20"/>
        </w:rPr>
        <w:t>SIGNATURE</w:t>
      </w:r>
    </w:p>
    <w:p>
      <w:pPr>
        <w:pStyle w:val="TextBody"/>
        <w:bidi w:val="0"/>
        <w:spacing w:before="0" w:after="0"/>
        <w:ind w:left="720" w:right="447" w:firstLine="391"/>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7719" w:type="dxa"/>
        <w:jc w:val="left"/>
        <w:tblInd w:w="0" w:type="dxa"/>
        <w:tblLayout w:type="fixed"/>
        <w:tblCellMar>
          <w:top w:w="0" w:type="dxa"/>
          <w:left w:w="0" w:type="dxa"/>
          <w:bottom w:w="0" w:type="dxa"/>
          <w:right w:w="0" w:type="dxa"/>
        </w:tblCellMar>
      </w:tblPr>
      <w:tblGrid>
        <w:gridCol w:w="1895"/>
        <w:gridCol w:w="554"/>
        <w:gridCol w:w="5270"/>
      </w:tblGrid>
      <w:tr>
        <w:trPr/>
        <w:tc>
          <w:tcPr>
            <w:tcW w:w="1895" w:type="dxa"/>
            <w:tcBorders/>
            <w:vAlign w:val="center"/>
          </w:tcPr>
          <w:p>
            <w:pPr>
              <w:pStyle w:val="TableContents"/>
              <w:bidi w:val="0"/>
              <w:spacing w:before="0" w:after="283"/>
              <w:jc w:val="left"/>
              <w:rPr/>
            </w:pPr>
            <w:r>
              <w:rPr/>
              <w:t> </w:t>
            </w:r>
          </w:p>
        </w:tc>
        <w:tc>
          <w:tcPr>
            <w:tcW w:w="5824" w:type="dxa"/>
            <w:gridSpan w:val="2"/>
            <w:tcBorders/>
            <w:vAlign w:val="center"/>
          </w:tcPr>
          <w:p>
            <w:pPr>
              <w:pStyle w:val="TableContents"/>
              <w:bidi w:val="0"/>
              <w:spacing w:before="0" w:after="283"/>
              <w:jc w:val="left"/>
              <w:rPr>
                <w:b/>
              </w:rPr>
            </w:pPr>
            <w:r>
              <w:rPr>
                <w:b/>
              </w:rPr>
              <w:t>PENNANTPARK FLOATING RATE CAPITAL LTD.</w:t>
            </w:r>
          </w:p>
        </w:tc>
      </w:tr>
      <w:tr>
        <w:trPr/>
        <w:tc>
          <w:tcPr>
            <w:tcW w:w="1895" w:type="dxa"/>
            <w:tcBorders/>
            <w:vAlign w:val="center"/>
          </w:tcPr>
          <w:p>
            <w:pPr>
              <w:pStyle w:val="TableContents"/>
              <w:bidi w:val="0"/>
              <w:spacing w:before="0" w:after="283"/>
              <w:jc w:val="left"/>
              <w:rPr/>
            </w:pPr>
            <w:r>
              <w:rPr/>
              <w:t>Dated: July 6, 2026</w:t>
            </w:r>
          </w:p>
        </w:tc>
        <w:tc>
          <w:tcPr>
            <w:tcW w:w="5824"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left"/>
              <w:rPr/>
            </w:pPr>
            <w:r>
              <w:rPr/>
              <w:t>By:</w:t>
            </w:r>
          </w:p>
        </w:tc>
        <w:tc>
          <w:tcPr>
            <w:tcW w:w="5270" w:type="dxa"/>
            <w:tcBorders/>
            <w:vAlign w:val="center"/>
          </w:tcPr>
          <w:p>
            <w:pPr>
              <w:pStyle w:val="TableContents"/>
              <w:bidi w:val="0"/>
              <w:spacing w:before="0" w:after="283"/>
              <w:jc w:val="left"/>
              <w:rPr>
                <w:u w:val="single"/>
              </w:rPr>
            </w:pPr>
            <w:r>
              <w:rPr>
                <w:u w:val="single"/>
              </w:rPr>
              <w:t xml:space="preserve">/s/ Richard T. Allorto, </w:t>
            </w:r>
            <w:r>
              <w:rPr>
                <w:spacing w:val="-5"/>
                <w:u w:val="single"/>
              </w:rPr>
              <w:t>Jr.</w:t>
            </w:r>
          </w:p>
        </w:tc>
      </w:tr>
      <w:tr>
        <w:trPr/>
        <w:tc>
          <w:tcPr>
            <w:tcW w:w="1895"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xml:space="preserve">Richard T. Allorto, </w:t>
            </w:r>
            <w:r>
              <w:rPr>
                <w:spacing w:val="-5"/>
              </w:rPr>
              <w:t>Jr.</w:t>
            </w:r>
          </w:p>
        </w:tc>
      </w:tr>
      <w:tr>
        <w:trPr/>
        <w:tc>
          <w:tcPr>
            <w:tcW w:w="1895"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i/>
              </w:rPr>
            </w:pPr>
            <w:r>
              <w:rPr>
                <w:i/>
              </w:rPr>
              <w:t xml:space="preserve">Chief Financial Officer &amp; </w:t>
            </w:r>
            <w:r>
              <w:rPr>
                <w:i/>
                <w:spacing w:val="-2"/>
              </w:rPr>
              <w:t>Treasurer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b/>
          <w:sz w:val="20"/>
        </w:rPr>
      </w:pPr>
      <w:r>
        <w:rPr>
          <w:b/>
          <w:sz w:val="20"/>
        </w:rPr>
        <w:t xml:space="preserve">Exhibit </w:t>
      </w:r>
      <w:r>
        <w:rPr>
          <w:b/>
          <w:spacing w:val="-2"/>
          <w:sz w:val="20"/>
        </w:rPr>
        <w:t>Index</w:t>
      </w:r>
    </w:p>
    <w:p>
      <w:pPr>
        <w:pStyle w:val="TextBody"/>
        <w:bidi w:val="0"/>
        <w:spacing w:before="0" w:after="0"/>
        <w:ind w:left="0" w:right="0" w:hanging="0"/>
        <w:jc w:val="left"/>
        <w:rPr/>
      </w:pPr>
      <w:r>
        <w:rPr/>
        <w:t> </w:t>
      </w:r>
    </w:p>
    <w:tbl>
      <w:tblPr>
        <w:tblW w:w="7470" w:type="dxa"/>
        <w:jc w:val="left"/>
        <w:tblInd w:w="0" w:type="dxa"/>
        <w:tblLayout w:type="fixed"/>
        <w:tblCellMar>
          <w:top w:w="0" w:type="dxa"/>
          <w:left w:w="0" w:type="dxa"/>
          <w:bottom w:w="0" w:type="dxa"/>
          <w:right w:w="0" w:type="dxa"/>
        </w:tblCellMar>
      </w:tblPr>
      <w:tblGrid>
        <w:gridCol w:w="985"/>
        <w:gridCol w:w="6485"/>
      </w:tblGrid>
      <w:tr>
        <w:trPr/>
        <w:tc>
          <w:tcPr>
            <w:tcW w:w="985" w:type="dxa"/>
            <w:tcBorders/>
            <w:vAlign w:val="center"/>
          </w:tcPr>
          <w:p>
            <w:pPr>
              <w:pStyle w:val="TableContents"/>
              <w:bidi w:val="0"/>
              <w:spacing w:before="0" w:after="283"/>
              <w:jc w:val="center"/>
              <w:rPr>
                <w:b/>
                <w:sz w:val="20"/>
                <w:u w:val="single"/>
              </w:rPr>
            </w:pPr>
            <w:r>
              <w:rPr>
                <w:b/>
                <w:sz w:val="20"/>
                <w:u w:val="single"/>
              </w:rPr>
              <w:t xml:space="preserve">Exhibit </w:t>
            </w:r>
            <w:r>
              <w:rPr>
                <w:b/>
                <w:spacing w:val="-5"/>
                <w:sz w:val="20"/>
                <w:u w:val="single"/>
              </w:rPr>
              <w:t>No.</w:t>
            </w:r>
          </w:p>
        </w:tc>
        <w:tc>
          <w:tcPr>
            <w:tcW w:w="6485" w:type="dxa"/>
            <w:tcBorders/>
            <w:vAlign w:val="center"/>
          </w:tcPr>
          <w:p>
            <w:pPr>
              <w:pStyle w:val="TableContents"/>
              <w:bidi w:val="0"/>
              <w:spacing w:before="0" w:after="283"/>
              <w:jc w:val="center"/>
              <w:rPr>
                <w:b/>
                <w:spacing w:val="-2"/>
                <w:sz w:val="20"/>
                <w:u w:val="single"/>
              </w:rPr>
            </w:pPr>
            <w:r>
              <w:rPr>
                <w:b/>
                <w:spacing w:val="-2"/>
                <w:sz w:val="20"/>
                <w:u w:val="single"/>
              </w:rPr>
              <w:t>Description</w:t>
            </w:r>
          </w:p>
        </w:tc>
      </w:tr>
      <w:tr>
        <w:trPr/>
        <w:tc>
          <w:tcPr>
            <w:tcW w:w="985" w:type="dxa"/>
            <w:tcBorders/>
            <w:vAlign w:val="center"/>
          </w:tcPr>
          <w:p>
            <w:pPr>
              <w:pStyle w:val="TableContents"/>
              <w:bidi w:val="0"/>
              <w:spacing w:before="0" w:after="283"/>
              <w:jc w:val="center"/>
              <w:rPr/>
            </w:pPr>
            <w:hyperlink w:anchor="exh_991.htm">
              <w:r>
                <w:rPr>
                  <w:rStyle w:val="InternetLink"/>
                  <w:sz w:val="20"/>
                </w:rPr>
                <w:t>99.1</w:t>
              </w:r>
            </w:hyperlink>
          </w:p>
        </w:tc>
        <w:tc>
          <w:tcPr>
            <w:tcW w:w="6485" w:type="dxa"/>
            <w:tcBorders/>
            <w:vAlign w:val="center"/>
          </w:tcPr>
          <w:p>
            <w:pPr>
              <w:pStyle w:val="TableContents"/>
              <w:bidi w:val="0"/>
              <w:spacing w:before="0" w:after="283"/>
              <w:jc w:val="center"/>
              <w:rPr/>
            </w:pPr>
            <w:hyperlink w:anchor="exh_991.htm">
              <w:r>
                <w:rPr>
                  <w:rStyle w:val="InternetLink"/>
                  <w:sz w:val="20"/>
                </w:rPr>
                <w:t>Press Release of PennantPark Floating Rate Capital Ltd. dated July 6, 2026</w:t>
              </w:r>
            </w:hyperlink>
          </w:p>
        </w:tc>
      </w:tr>
      <w:tr>
        <w:trPr/>
        <w:tc>
          <w:tcPr>
            <w:tcW w:w="985" w:type="dxa"/>
            <w:tcBorders/>
            <w:vAlign w:val="center"/>
          </w:tcPr>
          <w:p>
            <w:pPr>
              <w:pStyle w:val="TableContents"/>
              <w:bidi w:val="0"/>
              <w:spacing w:before="0" w:after="283"/>
              <w:jc w:val="center"/>
              <w:rPr>
                <w:sz w:val="20"/>
              </w:rPr>
            </w:pPr>
            <w:r>
              <w:rPr>
                <w:sz w:val="20"/>
              </w:rPr>
              <w:t>104</w:t>
            </w:r>
          </w:p>
        </w:tc>
        <w:tc>
          <w:tcPr>
            <w:tcW w:w="6485" w:type="dxa"/>
            <w:tcBorders/>
            <w:vAlign w:val="center"/>
          </w:tcPr>
          <w:p>
            <w:pPr>
              <w:pStyle w:val="TableContents"/>
              <w:bidi w:val="0"/>
              <w:spacing w:before="0" w:after="283"/>
              <w:jc w:val="center"/>
              <w:rPr>
                <w:sz w:val="20"/>
              </w:rPr>
            </w:pPr>
            <w:r>
              <w:rPr>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right"/>
        <w:rPr/>
      </w:pPr>
      <w:bookmarkStart w:id="25" w:name="exh_991.htm"/>
      <w:bookmarkStart w:id="26" w:name="ksexh_991"/>
      <w:bookmarkEnd w:id="25"/>
      <w:bookmarkEnd w:id="26"/>
      <w:r>
        <w:rPr>
          <w:rStyle w:val="StrongEmphasis"/>
          <w:sz w:val="20"/>
        </w:rPr>
        <w:t>EXHIBIT 99.1</w:t>
      </w:r>
      <w:r>
        <w:br w:type="page"/>
      </w:r>
    </w:p>
    <w:p>
      <w:pPr>
        <w:pStyle w:val="TextBody"/>
        <w:bidi w:val="0"/>
        <w:jc w:val="center"/>
        <w:rPr/>
      </w:pPr>
      <w:r>
        <w:rPr>
          <w:rStyle w:val="StrongEmphasis"/>
          <w:sz w:val="20"/>
        </w:rPr>
        <w:t>PennantPark Floating Rate Capital Ltd. Schedules Earnings Release of Third Fiscal Quarter 2026 Results</w:t>
      </w:r>
    </w:p>
    <w:p>
      <w:pPr>
        <w:pStyle w:val="TextBody"/>
        <w:bidi w:val="0"/>
        <w:jc w:val="both"/>
        <w:rPr>
          <w:sz w:val="20"/>
        </w:rPr>
      </w:pPr>
      <w:r>
        <w:rPr>
          <w:sz w:val="20"/>
        </w:rPr>
        <w:t>MIAMI, July 06, 2026 (GLOBE NEWSWIRE) -- PennantPark Floating Rate Capital Ltd. (the "Company") (NYSE: PFLT) announced that it will report results for the third fiscal quarter ended June 30, 2026 on Monday, August 10, 2026 after the close of the financial markets.</w:t>
      </w:r>
    </w:p>
    <w:p>
      <w:pPr>
        <w:pStyle w:val="TextBody"/>
        <w:bidi w:val="0"/>
        <w:jc w:val="both"/>
        <w:rPr>
          <w:sz w:val="20"/>
        </w:rPr>
      </w:pPr>
      <w:r>
        <w:rPr>
          <w:sz w:val="20"/>
        </w:rPr>
        <w:t>The Company will also host a conference call at 9:00 a.m. (Eastern Time) on Tuesday, August 11, 2026 to discuss its financial results. All interested parties are welcome to participate. You can access the conference call by dialing toll-free (800) 330-6710 approximately 5-10 minutes prior to the call. International callers should dial (646) 769-9200. All callers should reference conference ID #2261035 or PennantPark Floating Rate Capital Ltd. An archived replay will also be available on a webcast link located on the Quarterly Earnings page in the Investor section of PennantPark’s website.</w:t>
      </w:r>
    </w:p>
    <w:p>
      <w:pPr>
        <w:pStyle w:val="TextBody"/>
        <w:bidi w:val="0"/>
        <w:jc w:val="left"/>
        <w:rPr>
          <w:sz w:val="20"/>
        </w:rPr>
      </w:pPr>
      <w:r>
        <w:rPr>
          <w:sz w:val="20"/>
        </w:rPr>
        <w:t>ABOUT PENNANTPARK FLOATING RATE CAPITAL LTD.</w:t>
      </w:r>
    </w:p>
    <w:p>
      <w:pPr>
        <w:pStyle w:val="TextBody"/>
        <w:bidi w:val="0"/>
        <w:jc w:val="both"/>
        <w:rPr>
          <w:sz w:val="20"/>
        </w:rPr>
      </w:pPr>
      <w:r>
        <w:rPr>
          <w:sz w:val="20"/>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jc w:val="left"/>
        <w:rPr>
          <w:sz w:val="20"/>
        </w:rPr>
      </w:pPr>
      <w:r>
        <w:rPr>
          <w:sz w:val="20"/>
        </w:rPr>
        <w:t>ABOUT PENNANTPARK INVESTMENT ADVISERS, LLC</w:t>
      </w:r>
    </w:p>
    <w:p>
      <w:pPr>
        <w:pStyle w:val="TextBody"/>
        <w:bidi w:val="0"/>
        <w:jc w:val="both"/>
        <w:rPr>
          <w:sz w:val="20"/>
        </w:rPr>
      </w:pPr>
      <w:r>
        <w:rPr>
          <w:sz w:val="20"/>
        </w:rPr>
        <w:t>PennantPark Investment Advisers, LLC is a leading middle market credit platform, and its affiliates, manage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pStyle w:val="TextBody"/>
        <w:bidi w:val="0"/>
        <w:jc w:val="left"/>
        <w:rPr>
          <w:sz w:val="20"/>
        </w:rPr>
      </w:pPr>
      <w:r>
        <w:rPr>
          <w:sz w:val="20"/>
        </w:rPr>
        <w:t>FORWARD-LOOKING STATEMENTS</w:t>
      </w:r>
    </w:p>
    <w:p>
      <w:pPr>
        <w:pStyle w:val="TextBody"/>
        <w:bidi w:val="0"/>
        <w:jc w:val="left"/>
        <w:rPr>
          <w:sz w:val="20"/>
        </w:rPr>
      </w:pPr>
      <w:r>
        <w:rPr>
          <w:sz w:val="20"/>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left"/>
        <w:rPr>
          <w:sz w:val="20"/>
        </w:rPr>
      </w:pPr>
      <w:r>
        <w:rPr>
          <w:sz w:val="20"/>
        </w:rPr>
        <w:t>CONTACT:</w:t>
      </w:r>
    </w:p>
    <w:p>
      <w:pPr>
        <w:pStyle w:val="TextBody"/>
        <w:bidi w:val="0"/>
        <w:spacing w:before="0" w:after="283"/>
        <w:jc w:val="both"/>
        <w:rPr>
          <w:sz w:val="20"/>
        </w:rPr>
      </w:pPr>
      <w:r>
        <w:rPr>
          <w:sz w:val="20"/>
        </w:rPr>
        <w:t>Richard T. Allorto, Jr.</w:t>
        <w:br/>
        <w:t>PennantPark Floating Rate Capital Ltd.</w:t>
        <w:br/>
        <w:t>(212) 905-1000</w:t>
        <w:br/>
        <w:t>www.pennantpark.com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1188</Words>
  <Characters>6675</Characters>
  <CharactersWithSpaces>7881</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