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27,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September 2, 2025, PennantPark Floating Rate Capital Ltd. (“PFLT”) issued a press release announcing that last week, it acquired through a series of transactions a portfolio of approximately $250 million of assets, including from TSO Puma SPV, LLC, an affiliate of Towerbrook Capital Partners. This portfolio was distributed in connection with the winding down of PennantPark-TSO Senior Loan Fund, LP, an unconsolidated limited partnership. The average spread and credit statistics are generally in-line with PFLT’s existing portfolio. PFLT acquired these assets at their most recently determined fair market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920" w:right="9260" w:hanging="912"/>
        <w:spacing w:after="0" w:line="278" w:lineRule="auto"/>
        <w:tabs>
          <w:tab w:leader="none" w:pos="348"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spacing w:after="0" w:line="1" w:lineRule="exact"/>
        <w:rPr>
          <w:rFonts w:ascii="Times New Roman" w:cs="Times New Roman" w:eastAsia="Times New Roman" w:hAnsi="Times New Roman"/>
          <w:sz w:val="17"/>
          <w:szCs w:val="17"/>
          <w:b w:val="1"/>
          <w:bCs w:val="1"/>
          <w:color w:val="auto"/>
        </w:rPr>
      </w:pPr>
    </w:p>
    <w:p>
      <w:pPr>
        <w:ind w:left="920" w:right="8360" w:hanging="912"/>
        <w:spacing w:after="0" w:line="250" w:lineRule="auto"/>
        <w:tabs>
          <w:tab w:leader="none" w:pos="34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920" w:right="8720" w:hanging="912"/>
        <w:spacing w:after="0" w:line="250" w:lineRule="auto"/>
        <w:tabs>
          <w:tab w:leader="none" w:pos="34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EE"/>
        </w:rPr>
        <w:t>99.1 Press Release of PennantPark Floating Rate Capital Ltd. Dated September 2, 2025</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 2025</w:t>
            </w: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Acquisition of $250 Million Asset Portfolio</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MIAMI, Sept. 02, 2025 (GLOBE NEWSWIRE) -- PennantPark Floating Rate Capital Ltd. (the “Company”) (NYSE: PFLT) today announced that it has acquired a portfolio of approximately $250 million of assets, including from TSO Puma SPV, LLC, an affiliate of Towerbrook Capital Partners. This portfolio was distributed in connection with the winding down of PennantPark-TSO Senior Loan Fund, LP, an unconsolidated limited partnership, and include assets with which the Company’s investment adviser is familiar. The average spread and credit statistics are generally in-line with PFLT’s existing portfolio. The Company acquired these assets at their most recent fair market value.</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pleased to add quality assets that we know well to the PFLT portfolio,” said Art Penn, Chairman and CEO. “We believe that this will help optimize our portfolio and will be accretive to net investment income by approximately two cents per share per quarter.”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PennantPark Investment Advisers, LLC is a leading middle market credit platform, managing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2025-09-02T15:23:26Z</dcterms:created>
  <dcterms:modified xsi:type="dcterms:W3CDTF">2025-09-02T15:23:26Z</dcterms:modified>
</cp:coreProperties>
</file>