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01,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20"/>
        <w:spacing w:after="0" w:line="250" w:lineRule="auto"/>
        <w:rPr>
          <w:sz w:val="20"/>
          <w:szCs w:val="20"/>
          <w:color w:val="auto"/>
        </w:rPr>
      </w:pPr>
      <w:r>
        <w:rPr>
          <w:rFonts w:ascii="Arial" w:cs="Arial" w:eastAsia="Arial" w:hAnsi="Arial"/>
          <w:sz w:val="22"/>
          <w:szCs w:val="22"/>
          <w:color w:val="auto"/>
        </w:rPr>
        <w:t>On May 1, 2013, PennantPark Floating Rate Capital Ltd. issued a press release announcing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01, 2013</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01,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$0.0875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 - May 01, 2013) - PennantPark Floating Rate Capital Ltd. (the "Company") (NASDAQ: PFLT) declares its monthly distribution for May 2013 of $0.0875 per share, payable on June 3, 2013 to stockholders of record as of May 20,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0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2020-05-05T12:04:17Z</dcterms:created>
  <dcterms:modified xsi:type="dcterms:W3CDTF">2020-05-05T12:04:17Z</dcterms:modified>
</cp:coreProperties>
</file>