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January 04, 2017</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00"/>
        <w:spacing w:after="0" w:line="250" w:lineRule="auto"/>
        <w:rPr>
          <w:sz w:val="20"/>
          <w:szCs w:val="20"/>
          <w:color w:val="auto"/>
        </w:rPr>
      </w:pPr>
      <w:r>
        <w:rPr>
          <w:rFonts w:ascii="Arial" w:cs="Arial" w:eastAsia="Arial" w:hAnsi="Arial"/>
          <w:sz w:val="22"/>
          <w:szCs w:val="22"/>
          <w:color w:val="auto"/>
        </w:rPr>
        <w:t>On January 4, 2017,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49" w:lineRule="auto"/>
        <w:rPr>
          <w:sz w:val="20"/>
          <w:szCs w:val="20"/>
          <w:color w:val="auto"/>
        </w:rPr>
      </w:pPr>
      <w:r>
        <w:rPr>
          <w:rFonts w:ascii="Arial" w:cs="Arial" w:eastAsia="Arial" w:hAnsi="Arial"/>
          <w:sz w:val="21"/>
          <w:szCs w:val="21"/>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January 04,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60" w:type="dxa"/>
            <w:vAlign w:val="bottom"/>
          </w:tcPr>
          <w:p>
            <w:pPr>
              <w:spacing w:after="0"/>
              <w:rPr>
                <w:sz w:val="20"/>
                <w:szCs w:val="20"/>
                <w:color w:val="auto"/>
              </w:rPr>
            </w:pPr>
            <w:r>
              <w:rPr>
                <w:rFonts w:ascii="Arial" w:cs="Arial" w:eastAsia="Arial" w:hAnsi="Arial"/>
                <w:sz w:val="22"/>
                <w:szCs w:val="22"/>
                <w:color w:val="auto"/>
              </w:rPr>
              <w:t>Dated: January 04, 2017</w:t>
            </w:r>
          </w:p>
        </w:tc>
        <w:tc>
          <w:tcPr>
            <w:tcW w:w="6760" w:type="dxa"/>
            <w:vAlign w:val="bottom"/>
            <w:gridSpan w:val="3"/>
          </w:tcPr>
          <w:p>
            <w:pPr>
              <w:ind w:left="176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60" w:type="dxa"/>
            <w:vAlign w:val="bottom"/>
          </w:tcPr>
          <w:p>
            <w:pPr>
              <w:spacing w:after="0"/>
              <w:rPr>
                <w:sz w:val="24"/>
                <w:szCs w:val="24"/>
                <w:color w:val="auto"/>
              </w:rPr>
            </w:pPr>
          </w:p>
        </w:tc>
        <w:tc>
          <w:tcPr>
            <w:tcW w:w="6760" w:type="dxa"/>
            <w:vAlign w:val="bottom"/>
            <w:gridSpan w:val="3"/>
          </w:tcPr>
          <w:p>
            <w:pPr>
              <w:ind w:left="1760"/>
              <w:spacing w:after="0"/>
              <w:rPr>
                <w:sz w:val="20"/>
                <w:szCs w:val="20"/>
                <w:color w:val="auto"/>
              </w:rPr>
            </w:pPr>
            <w:r>
              <w:rPr>
                <w:rFonts w:ascii="Arial" w:cs="Arial" w:eastAsia="Arial" w:hAnsi="Arial"/>
                <w:sz w:val="22"/>
                <w:szCs w:val="22"/>
                <w:color w:val="auto"/>
              </w:rPr>
              <w:t>By: /s/ Aviv Efrat</w:t>
            </w:r>
          </w:p>
        </w:tc>
      </w:tr>
      <w:tr>
        <w:trPr>
          <w:trHeight w:val="20"/>
        </w:trPr>
        <w:tc>
          <w:tcPr>
            <w:tcW w:w="3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60" w:type="dxa"/>
            <w:vAlign w:val="bottom"/>
          </w:tcPr>
          <w:p>
            <w:pPr>
              <w:spacing w:after="0"/>
              <w:rPr>
                <w:sz w:val="21"/>
                <w:szCs w:val="21"/>
                <w:color w:val="auto"/>
              </w:rPr>
            </w:pPr>
          </w:p>
        </w:tc>
        <w:tc>
          <w:tcPr>
            <w:tcW w:w="6760" w:type="dxa"/>
            <w:vAlign w:val="bottom"/>
            <w:gridSpan w:val="3"/>
          </w:tcPr>
          <w:p>
            <w:pPr>
              <w:ind w:left="20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60" w:type="dxa"/>
            <w:vAlign w:val="bottom"/>
          </w:tcPr>
          <w:p>
            <w:pPr>
              <w:spacing w:after="0"/>
              <w:rPr>
                <w:sz w:val="23"/>
                <w:szCs w:val="23"/>
                <w:color w:val="auto"/>
              </w:rPr>
            </w:pPr>
          </w:p>
        </w:tc>
        <w:tc>
          <w:tcPr>
            <w:tcW w:w="6760" w:type="dxa"/>
            <w:vAlign w:val="bottom"/>
            <w:gridSpan w:val="3"/>
          </w:tcPr>
          <w:p>
            <w:pPr>
              <w:ind w:left="20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7"/>
              </w:rPr>
              <w:t>January 04, 2017</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NEW YORK, NY -- (Marketwired - January 04, 2017) - PennantPark Floating Rate Capital Ltd. (the "Company") (NASDAQ: PFLT) declares monthly distribution for January 2017 of $0.095 per share, payable on February 1, 2017 to stockholders of record as of January 20, 2017.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4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2020-05-05T12:04:49Z</dcterms:created>
  <dcterms:modified xsi:type="dcterms:W3CDTF">2020-05-05T12:04:49Z</dcterms:modified>
</cp:coreProperties>
</file>