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Washington, D.C. 20549</w:t>
      </w:r>
    </w:p>
    <w:p>
      <w:pPr>
        <w:spacing w:after="0" w:line="10"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FORM 8-K</w:t>
      </w:r>
    </w:p>
    <w:p>
      <w:pPr>
        <w:spacing w:after="0" w:line="38"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3"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jc w:val="center"/>
        <w:ind w:right="-15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4"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Report (Date of earliest event Reported): March 2, 2021</w:t>
      </w:r>
    </w:p>
    <w:p>
      <w:pPr>
        <w:spacing w:after="0" w:line="212"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PennantPark Floating Rate Capital Ltd.</w:t>
      </w:r>
    </w:p>
    <w:p>
      <w:pPr>
        <w:spacing w:after="0" w:line="1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(Exact Name of Registrant as Specified in Charter)</w:t>
      </w:r>
    </w:p>
    <w:p>
      <w:pPr>
        <w:sectPr>
          <w:pgSz w:w="11900" w:h="16838" w:orient="portrait"/>
          <w:cols w:equalWidth="0" w:num="1">
            <w:col w:w="11100"/>
          </w:cols>
          <w:pgMar w:left="320" w:top="724" w:right="479" w:bottom="1440" w:gutter="0" w:footer="0" w:header="0"/>
        </w:sectPr>
      </w:pPr>
    </w:p>
    <w:p>
      <w:pPr>
        <w:spacing w:after="0" w:line="205"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Maryland</w:t>
      </w:r>
    </w:p>
    <w:p>
      <w:pPr>
        <w:spacing w:after="0" w:line="27" w:lineRule="exact"/>
        <w:rPr>
          <w:sz w:val="24"/>
          <w:szCs w:val="24"/>
          <w:color w:val="auto"/>
        </w:rPr>
      </w:pPr>
    </w:p>
    <w:p>
      <w:pPr>
        <w:jc w:val="center"/>
        <w:ind w:right="20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80"/>
        <w:spacing w:after="0"/>
        <w:rPr>
          <w:sz w:val="20"/>
          <w:szCs w:val="20"/>
          <w:color w:val="auto"/>
        </w:rPr>
      </w:pPr>
      <w:r>
        <w:rPr>
          <w:rFonts w:ascii="Arial" w:cs="Arial" w:eastAsia="Arial" w:hAnsi="Arial"/>
          <w:sz w:val="18"/>
          <w:szCs w:val="18"/>
          <w:b w:val="1"/>
          <w:bCs w:val="1"/>
          <w:color w:val="auto"/>
        </w:rPr>
        <w:t>814-00891</w:t>
      </w:r>
    </w:p>
    <w:p>
      <w:pPr>
        <w:spacing w:after="0" w:line="27" w:lineRule="exact"/>
        <w:rPr>
          <w:sz w:val="24"/>
          <w:szCs w:val="24"/>
          <w:color w:val="auto"/>
        </w:rPr>
      </w:pPr>
    </w:p>
    <w:p>
      <w:pPr>
        <w:jc w:val="center"/>
        <w:ind w:right="5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240"/>
        <w:spacing w:after="0"/>
        <w:rPr>
          <w:sz w:val="20"/>
          <w:szCs w:val="20"/>
          <w:color w:val="auto"/>
        </w:rPr>
      </w:pPr>
      <w:r>
        <w:rPr>
          <w:rFonts w:ascii="Arial" w:cs="Arial" w:eastAsia="Arial" w:hAnsi="Arial"/>
          <w:sz w:val="18"/>
          <w:szCs w:val="18"/>
          <w:b w:val="1"/>
          <w:bCs w:val="1"/>
          <w:color w:val="auto"/>
        </w:rPr>
        <w:t>27-3794690</w:t>
      </w:r>
    </w:p>
    <w:p>
      <w:pPr>
        <w:spacing w:after="0" w:line="27" w:lineRule="exact"/>
        <w:rPr>
          <w:sz w:val="24"/>
          <w:szCs w:val="24"/>
          <w:color w:val="auto"/>
        </w:rPr>
      </w:pPr>
    </w:p>
    <w:p>
      <w:pPr>
        <w:jc w:val="center"/>
        <w:ind w:right="240"/>
        <w:spacing w:after="0"/>
        <w:rPr>
          <w:sz w:val="20"/>
          <w:szCs w:val="20"/>
          <w:color w:val="auto"/>
        </w:rPr>
      </w:pPr>
      <w:r>
        <w:rPr>
          <w:rFonts w:ascii="Arial" w:cs="Arial" w:eastAsia="Arial" w:hAnsi="Arial"/>
          <w:sz w:val="16"/>
          <w:szCs w:val="16"/>
          <w:color w:val="auto"/>
        </w:rPr>
        <w:t>(I.R.S. Employer Identification Number)</w:t>
      </w:r>
    </w:p>
    <w:p>
      <w:pPr>
        <w:spacing w:after="0" w:line="200" w:lineRule="exact"/>
        <w:rPr>
          <w:sz w:val="24"/>
          <w:szCs w:val="24"/>
          <w:color w:val="auto"/>
        </w:rPr>
      </w:pPr>
    </w:p>
    <w:p>
      <w:pPr>
        <w:sectPr>
          <w:pgSz w:w="11900" w:h="16838" w:orient="portrait"/>
          <w:cols w:equalWidth="0" w:num="3">
            <w:col w:w="3920" w:space="720"/>
            <w:col w:w="2560" w:space="720"/>
            <w:col w:w="3180"/>
          </w:cols>
          <w:pgMar w:left="320" w:top="724" w:right="479" w:bottom="1440" w:gutter="0" w:footer="0" w:header="0"/>
          <w:type w:val="continuous"/>
        </w:sectPr>
      </w:pPr>
    </w:p>
    <w:p>
      <w:pPr>
        <w:spacing w:after="0" w:line="200" w:lineRule="exact"/>
        <w:rPr>
          <w:sz w:val="24"/>
          <w:szCs w:val="24"/>
          <w:color w:val="auto"/>
        </w:rPr>
      </w:pPr>
    </w:p>
    <w:p>
      <w:pPr>
        <w:spacing w:after="0" w:line="262"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590 Madison Avenue, 15th Floor, New York, NY 10022</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212-905-1000</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5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tbl>
      <w:tblPr>
        <w:tblLayout w:type="fixed"/>
        <w:tblInd w:w="300" w:type="dxa"/>
        <w:tblCellMar>
          <w:top w:w="0" w:type="dxa"/>
          <w:left w:w="0" w:type="dxa"/>
          <w:bottom w:w="0" w:type="dxa"/>
          <w:right w:w="0" w:type="dxa"/>
        </w:tblCellMar>
      </w:tblP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rPr>
              <w:t>Written communications pursuant to Rule 425 under the Securities Act (17 CFR 230.425)</w:t>
            </w:r>
          </w:p>
        </w:tc>
      </w:t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rPr>
              <w:t>Soliciting material pursuant to Rule 14a-12 under the Exchange Act (17 CFR 240.14a-12)</w:t>
            </w:r>
          </w:p>
        </w:tc>
      </w:tr>
      <w:tr>
        <w:trPr>
          <w:trHeight w:val="230"/>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w w:val="90"/>
              </w:rPr>
              <w:t>Pre-commencement communications pursuant to Rule 14d-2(b) under the Exchange Act (17 CFR 240.14d-2(b))</w:t>
            </w:r>
          </w:p>
        </w:tc>
      </w:tr>
    </w:tbl>
    <w:p>
      <w:pPr>
        <w:ind w:right="2140" w:firstLine="291"/>
        <w:spacing w:after="0" w:line="490" w:lineRule="auto"/>
        <w:tabs>
          <w:tab w:leader="none" w:pos="478"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 Securities registered pursuant to Section 12(b) of the Act:</w:t>
      </w:r>
    </w:p>
    <w:p>
      <w:pPr>
        <w:sectPr>
          <w:pgSz w:w="11900" w:h="16838" w:orient="portrait"/>
          <w:cols w:equalWidth="0" w:num="1">
            <w:col w:w="11100"/>
          </w:cols>
          <w:pgMar w:left="320" w:top="724" w:right="479" w:bottom="1440" w:gutter="0" w:footer="0" w:header="0"/>
          <w:type w:val="continuous"/>
        </w:sectPr>
      </w:pPr>
    </w:p>
    <w:p>
      <w:pPr>
        <w:jc w:val="center"/>
        <w:ind w:left="320"/>
        <w:spacing w:after="0"/>
        <w:rPr>
          <w:sz w:val="20"/>
          <w:szCs w:val="20"/>
          <w:color w:val="auto"/>
        </w:rPr>
      </w:pPr>
      <w:r>
        <w:rPr>
          <w:rFonts w:ascii="Arial" w:cs="Arial" w:eastAsia="Arial" w:hAnsi="Arial"/>
          <w:sz w:val="18"/>
          <w:szCs w:val="18"/>
          <w:b w:val="1"/>
          <w:bCs w:val="1"/>
          <w:color w:val="auto"/>
        </w:rPr>
        <w:t>Title of Each Class</w:t>
      </w:r>
    </w:p>
    <w:p>
      <w:pPr>
        <w:spacing w:after="0" w:line="27" w:lineRule="exact"/>
        <w:rPr>
          <w:sz w:val="24"/>
          <w:szCs w:val="24"/>
          <w:color w:val="auto"/>
        </w:rPr>
      </w:pPr>
    </w:p>
    <w:p>
      <w:pPr>
        <w:jc w:val="center"/>
        <w:ind w:left="320"/>
        <w:spacing w:after="0"/>
        <w:rPr>
          <w:sz w:val="20"/>
          <w:szCs w:val="20"/>
          <w:color w:val="auto"/>
        </w:rPr>
      </w:pPr>
      <w:r>
        <w:rPr>
          <w:rFonts w:ascii="Arial" w:cs="Arial" w:eastAsia="Arial" w:hAnsi="Arial"/>
          <w:sz w:val="16"/>
          <w:szCs w:val="16"/>
          <w:color w:val="auto"/>
        </w:rPr>
        <w:t>Common Stock, par value $0.001 per share</w:t>
      </w:r>
    </w:p>
    <w:p>
      <w:pPr>
        <w:spacing w:after="0" w:line="20" w:lineRule="exact"/>
        <w:rPr>
          <w:sz w:val="24"/>
          <w:szCs w:val="24"/>
          <w:color w:val="auto"/>
        </w:rPr>
      </w:pPr>
      <w:r>
        <w:rPr>
          <w:sz w:val="24"/>
          <w:szCs w:val="24"/>
          <w:color w:val="auto"/>
        </w:rPr>
        <w:br w:type="column"/>
      </w:r>
    </w:p>
    <w:p>
      <w:pPr>
        <w:jc w:val="center"/>
        <w:ind w:right="180"/>
        <w:spacing w:after="0"/>
        <w:rPr>
          <w:sz w:val="20"/>
          <w:szCs w:val="20"/>
          <w:color w:val="auto"/>
        </w:rPr>
      </w:pPr>
      <w:r>
        <w:rPr>
          <w:rFonts w:ascii="Arial" w:cs="Arial" w:eastAsia="Arial" w:hAnsi="Arial"/>
          <w:sz w:val="16"/>
          <w:szCs w:val="16"/>
          <w:b w:val="1"/>
          <w:bCs w:val="1"/>
          <w:color w:val="auto"/>
        </w:rPr>
        <w:t>Trading Symbol(s)</w:t>
      </w:r>
    </w:p>
    <w:p>
      <w:pPr>
        <w:spacing w:after="0" w:line="50" w:lineRule="exact"/>
        <w:rPr>
          <w:sz w:val="24"/>
          <w:szCs w:val="24"/>
          <w:color w:val="auto"/>
        </w:rPr>
      </w:pPr>
    </w:p>
    <w:p>
      <w:pPr>
        <w:jc w:val="center"/>
        <w:ind w:right="180"/>
        <w:spacing w:after="0"/>
        <w:rPr>
          <w:sz w:val="20"/>
          <w:szCs w:val="20"/>
          <w:color w:val="auto"/>
        </w:rPr>
      </w:pPr>
      <w:r>
        <w:rPr>
          <w:rFonts w:ascii="Arial" w:cs="Arial" w:eastAsia="Arial" w:hAnsi="Arial"/>
          <w:sz w:val="18"/>
          <w:szCs w:val="18"/>
          <w:color w:val="auto"/>
        </w:rPr>
        <w:t>PFLT</w:t>
      </w:r>
    </w:p>
    <w:p>
      <w:pPr>
        <w:spacing w:after="0" w:line="20" w:lineRule="exact"/>
        <w:rPr>
          <w:sz w:val="24"/>
          <w:szCs w:val="24"/>
          <w:color w:val="auto"/>
        </w:rPr>
      </w:pPr>
      <w:r>
        <w:rPr>
          <w:sz w:val="24"/>
          <w:szCs w:val="24"/>
          <w:color w:val="auto"/>
        </w:rPr>
        <w:br w:type="column"/>
      </w:r>
    </w:p>
    <w:p>
      <w:pPr>
        <w:jc w:val="center"/>
        <w:ind w:right="340"/>
        <w:spacing w:after="0"/>
        <w:rPr>
          <w:sz w:val="20"/>
          <w:szCs w:val="20"/>
          <w:color w:val="auto"/>
        </w:rPr>
      </w:pPr>
      <w:r>
        <w:rPr>
          <w:rFonts w:ascii="Arial" w:cs="Arial" w:eastAsia="Arial" w:hAnsi="Arial"/>
          <w:sz w:val="16"/>
          <w:szCs w:val="16"/>
          <w:b w:val="1"/>
          <w:bCs w:val="1"/>
          <w:color w:val="auto"/>
        </w:rPr>
        <w:t>Name of Each Exchange on Which Registered</w:t>
      </w:r>
    </w:p>
    <w:p>
      <w:pPr>
        <w:spacing w:after="0" w:line="50" w:lineRule="exact"/>
        <w:rPr>
          <w:sz w:val="24"/>
          <w:szCs w:val="24"/>
          <w:color w:val="auto"/>
        </w:rPr>
      </w:pPr>
    </w:p>
    <w:p>
      <w:pPr>
        <w:jc w:val="center"/>
        <w:ind w:right="340"/>
        <w:spacing w:after="0"/>
        <w:rPr>
          <w:sz w:val="20"/>
          <w:szCs w:val="20"/>
          <w:color w:val="auto"/>
        </w:rPr>
      </w:pPr>
      <w:r>
        <w:rPr>
          <w:rFonts w:ascii="Arial" w:cs="Arial" w:eastAsia="Arial" w:hAnsi="Arial"/>
          <w:sz w:val="18"/>
          <w:szCs w:val="18"/>
          <w:color w:val="auto"/>
        </w:rPr>
        <w:t>The Nasdaq Stock Market LLC</w:t>
      </w:r>
    </w:p>
    <w:p>
      <w:pPr>
        <w:spacing w:after="0" w:line="200" w:lineRule="exact"/>
        <w:rPr>
          <w:sz w:val="24"/>
          <w:szCs w:val="24"/>
          <w:color w:val="auto"/>
        </w:rPr>
      </w:pPr>
    </w:p>
    <w:p>
      <w:pPr>
        <w:sectPr>
          <w:pgSz w:w="11900" w:h="16838" w:orient="portrait"/>
          <w:cols w:equalWidth="0" w:num="3">
            <w:col w:w="4200" w:space="720"/>
            <w:col w:w="1600" w:space="720"/>
            <w:col w:w="3860"/>
          </w:cols>
          <w:pgMar w:left="320" w:top="724" w:right="479" w:bottom="1440" w:gutter="0" w:footer="0" w:header="0"/>
          <w:type w:val="continuous"/>
        </w:sectPr>
      </w:pPr>
    </w:p>
    <w:p>
      <w:pPr>
        <w:spacing w:after="0" w:line="1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 Emerging growth company [ ]</w:t>
      </w:r>
    </w:p>
    <w:p>
      <w:pPr>
        <w:spacing w:after="0" w:line="170"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183515</wp:posOffset>
            </wp:positionV>
            <wp:extent cx="71361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100"/>
          </w:cols>
          <w:pgMar w:left="320" w:top="724" w:right="4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On March 2, 2021, PennantPark Floating Rate Capital Ltd. issued a press release announcing its monthly distribution. A copy of the press release is furnished as Exhibit 99.1 to this Form 8-K.</w:t>
      </w:r>
    </w:p>
    <w:p>
      <w:pPr>
        <w:spacing w:after="0" w:line="17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information in this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report on Form 8-K shall not be deemed incorporated by reference in any filing under the Securities Act of 1933, as amended, or the Securities Act, or under the Exchange Act, except as shall be expressly set forth by specific reference in such filing.</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02"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This report on Form 8-K, including Exhibit 99.1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Floating Rate Capital Ltd.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ind w:left="600" w:right="9340" w:hanging="592"/>
        <w:spacing w:after="0" w:line="313" w:lineRule="auto"/>
        <w:tabs>
          <w:tab w:leader="none" w:pos="270" w:val="left"/>
        </w:tabs>
        <w:numPr>
          <w:ilvl w:val="0"/>
          <w:numId w:val="2"/>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Financial statements: </w:t>
      </w:r>
      <w:r>
        <w:rPr>
          <w:rFonts w:ascii="Arial" w:cs="Arial" w:eastAsia="Arial" w:hAnsi="Arial"/>
          <w:sz w:val="15"/>
          <w:szCs w:val="15"/>
          <w:color w:val="auto"/>
        </w:rPr>
        <w:t>None</w:t>
      </w:r>
    </w:p>
    <w:p>
      <w:pPr>
        <w:ind w:left="600" w:right="8400" w:hanging="547"/>
        <w:spacing w:after="0" w:line="250" w:lineRule="auto"/>
        <w:tabs>
          <w:tab w:leader="none" w:pos="325" w:val="left"/>
        </w:tabs>
        <w:numPr>
          <w:ilvl w:val="1"/>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 forma financial information: </w:t>
      </w:r>
      <w:r>
        <w:rPr>
          <w:rFonts w:ascii="Arial" w:cs="Arial" w:eastAsia="Arial" w:hAnsi="Arial"/>
          <w:sz w:val="18"/>
          <w:szCs w:val="18"/>
          <w:color w:val="auto"/>
        </w:rPr>
        <w:t>None</w:t>
      </w:r>
    </w:p>
    <w:p>
      <w:pPr>
        <w:ind w:left="600" w:right="8780" w:hanging="547"/>
        <w:spacing w:after="0" w:line="250" w:lineRule="auto"/>
        <w:tabs>
          <w:tab w:leader="none" w:pos="305" w:val="left"/>
        </w:tabs>
        <w:numPr>
          <w:ilvl w:val="1"/>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Shell company transactions: </w:t>
      </w:r>
      <w:r>
        <w:rPr>
          <w:rFonts w:ascii="Arial" w:cs="Arial" w:eastAsia="Arial" w:hAnsi="Arial"/>
          <w:sz w:val="18"/>
          <w:szCs w:val="18"/>
          <w:color w:val="auto"/>
        </w:rPr>
        <w:t>None</w:t>
      </w:r>
    </w:p>
    <w:p>
      <w:pPr>
        <w:ind w:left="320" w:hanging="267"/>
        <w:spacing w:after="0"/>
        <w:tabs>
          <w:tab w:leader="none" w:pos="320" w:val="left"/>
        </w:tabs>
        <w:numPr>
          <w:ilvl w:val="1"/>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9" w:lineRule="exact"/>
        <w:rPr>
          <w:sz w:val="20"/>
          <w:szCs w:val="20"/>
          <w:color w:val="auto"/>
        </w:rPr>
      </w:pPr>
    </w:p>
    <w:p>
      <w:pPr>
        <w:ind w:left="600"/>
        <w:spacing w:after="0"/>
        <w:tabs>
          <w:tab w:leader="none" w:pos="116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6"/>
            <w:szCs w:val="16"/>
            <w:u w:val="single" w:color="auto"/>
            <w:color w:val="0000EE"/>
          </w:rPr>
          <w:t>Press Release of PennantPark Floating Rate Capital Ltd. Dated March 2,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136130"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80" w:type="dxa"/>
            <w:vAlign w:val="bottom"/>
          </w:tcPr>
          <w:p>
            <w:pPr>
              <w:spacing w:after="0"/>
              <w:rPr>
                <w:sz w:val="20"/>
                <w:szCs w:val="20"/>
                <w:color w:val="auto"/>
              </w:rPr>
            </w:pPr>
          </w:p>
        </w:tc>
        <w:tc>
          <w:tcPr>
            <w:tcW w:w="5080" w:type="dxa"/>
            <w:vAlign w:val="bottom"/>
            <w:gridSpan w:val="3"/>
          </w:tcPr>
          <w:p>
            <w:pPr>
              <w:ind w:left="1980"/>
              <w:spacing w:after="0"/>
              <w:rPr>
                <w:sz w:val="20"/>
                <w:szCs w:val="20"/>
                <w:color w:val="auto"/>
              </w:rPr>
            </w:pPr>
            <w:r>
              <w:rPr>
                <w:rFonts w:ascii="Arial" w:cs="Arial" w:eastAsia="Arial" w:hAnsi="Arial"/>
                <w:sz w:val="18"/>
                <w:szCs w:val="18"/>
                <w:b w:val="1"/>
                <w:bCs w:val="1"/>
                <w:color w:val="auto"/>
                <w:w w:val="92"/>
              </w:rPr>
              <w:t>PennantPark Floating Rate Capital Ltd.</w:t>
            </w:r>
          </w:p>
        </w:tc>
      </w:tr>
      <w:tr>
        <w:trPr>
          <w:trHeight w:val="608"/>
        </w:trPr>
        <w:tc>
          <w:tcPr>
            <w:tcW w:w="3480" w:type="dxa"/>
            <w:vAlign w:val="bottom"/>
          </w:tcPr>
          <w:p>
            <w:pPr>
              <w:spacing w:after="0"/>
              <w:rPr>
                <w:sz w:val="20"/>
                <w:szCs w:val="20"/>
                <w:color w:val="auto"/>
              </w:rPr>
            </w:pPr>
            <w:r>
              <w:rPr>
                <w:rFonts w:ascii="Arial" w:cs="Arial" w:eastAsia="Arial" w:hAnsi="Arial"/>
                <w:sz w:val="18"/>
                <w:szCs w:val="18"/>
                <w:color w:val="auto"/>
              </w:rPr>
              <w:t>Date: March 2, 2021</w:t>
            </w:r>
          </w:p>
        </w:tc>
        <w:tc>
          <w:tcPr>
            <w:tcW w:w="5080" w:type="dxa"/>
            <w:vAlign w:val="bottom"/>
            <w:gridSpan w:val="3"/>
          </w:tcPr>
          <w:p>
            <w:pPr>
              <w:ind w:left="1980"/>
              <w:spacing w:after="0"/>
              <w:rPr>
                <w:sz w:val="20"/>
                <w:szCs w:val="20"/>
                <w:color w:val="auto"/>
              </w:rPr>
            </w:pPr>
            <w:r>
              <w:rPr>
                <w:rFonts w:ascii="Arial" w:cs="Arial" w:eastAsia="Arial" w:hAnsi="Arial"/>
                <w:sz w:val="18"/>
                <w:szCs w:val="18"/>
                <w:color w:val="auto"/>
              </w:rPr>
              <w:t>By: /s/ Aviv Efrat</w:t>
            </w:r>
          </w:p>
        </w:tc>
      </w:tr>
      <w:tr>
        <w:trPr>
          <w:trHeight w:val="222"/>
        </w:trPr>
        <w:tc>
          <w:tcPr>
            <w:tcW w:w="348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13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Aviv Efrat</w:t>
            </w:r>
          </w:p>
        </w:tc>
        <w:tc>
          <w:tcPr>
            <w:tcW w:w="1460" w:type="dxa"/>
            <w:vAlign w:val="bottom"/>
          </w:tcPr>
          <w:p>
            <w:pPr>
              <w:spacing w:after="0"/>
              <w:rPr>
                <w:sz w:val="19"/>
                <w:szCs w:val="19"/>
                <w:color w:val="auto"/>
              </w:rPr>
            </w:pPr>
          </w:p>
        </w:tc>
      </w:tr>
      <w:tr>
        <w:trPr>
          <w:trHeight w:val="230"/>
        </w:trPr>
        <w:tc>
          <w:tcPr>
            <w:tcW w:w="34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2780" w:type="dxa"/>
            <w:vAlign w:val="bottom"/>
            <w:gridSpan w:val="2"/>
          </w:tcPr>
          <w:p>
            <w:pPr>
              <w:spacing w:after="0"/>
              <w:rPr>
                <w:sz w:val="20"/>
                <w:szCs w:val="20"/>
                <w:color w:val="auto"/>
              </w:rPr>
            </w:pPr>
            <w:r>
              <w:rPr>
                <w:rFonts w:ascii="Arial" w:cs="Arial" w:eastAsia="Arial" w:hAnsi="Arial"/>
                <w:sz w:val="18"/>
                <w:szCs w:val="18"/>
                <w:color w:val="auto"/>
                <w:w w:val="99"/>
              </w:rPr>
              <w:t>Chief Financial Officer &amp; Treasurer</w:t>
            </w:r>
          </w:p>
        </w:tc>
      </w:tr>
    </w:tbl>
    <w:p>
      <w:pPr>
        <w:sectPr>
          <w:pgSz w:w="11900" w:h="16838" w:orient="portrait"/>
          <w:cols w:equalWidth="0" w:num="1">
            <w:col w:w="11200"/>
          </w:cols>
          <w:pgMar w:left="320" w:top="337" w:right="379" w:bottom="1440" w:gutter="0" w:footer="0" w:header="0"/>
        </w:sectPr>
      </w:pPr>
    </w:p>
    <w:bookmarkStart w:id="3" w:name="page4"/>
    <w:bookmarkEnd w:id="3"/>
    <w:p>
      <w:pPr>
        <w:ind w:left="9880"/>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1285875" cy="3003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5875"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PennantPark Floating Rate Capital Ltd. Announces Monthly Distribution of $0.095 per Share</w:t>
      </w:r>
    </w:p>
    <w:p>
      <w:pPr>
        <w:spacing w:after="0" w:line="212"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NEW YORK, March 02, 2021 (GLOBE NEWSWIRE) -- PennantPark Floating Rate Capital Ltd. (the "Company") (NASDAQ: PFLT) (TASE: PFLT) declares its monthly distribution for March 2021 of $0.095 per share, payable on April 1, 2021 to stockholders of record as of March 18, 2021. The distribution is expected to be paid from taxable net investment income. The final specific tax characteristics of the distribution will be reported to stockholders on Form 1099 after the end of the calendar year and in the Company's periodic report filed with the Securities and Exchange Commission.</w:t>
      </w:r>
    </w:p>
    <w:p>
      <w:pPr>
        <w:spacing w:after="0" w:line="178"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Company, which operates as a regulated investment company (“RIC”), generates qualified interest income and short-term capital gains that may be exempt from U.S. withholding tax when distributed to non-U.S. stockholders. The U.S. tax law permits a RIC to report the portion of distributions paid that represents interest-related dividends as exempt from U.S. withholding tax when paid to non-U.S. stockholders with proper documentation.</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The specific tax characteristics of this distribution can be found on our website </w:t>
      </w:r>
      <w:r>
        <w:rPr>
          <w:rFonts w:ascii="Arial" w:cs="Arial" w:eastAsia="Arial" w:hAnsi="Arial"/>
          <w:sz w:val="22"/>
          <w:szCs w:val="22"/>
          <w:u w:val="single" w:color="auto"/>
          <w:color w:val="auto"/>
        </w:rPr>
        <w:t>www.pennantpark.com</w:t>
      </w:r>
      <w:r>
        <w:rPr>
          <w:rFonts w:ascii="Arial" w:cs="Arial" w:eastAsia="Arial" w:hAnsi="Arial"/>
          <w:sz w:val="22"/>
          <w:szCs w:val="22"/>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FLOATING RATE CAPITAL LTD.</w:t>
      </w:r>
    </w:p>
    <w:p>
      <w:pPr>
        <w:spacing w:after="0" w:line="206"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PennantPark Floating Rate Capital Ltd. is a business development company which primarily invests in U.S. middle-market private companies in the form of floating rate senior secured loans, including first lien secured debt, second lien secured debt and subordinated debt. From time to time, the Company may also invest in equity investments. PennantPark Floating Rate Capital Ltd. is managed by PennantPark Investment Advisers, LLC.</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INVESTMENT ADVISERS, LLC</w:t>
      </w:r>
    </w:p>
    <w:p>
      <w:pPr>
        <w:spacing w:after="0" w:line="206" w:lineRule="exact"/>
        <w:rPr>
          <w:sz w:val="20"/>
          <w:szCs w:val="20"/>
          <w:color w:val="auto"/>
        </w:rPr>
      </w:pPr>
    </w:p>
    <w:p>
      <w:pPr>
        <w:ind w:right="40"/>
        <w:spacing w:after="0" w:line="249" w:lineRule="auto"/>
        <w:rPr>
          <w:sz w:val="20"/>
          <w:szCs w:val="20"/>
          <w:color w:val="auto"/>
        </w:rPr>
      </w:pPr>
      <w:r>
        <w:rPr>
          <w:rFonts w:ascii="Arial" w:cs="Arial" w:eastAsia="Arial" w:hAnsi="Arial"/>
          <w:sz w:val="21"/>
          <w:szCs w:val="21"/>
          <w:color w:val="auto"/>
        </w:rPr>
        <w:t>PennantPark Investment Advisers, LLC is a leading middle market credit platform, managing $4.3 billion of investable capital, including potential leverage. Since its inception in 2007, PennantPark Investment Advisers, LLC has provided investors access to middle market credit by offering private equity firms and their portfolio companies as well as other middle-market borrowers a comprehensive range of creative and flexible financing solutions. PennantPark Investment Advisers, LLC is headquartered in New York and has offices in Chicago, Houston and Los Angeles.</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color w:val="auto"/>
        </w:rPr>
        <w:t>FORWARD-LOOKING STATEMENTS</w:t>
      </w:r>
    </w:p>
    <w:p>
      <w:pPr>
        <w:spacing w:after="0" w:line="206"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Floating Rate Capital Ltd.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200" w:lineRule="exact"/>
        <w:rPr>
          <w:sz w:val="20"/>
          <w:szCs w:val="20"/>
          <w:color w:val="auto"/>
        </w:rPr>
      </w:pPr>
    </w:p>
    <w:p>
      <w:pPr>
        <w:spacing w:after="0" w:line="201"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information contained herein is based on current tax laws, which may change in the future. The Company cannot be held responsible for any direct or incidental loss resulting from applying any of the information provided in this publication or from any other source mentioned. The information provided in this material does not constitute any specific legal, tax or accounting advice. Please consult with qualified professionals for this type of advice.</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Aviv Efrat</w:t>
      </w:r>
    </w:p>
    <w:p>
      <w:pPr>
        <w:spacing w:after="0" w:line="230" w:lineRule="auto"/>
        <w:rPr>
          <w:sz w:val="20"/>
          <w:szCs w:val="20"/>
          <w:color w:val="auto"/>
        </w:rPr>
      </w:pPr>
      <w:r>
        <w:rPr>
          <w:rFonts w:ascii="Arial" w:cs="Arial" w:eastAsia="Arial" w:hAnsi="Arial"/>
          <w:sz w:val="22"/>
          <w:szCs w:val="22"/>
          <w:color w:val="auto"/>
        </w:rPr>
        <w:t>PennantPark Floating Rate Capital Ltd.</w:t>
      </w:r>
    </w:p>
    <w:p>
      <w:pPr>
        <w:spacing w:after="0" w:line="1" w:lineRule="exact"/>
        <w:rPr>
          <w:sz w:val="20"/>
          <w:szCs w:val="20"/>
          <w:color w:val="auto"/>
        </w:rPr>
      </w:pPr>
    </w:p>
    <w:p>
      <w:pPr>
        <w:ind w:right="9240" w:firstLine="8"/>
        <w:spacing w:after="0" w:line="308" w:lineRule="auto"/>
        <w:tabs>
          <w:tab w:leader="none" w:pos="522" w:val="left"/>
        </w:tabs>
        <w:numPr>
          <w:ilvl w:val="0"/>
          <w:numId w:val="3"/>
        </w:numPr>
        <w:rPr>
          <w:rFonts w:ascii="Arial" w:cs="Arial" w:eastAsia="Arial" w:hAnsi="Arial"/>
          <w:sz w:val="19"/>
          <w:szCs w:val="19"/>
          <w:color w:val="auto"/>
        </w:rPr>
      </w:pPr>
      <w:r>
        <w:rPr>
          <w:rFonts w:ascii="Arial" w:cs="Arial" w:eastAsia="Arial" w:hAnsi="Arial"/>
          <w:sz w:val="19"/>
          <w:szCs w:val="19"/>
          <w:color w:val="auto"/>
        </w:rPr>
        <w:t>905-1000 www.pennantpark.com</w:t>
      </w:r>
    </w:p>
    <w:sectPr>
      <w:pgSz w:w="11900" w:h="16838" w:orient="portrait"/>
      <w:cols w:equalWidth="0" w:num="1">
        <w:col w:w="11240"/>
      </w:cols>
      <w:pgMar w:left="320" w:top="1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1"/>
    </w:lvl>
    <w:lvl w:ilvl="1">
      <w:lvlJc w:val="left"/>
      <w:lvlText w:val="(%2)"/>
      <w:numFmt w:val="lowerLetter"/>
      <w:start w:val="2"/>
    </w:lvl>
  </w:abstractNum>
  <w:abstractNum w:abstractNumId="2">
    <w:nsid w:val="19495CFF"/>
    <w:multiLevelType w:val="hybridMultilevel"/>
    <w:lvl w:ilvl="0">
      <w:lvlJc w:val="left"/>
      <w:lvlText w:val="(%1)"/>
      <w:numFmt w:val="decimal"/>
      <w:start w:val="21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2021-03-02T15:08:41Z</dcterms:created>
  <dcterms:modified xsi:type="dcterms:W3CDTF">2021-03-02T15:08:41Z</dcterms:modified>
</cp:coreProperties>
</file>