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September 04,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0"/>
        <w:spacing w:after="0" w:line="250" w:lineRule="auto"/>
        <w:rPr>
          <w:sz w:val="20"/>
          <w:szCs w:val="20"/>
          <w:color w:val="auto"/>
        </w:rPr>
      </w:pPr>
      <w:r>
        <w:rPr>
          <w:rFonts w:ascii="Arial" w:cs="Arial" w:eastAsia="Arial" w:hAnsi="Arial"/>
          <w:sz w:val="22"/>
          <w:szCs w:val="22"/>
          <w:color w:val="auto"/>
        </w:rPr>
        <w:t>On September 4,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September 04,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00" w:type="dxa"/>
            <w:vAlign w:val="bottom"/>
          </w:tcPr>
          <w:p>
            <w:pPr>
              <w:spacing w:after="0"/>
              <w:rPr>
                <w:sz w:val="20"/>
                <w:szCs w:val="20"/>
                <w:color w:val="auto"/>
              </w:rPr>
            </w:pPr>
            <w:r>
              <w:rPr>
                <w:rFonts w:ascii="Arial" w:cs="Arial" w:eastAsia="Arial" w:hAnsi="Arial"/>
                <w:sz w:val="22"/>
                <w:szCs w:val="22"/>
                <w:color w:val="auto"/>
              </w:rPr>
              <w:t>Dated: September 04, 2012</w:t>
            </w:r>
          </w:p>
        </w:tc>
        <w:tc>
          <w:tcPr>
            <w:tcW w:w="6620" w:type="dxa"/>
            <w:vAlign w:val="bottom"/>
            <w:gridSpan w:val="3"/>
          </w:tcPr>
          <w:p>
            <w:pPr>
              <w:ind w:left="16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4000" w:type="dxa"/>
            <w:vAlign w:val="bottom"/>
          </w:tcPr>
          <w:p>
            <w:pPr>
              <w:spacing w:after="0"/>
              <w:rPr>
                <w:sz w:val="24"/>
                <w:szCs w:val="24"/>
                <w:color w:val="auto"/>
              </w:rPr>
            </w:pPr>
          </w:p>
        </w:tc>
        <w:tc>
          <w:tcPr>
            <w:tcW w:w="6620" w:type="dxa"/>
            <w:vAlign w:val="bottom"/>
            <w:gridSpan w:val="3"/>
          </w:tcPr>
          <w:p>
            <w:pPr>
              <w:ind w:left="1620"/>
              <w:spacing w:after="0"/>
              <w:rPr>
                <w:sz w:val="20"/>
                <w:szCs w:val="20"/>
                <w:color w:val="auto"/>
              </w:rPr>
            </w:pPr>
            <w:r>
              <w:rPr>
                <w:rFonts w:ascii="Arial" w:cs="Arial" w:eastAsia="Arial" w:hAnsi="Arial"/>
                <w:sz w:val="22"/>
                <w:szCs w:val="22"/>
                <w:color w:val="auto"/>
              </w:rPr>
              <w:t>By: /s/ Aviv Efrat</w:t>
            </w: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4000" w:type="dxa"/>
            <w:vAlign w:val="bottom"/>
          </w:tcPr>
          <w:p>
            <w:pPr>
              <w:spacing w:after="0"/>
              <w:rPr>
                <w:sz w:val="21"/>
                <w:szCs w:val="21"/>
                <w:color w:val="auto"/>
              </w:rPr>
            </w:pPr>
          </w:p>
        </w:tc>
        <w:tc>
          <w:tcPr>
            <w:tcW w:w="6620" w:type="dxa"/>
            <w:vAlign w:val="bottom"/>
            <w:gridSpan w:val="3"/>
          </w:tcPr>
          <w:p>
            <w:pPr>
              <w:ind w:left="18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4000" w:type="dxa"/>
            <w:vAlign w:val="bottom"/>
          </w:tcPr>
          <w:p>
            <w:pPr>
              <w:spacing w:after="0"/>
              <w:rPr>
                <w:sz w:val="23"/>
                <w:szCs w:val="23"/>
                <w:color w:val="auto"/>
              </w:rPr>
            </w:pPr>
          </w:p>
        </w:tc>
        <w:tc>
          <w:tcPr>
            <w:tcW w:w="6620" w:type="dxa"/>
            <w:vAlign w:val="bottom"/>
            <w:gridSpan w:val="3"/>
          </w:tcPr>
          <w:p>
            <w:pPr>
              <w:ind w:left="188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September 04,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 per Share</w:t>
      </w:r>
    </w:p>
    <w:p>
      <w:pPr>
        <w:spacing w:after="0" w:line="21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NEW YORK, NY -- (Marketwire - September 04, 2012) - PennantPark Floating Rate Capital Ltd. (the "Company") (NASDAQ: PFLT) declares its monthly distribution for September 2012 of $0.08 per share, payable on October 1, 2012 to stockholders of record as of September 20, 2012.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2020-05-05T12:04:20Z</dcterms:created>
  <dcterms:modified xsi:type="dcterms:W3CDTF">2020-05-05T12:04:20Z</dcterms:modified>
</cp:coreProperties>
</file>