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February 8,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February 8, 2018, PennantPark Floating Rate Capital Ltd. issued a press release announcing its financial results for the first fiscal quarter ended December 31, 2017. A copy of the press release is furnished as Exhibit 99.1 to this report pursuant to Item 2.02 on Form 8-K and Regulation FD.</w:t>
      </w:r>
    </w:p>
    <w:p>
      <w:pPr>
        <w:spacing w:after="0" w:line="1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Floating Rate Capital Ltd.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February 8,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p>
        </w:tc>
        <w:tc>
          <w:tcPr>
            <w:tcW w:w="5000" w:type="dxa"/>
            <w:vAlign w:val="bottom"/>
            <w:gridSpan w:val="3"/>
          </w:tcPr>
          <w:p>
            <w:pPr>
              <w:ind w:left="190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60" w:type="dxa"/>
            <w:vAlign w:val="bottom"/>
          </w:tcPr>
          <w:p>
            <w:pPr>
              <w:spacing w:after="0"/>
              <w:rPr>
                <w:sz w:val="20"/>
                <w:szCs w:val="20"/>
                <w:color w:val="auto"/>
              </w:rPr>
            </w:pPr>
            <w:r>
              <w:rPr>
                <w:rFonts w:ascii="Arial" w:cs="Arial" w:eastAsia="Arial" w:hAnsi="Arial"/>
                <w:sz w:val="18"/>
                <w:szCs w:val="18"/>
                <w:color w:val="auto"/>
              </w:rPr>
              <w:t>Date: February 8, 2018</w:t>
            </w:r>
          </w:p>
        </w:tc>
        <w:tc>
          <w:tcPr>
            <w:tcW w:w="5000" w:type="dxa"/>
            <w:vAlign w:val="bottom"/>
            <w:gridSpan w:val="3"/>
          </w:tcPr>
          <w:p>
            <w:pPr>
              <w:ind w:left="1900"/>
              <w:spacing w:after="0"/>
              <w:rPr>
                <w:sz w:val="20"/>
                <w:szCs w:val="20"/>
                <w:color w:val="auto"/>
              </w:rPr>
            </w:pPr>
            <w:r>
              <w:rPr>
                <w:rFonts w:ascii="Arial" w:cs="Arial" w:eastAsia="Arial" w:hAnsi="Arial"/>
                <w:sz w:val="18"/>
                <w:szCs w:val="18"/>
                <w:color w:val="auto"/>
              </w:rPr>
              <w:t>By: /s/ Aviv Efrat</w:t>
            </w:r>
          </w:p>
        </w:tc>
      </w:tr>
      <w:tr>
        <w:trPr>
          <w:trHeight w:val="222"/>
        </w:trPr>
        <w:tc>
          <w:tcPr>
            <w:tcW w:w="35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PennantPark Floating Rate Capital Ltd. Announces Financial Results for the Quarter Ended December 31, 2017</w:t>
      </w:r>
    </w:p>
    <w:p>
      <w:pPr>
        <w:spacing w:after="0" w:line="224"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NEW YORK, Feb. 08, 2018 (GLOBE NEWSWIRE) -- PennantPark Floating Rate Capital Ltd. (NASDAQ:PFLT) announced today financial results for the first fiscal quarter ended December 31, 2017.</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Quarter ended December 31, 2017</w:t>
      </w:r>
    </w:p>
    <w:p>
      <w:pPr>
        <w:spacing w:after="0"/>
        <w:rPr>
          <w:sz w:val="20"/>
          <w:szCs w:val="20"/>
          <w:color w:val="auto"/>
        </w:rPr>
      </w:pPr>
      <w:r>
        <w:rPr>
          <w:rFonts w:ascii="Arial" w:cs="Arial" w:eastAsia="Arial" w:hAnsi="Arial"/>
          <w:sz w:val="22"/>
          <w:szCs w:val="22"/>
          <w:color w:val="auto"/>
        </w:rPr>
        <w:t>($ in millions, except per share amounts)</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Assets and Liabilities: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Investment portfolio (1)</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739.4</w:t>
            </w: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PSSL investment portfolio</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147.5</w:t>
            </w: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Net assets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537.4</w:t>
            </w: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Net asset value 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13.86</w:t>
            </w: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Credit Facility</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192.8</w:t>
            </w:r>
          </w:p>
        </w:tc>
      </w:tr>
      <w:tr>
        <w:trPr>
          <w:trHeight w:val="274"/>
        </w:trPr>
        <w:tc>
          <w:tcPr>
            <w:tcW w:w="5480" w:type="dxa"/>
            <w:vAlign w:val="bottom"/>
          </w:tcPr>
          <w:p>
            <w:pPr>
              <w:ind w:left="100"/>
              <w:spacing w:after="0"/>
              <w:rPr>
                <w:sz w:val="20"/>
                <w:szCs w:val="20"/>
                <w:color w:val="auto"/>
              </w:rPr>
            </w:pPr>
            <w:r>
              <w:rPr>
                <w:rFonts w:ascii="Arial" w:cs="Arial" w:eastAsia="Arial" w:hAnsi="Arial"/>
                <w:sz w:val="22"/>
                <w:szCs w:val="22"/>
                <w:color w:val="auto"/>
              </w:rPr>
              <w:t>2023 Notes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136.1</w:t>
            </w:r>
          </w:p>
        </w:tc>
      </w:tr>
      <w:tr>
        <w:trPr>
          <w:trHeight w:val="509"/>
        </w:trPr>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5480" w:type="dxa"/>
            <w:vAlign w:val="bottom"/>
          </w:tcPr>
          <w:p>
            <w:pPr>
              <w:ind w:left="100"/>
              <w:spacing w:after="0"/>
              <w:rPr>
                <w:sz w:val="20"/>
                <w:szCs w:val="20"/>
                <w:color w:val="auto"/>
              </w:rPr>
            </w:pPr>
            <w:r>
              <w:rPr>
                <w:rFonts w:ascii="Arial" w:cs="Arial" w:eastAsia="Arial" w:hAnsi="Arial"/>
                <w:sz w:val="22"/>
                <w:szCs w:val="22"/>
                <w:color w:val="auto"/>
              </w:rPr>
              <w:t>Yield on debt investments at quarter-end</w:t>
            </w:r>
          </w:p>
        </w:tc>
        <w:tc>
          <w:tcPr>
            <w:tcW w:w="18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8.3</w:t>
            </w:r>
          </w:p>
        </w:tc>
      </w:tr>
      <w:tr>
        <w:trPr>
          <w:trHeight w:val="536"/>
        </w:trPr>
        <w:tc>
          <w:tcPr>
            <w:tcW w:w="5480" w:type="dxa"/>
            <w:vAlign w:val="bottom"/>
          </w:tcPr>
          <w:p>
            <w:pPr>
              <w:spacing w:after="0"/>
              <w:rPr>
                <w:sz w:val="20"/>
                <w:szCs w:val="20"/>
                <w:color w:val="auto"/>
              </w:rPr>
            </w:pPr>
            <w:r>
              <w:rPr>
                <w:rFonts w:ascii="Arial" w:cs="Arial" w:eastAsia="Arial" w:hAnsi="Arial"/>
                <w:sz w:val="22"/>
                <w:szCs w:val="22"/>
                <w:color w:val="auto"/>
              </w:rPr>
              <w:t>Operating Results: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Net investment loss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12"/>
              <w:spacing w:after="0"/>
              <w:rPr>
                <w:sz w:val="20"/>
                <w:szCs w:val="20"/>
                <w:color w:val="auto"/>
              </w:rPr>
            </w:pPr>
            <w:r>
              <w:rPr>
                <w:rFonts w:ascii="Arial" w:cs="Arial" w:eastAsia="Arial" w:hAnsi="Arial"/>
                <w:sz w:val="22"/>
                <w:szCs w:val="22"/>
                <w:color w:val="auto"/>
              </w:rPr>
              <w:t>(1.9)</w:t>
            </w: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GAAP net investment loss 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12"/>
              <w:spacing w:after="0"/>
              <w:rPr>
                <w:sz w:val="20"/>
                <w:szCs w:val="20"/>
                <w:color w:val="auto"/>
              </w:rPr>
            </w:pPr>
            <w:r>
              <w:rPr>
                <w:rFonts w:ascii="Arial" w:cs="Arial" w:eastAsia="Arial" w:hAnsi="Arial"/>
                <w:sz w:val="22"/>
                <w:szCs w:val="22"/>
                <w:color w:val="auto"/>
                <w:w w:val="93"/>
              </w:rPr>
              <w:t>(0.05)</w:t>
            </w:r>
          </w:p>
        </w:tc>
      </w:tr>
      <w:tr>
        <w:trPr>
          <w:trHeight w:val="243"/>
        </w:trPr>
        <w:tc>
          <w:tcPr>
            <w:tcW w:w="5480" w:type="dxa"/>
            <w:vAlign w:val="bottom"/>
          </w:tcPr>
          <w:p>
            <w:pPr>
              <w:ind w:left="100"/>
              <w:spacing w:after="0" w:line="243" w:lineRule="exact"/>
              <w:rPr>
                <w:sz w:val="20"/>
                <w:szCs w:val="20"/>
                <w:color w:val="auto"/>
              </w:rPr>
            </w:pPr>
            <w:r>
              <w:rPr>
                <w:rFonts w:ascii="Arial" w:cs="Arial" w:eastAsia="Arial" w:hAnsi="Arial"/>
                <w:sz w:val="22"/>
                <w:szCs w:val="22"/>
                <w:color w:val="auto"/>
                <w:w w:val="89"/>
              </w:rPr>
              <w:t>Reversal of capital gain incentive fee accrued but not payable</w:t>
            </w: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2"/>
                <w:szCs w:val="22"/>
                <w:color w:val="auto"/>
              </w:rPr>
              <w:t>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0.01</w:t>
            </w:r>
          </w:p>
        </w:tc>
      </w:tr>
      <w:tr>
        <w:trPr>
          <w:trHeight w:val="274"/>
        </w:trPr>
        <w:tc>
          <w:tcPr>
            <w:tcW w:w="5480" w:type="dxa"/>
            <w:vAlign w:val="bottom"/>
          </w:tcPr>
          <w:p>
            <w:pPr>
              <w:ind w:left="100"/>
              <w:spacing w:after="0"/>
              <w:rPr>
                <w:sz w:val="20"/>
                <w:szCs w:val="20"/>
                <w:color w:val="auto"/>
              </w:rPr>
            </w:pPr>
            <w:r>
              <w:rPr>
                <w:rFonts w:ascii="Arial" w:cs="Arial" w:eastAsia="Arial" w:hAnsi="Arial"/>
                <w:sz w:val="22"/>
                <w:szCs w:val="22"/>
                <w:color w:val="auto"/>
                <w:w w:val="97"/>
              </w:rPr>
              <w:t>Credit facility amendment costs and debt issuance costs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0.29</w:t>
            </w:r>
          </w:p>
        </w:tc>
      </w:tr>
      <w:tr>
        <w:trPr>
          <w:trHeight w:val="540"/>
        </w:trPr>
        <w:tc>
          <w:tcPr>
            <w:tcW w:w="5480" w:type="dxa"/>
            <w:vAlign w:val="bottom"/>
          </w:tcPr>
          <w:p>
            <w:pPr>
              <w:ind w:left="100"/>
              <w:spacing w:after="0"/>
              <w:rPr>
                <w:sz w:val="20"/>
                <w:szCs w:val="20"/>
                <w:color w:val="auto"/>
              </w:rPr>
            </w:pPr>
            <w:r>
              <w:rPr>
                <w:rFonts w:ascii="Arial" w:cs="Arial" w:eastAsia="Arial" w:hAnsi="Arial"/>
                <w:sz w:val="22"/>
                <w:szCs w:val="22"/>
                <w:color w:val="auto"/>
              </w:rPr>
              <w:t>Core net investment income per share (2)</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0.25</w:t>
            </w:r>
          </w:p>
        </w:tc>
      </w:tr>
      <w:tr>
        <w:trPr>
          <w:trHeight w:val="540"/>
        </w:trPr>
        <w:tc>
          <w:tcPr>
            <w:tcW w:w="5480" w:type="dxa"/>
            <w:vAlign w:val="bottom"/>
          </w:tcPr>
          <w:p>
            <w:pPr>
              <w:ind w:left="100"/>
              <w:spacing w:after="0"/>
              <w:rPr>
                <w:sz w:val="20"/>
                <w:szCs w:val="20"/>
                <w:color w:val="auto"/>
              </w:rPr>
            </w:pPr>
            <w:r>
              <w:rPr>
                <w:rFonts w:ascii="Arial" w:cs="Arial" w:eastAsia="Arial" w:hAnsi="Arial"/>
                <w:sz w:val="22"/>
                <w:szCs w:val="22"/>
                <w:color w:val="auto"/>
              </w:rPr>
              <w:t>Distributions declared per share</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0.285</w:t>
            </w:r>
          </w:p>
        </w:tc>
      </w:tr>
      <w:tr>
        <w:trPr>
          <w:trHeight w:val="536"/>
        </w:trPr>
        <w:tc>
          <w:tcPr>
            <w:tcW w:w="5480" w:type="dxa"/>
            <w:vAlign w:val="bottom"/>
          </w:tcPr>
          <w:p>
            <w:pPr>
              <w:spacing w:after="0"/>
              <w:rPr>
                <w:sz w:val="20"/>
                <w:szCs w:val="20"/>
                <w:color w:val="auto"/>
              </w:rPr>
            </w:pPr>
            <w:r>
              <w:rPr>
                <w:rFonts w:ascii="Arial" w:cs="Arial" w:eastAsia="Arial" w:hAnsi="Arial"/>
                <w:sz w:val="22"/>
                <w:szCs w:val="22"/>
                <w:color w:val="auto"/>
              </w:rPr>
              <w:t>Portfolio Activity:</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Purchases of investments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176.9</w:t>
            </w:r>
          </w:p>
        </w:tc>
      </w:tr>
      <w:tr>
        <w:trPr>
          <w:trHeight w:val="274"/>
        </w:trPr>
        <w:tc>
          <w:tcPr>
            <w:tcW w:w="5480" w:type="dxa"/>
            <w:vAlign w:val="bottom"/>
          </w:tcPr>
          <w:p>
            <w:pPr>
              <w:ind w:left="100"/>
              <w:spacing w:after="0"/>
              <w:rPr>
                <w:sz w:val="20"/>
                <w:szCs w:val="20"/>
                <w:color w:val="auto"/>
              </w:rPr>
            </w:pPr>
            <w:r>
              <w:rPr>
                <w:rFonts w:ascii="Arial" w:cs="Arial" w:eastAsia="Arial" w:hAnsi="Arial"/>
                <w:sz w:val="22"/>
                <w:szCs w:val="22"/>
                <w:color w:val="auto"/>
              </w:rPr>
              <w:t>Sales and repayments of investments</w:t>
            </w:r>
          </w:p>
        </w:tc>
        <w:tc>
          <w:tcPr>
            <w:tcW w:w="180" w:type="dxa"/>
            <w:vAlign w:val="bottom"/>
          </w:tcPr>
          <w:p>
            <w:pPr>
              <w:jc w:val="right"/>
              <w:spacing w:after="0"/>
              <w:rPr>
                <w:sz w:val="20"/>
                <w:szCs w:val="20"/>
                <w:color w:val="auto"/>
              </w:rPr>
            </w:pPr>
            <w:r>
              <w:rPr>
                <w:rFonts w:ascii="Arial" w:cs="Arial" w:eastAsia="Arial" w:hAnsi="Arial"/>
                <w:sz w:val="22"/>
                <w:szCs w:val="22"/>
                <w:color w:val="auto"/>
              </w:rPr>
              <w:t>$</w:t>
            </w:r>
          </w:p>
        </w:tc>
        <w:tc>
          <w:tcPr>
            <w:tcW w:w="680" w:type="dxa"/>
            <w:vAlign w:val="bottom"/>
          </w:tcPr>
          <w:p>
            <w:pPr>
              <w:jc w:val="right"/>
              <w:ind w:right="72"/>
              <w:spacing w:after="0"/>
              <w:rPr>
                <w:sz w:val="20"/>
                <w:szCs w:val="20"/>
                <w:color w:val="auto"/>
              </w:rPr>
            </w:pPr>
            <w:r>
              <w:rPr>
                <w:rFonts w:ascii="Arial" w:cs="Arial" w:eastAsia="Arial" w:hAnsi="Arial"/>
                <w:sz w:val="22"/>
                <w:szCs w:val="22"/>
                <w:color w:val="auto"/>
                <w:w w:val="87"/>
              </w:rPr>
              <w:t>149.1</w:t>
            </w:r>
          </w:p>
        </w:tc>
      </w:tr>
      <w:tr>
        <w:trPr>
          <w:trHeight w:val="536"/>
        </w:trPr>
        <w:tc>
          <w:tcPr>
            <w:tcW w:w="5480" w:type="dxa"/>
            <w:vAlign w:val="bottom"/>
          </w:tcPr>
          <w:p>
            <w:pPr>
              <w:ind w:left="100"/>
              <w:spacing w:after="0"/>
              <w:rPr>
                <w:sz w:val="20"/>
                <w:szCs w:val="20"/>
                <w:color w:val="auto"/>
              </w:rPr>
            </w:pPr>
            <w:r>
              <w:rPr>
                <w:rFonts w:ascii="Arial" w:cs="Arial" w:eastAsia="Arial" w:hAnsi="Arial"/>
                <w:sz w:val="22"/>
                <w:szCs w:val="22"/>
                <w:color w:val="auto"/>
              </w:rPr>
              <w:t>Number of new portfolio companies invested</w:t>
            </w:r>
          </w:p>
        </w:tc>
        <w:tc>
          <w:tcPr>
            <w:tcW w:w="180" w:type="dxa"/>
            <w:vAlign w:val="bottom"/>
          </w:tcPr>
          <w:p>
            <w:pPr>
              <w:spacing w:after="0"/>
              <w:rPr>
                <w:sz w:val="24"/>
                <w:szCs w:val="24"/>
                <w:color w:val="auto"/>
              </w:rPr>
            </w:pP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11</w:t>
            </w:r>
          </w:p>
        </w:tc>
      </w:tr>
      <w:tr>
        <w:trPr>
          <w:trHeight w:val="270"/>
        </w:trPr>
        <w:tc>
          <w:tcPr>
            <w:tcW w:w="5480" w:type="dxa"/>
            <w:vAlign w:val="bottom"/>
          </w:tcPr>
          <w:p>
            <w:pPr>
              <w:ind w:left="100"/>
              <w:spacing w:after="0"/>
              <w:rPr>
                <w:sz w:val="20"/>
                <w:szCs w:val="20"/>
                <w:color w:val="auto"/>
              </w:rPr>
            </w:pPr>
            <w:r>
              <w:rPr>
                <w:rFonts w:ascii="Arial" w:cs="Arial" w:eastAsia="Arial" w:hAnsi="Arial"/>
                <w:sz w:val="22"/>
                <w:szCs w:val="22"/>
                <w:color w:val="auto"/>
              </w:rPr>
              <w:t>Number of existing portfolio companies invested</w:t>
            </w:r>
          </w:p>
        </w:tc>
        <w:tc>
          <w:tcPr>
            <w:tcW w:w="18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11</w:t>
            </w:r>
          </w:p>
        </w:tc>
      </w:tr>
      <w:tr>
        <w:trPr>
          <w:trHeight w:val="274"/>
        </w:trPr>
        <w:tc>
          <w:tcPr>
            <w:tcW w:w="5480" w:type="dxa"/>
            <w:vAlign w:val="bottom"/>
          </w:tcPr>
          <w:p>
            <w:pPr>
              <w:ind w:left="100"/>
              <w:spacing w:after="0"/>
              <w:rPr>
                <w:sz w:val="20"/>
                <w:szCs w:val="20"/>
                <w:color w:val="auto"/>
              </w:rPr>
            </w:pPr>
            <w:r>
              <w:rPr>
                <w:rFonts w:ascii="Arial" w:cs="Arial" w:eastAsia="Arial" w:hAnsi="Arial"/>
                <w:sz w:val="22"/>
                <w:szCs w:val="22"/>
                <w:color w:val="auto"/>
              </w:rPr>
              <w:t>Number of ending portfolio companies</w:t>
            </w:r>
          </w:p>
        </w:tc>
        <w:tc>
          <w:tcPr>
            <w:tcW w:w="180" w:type="dxa"/>
            <w:vAlign w:val="bottom"/>
          </w:tcPr>
          <w:p>
            <w:pPr>
              <w:spacing w:after="0"/>
              <w:rPr>
                <w:sz w:val="23"/>
                <w:szCs w:val="23"/>
                <w:color w:val="auto"/>
              </w:rPr>
            </w:pPr>
          </w:p>
        </w:tc>
        <w:tc>
          <w:tcPr>
            <w:tcW w:w="680" w:type="dxa"/>
            <w:vAlign w:val="bottom"/>
          </w:tcPr>
          <w:p>
            <w:pPr>
              <w:jc w:val="right"/>
              <w:ind w:right="72"/>
              <w:spacing w:after="0"/>
              <w:rPr>
                <w:sz w:val="20"/>
                <w:szCs w:val="20"/>
                <w:color w:val="auto"/>
              </w:rPr>
            </w:pPr>
            <w:r>
              <w:rPr>
                <w:rFonts w:ascii="Arial" w:cs="Arial" w:eastAsia="Arial" w:hAnsi="Arial"/>
                <w:sz w:val="22"/>
                <w:szCs w:val="22"/>
                <w:color w:val="auto"/>
              </w:rPr>
              <w:t>84</w:t>
            </w:r>
          </w:p>
        </w:tc>
      </w:tr>
    </w:tbl>
    <w:p>
      <w:pPr>
        <w:spacing w:after="0" w:line="252" w:lineRule="exact"/>
        <w:rPr>
          <w:sz w:val="20"/>
          <w:szCs w:val="20"/>
          <w:color w:val="auto"/>
        </w:rPr>
      </w:pPr>
    </w:p>
    <w:p>
      <w:pPr>
        <w:ind w:right="220" w:firstLine="8"/>
        <w:spacing w:after="0" w:line="215" w:lineRule="auto"/>
        <w:tabs>
          <w:tab w:leader="none" w:pos="264"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Includes PennantPark Senior Secured Loan Fund I LLC, or PSSL, an unconsolidated joint venture, totaling $61.8 million, at fair value.</w:t>
      </w:r>
    </w:p>
    <w:p>
      <w:pPr>
        <w:spacing w:after="0" w:line="240" w:lineRule="exact"/>
        <w:rPr>
          <w:rFonts w:ascii="Arial" w:cs="Arial" w:eastAsia="Arial" w:hAnsi="Arial"/>
          <w:sz w:val="31"/>
          <w:szCs w:val="31"/>
          <w:color w:val="auto"/>
          <w:vertAlign w:val="superscript"/>
        </w:rPr>
      </w:pPr>
    </w:p>
    <w:p>
      <w:pPr>
        <w:ind w:right="60" w:firstLine="8"/>
        <w:spacing w:after="0" w:line="247" w:lineRule="auto"/>
        <w:tabs>
          <w:tab w:leader="none" w:pos="264" w:val="left"/>
        </w:tabs>
        <w:numPr>
          <w:ilvl w:val="0"/>
          <w:numId w:val="3"/>
        </w:numPr>
        <w:rPr>
          <w:rFonts w:ascii="Arial" w:cs="Arial" w:eastAsia="Arial" w:hAnsi="Arial"/>
          <w:sz w:val="31"/>
          <w:szCs w:val="31"/>
          <w:color w:val="auto"/>
          <w:vertAlign w:val="superscript"/>
        </w:rPr>
      </w:pPr>
      <w:r>
        <w:rPr>
          <w:rFonts w:ascii="Arial" w:cs="Arial" w:eastAsia="Arial" w:hAnsi="Arial"/>
          <w:sz w:val="19"/>
          <w:szCs w:val="19"/>
          <w:color w:val="auto"/>
        </w:rPr>
        <w:t>Core net investment income is a non-GAAP financial measure. The Company believes that core net investment income provides useful information to investors and management because it reflects the Company’s financial performance excluding the charges related to incentive fee on net unrealized gains accrued under GAAP but not payable unless such net unrealized gains are realized, the costs associated with amending our multi-currency, senior secured revolving credit facility, or the Credit Facility, and the costs associated with issuing the 3.83% Series A notes due 2023, or the 2023 Notes. The presentation of this additional information is not meant to be considered in isolation or as a substitute for financial results prepared in accordance with GAAP.</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FEBRUARY 9, 2018</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PennantPark Floating Rate Capital Ltd. (“we,” “our,” “us” or “Company”) will host a conference call at 10:00 a.m. (Eastern Time) on Friday, February 9, 2018 to discuss its financial results. All interested parties are welcome to participate. You can access the conference call by dialing toll-free (800) 239-9838 approximately 5-10 minutes prior to the call. International callers should dial (323) 794-2551. All callers should reference PennantPark Floating Rate Capital Ltd. An archived replay of the call will be available through February 23, 2018 by calling toll-free (888) 203-1112. International callers please dial (719) 457-0820. For all phone replays, please reference conference ID #8097330.</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ectPr>
          <w:pgSz w:w="11900" w:h="16838" w:orient="portrait"/>
          <w:cols w:equalWidth="0" w:num="1">
            <w:col w:w="11240"/>
          </w:cols>
          <w:pgMar w:left="320" w:top="112" w:right="339" w:bottom="0" w:gutter="0" w:footer="0" w:header="0"/>
        </w:sectPr>
      </w:pPr>
    </w:p>
    <w:bookmarkStart w:id="4" w:name="page5"/>
    <w:bookmarkEnd w:id="4"/>
    <w:p>
      <w:pPr>
        <w:jc w:val="both"/>
        <w:spacing w:after="0" w:line="273" w:lineRule="auto"/>
        <w:rPr>
          <w:sz w:val="20"/>
          <w:szCs w:val="20"/>
          <w:color w:val="auto"/>
        </w:rPr>
      </w:pPr>
      <w:r>
        <w:rPr>
          <w:rFonts w:ascii="Arial" w:cs="Arial" w:eastAsia="Arial" w:hAnsi="Arial"/>
          <w:sz w:val="19"/>
          <w:szCs w:val="19"/>
          <w:color w:val="auto"/>
        </w:rPr>
        <w:t>As of December 31, 2017, our portfolio totaled $739.4 million and consisted of $619.3 million of first lien secured debt, $39.9 million of second lien secured debt, $45.4 million of subordinated debt (of which $42.7 million was invested in PSSL) and $34.8 million of preferred and common equity (of which $19.1 million was invested in PSSL). Our debt portfolio consisted of 99% variable-rate investments (including 4% where London Interbank Offered Rate, or LIBOR, was below the floor) and 1% fixed-rate investments. As of December 31, 2017, we had one company on non-accrual, representing 0.4% and 0.2% of our overall portfolio on a cost and fair value basis, respectively. Overall, the portfolio had net unrealized appreciation of $5.6 million. Our overall portfolio consisted of 84 companies with an average investment size of $8.8 million, had a weighted average yield on debt investments of 8.3%, and was invested 84% in first lien secured debt, 5% in second lien secured debt, 6% in subordinated debt (of which 6% was invested in PSSL) and 5% in preferred and common equity (of which 3% was invested in PSSL). As of December 31, 2017, all of the investments held in PSSL were first lien secured debt.</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As of September 30, 2017, our portfolio totaled $710.5 million and consisted of $609.7 million of first lien secured debt, $37.8 million of second lien secured debt, $37.5 million of subordinated debt (of which $30.1 million was invested in PSSL) and $25.5 million of preferred and common equity (of which $13.4 million was invested in PSSL). Our debt portfolio consisted of 99% variable-rate investments (including 7% where LIBOR was below the floor) and 1% fixed-rate investments. As of September 30, 2017, we had one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in PSSL were first lien secured debt.</w:t>
      </w:r>
    </w:p>
    <w:p>
      <w:pPr>
        <w:spacing w:after="0" w:line="181"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2017, we invested $176.9 million in 11 new and 11 existing portfolio companies with a weighted average yield on debt investments of 8.0%. Sales and repayments of investments for the three months ended December 31, 2017 totaled $149.1 million.</w:t>
      </w:r>
    </w:p>
    <w:p>
      <w:pPr>
        <w:spacing w:after="0" w:line="186" w:lineRule="exact"/>
        <w:rPr>
          <w:sz w:val="20"/>
          <w:szCs w:val="20"/>
          <w:color w:val="auto"/>
        </w:rPr>
      </w:pPr>
    </w:p>
    <w:p>
      <w:pPr>
        <w:jc w:val="both"/>
        <w:spacing w:after="0"/>
        <w:rPr>
          <w:sz w:val="20"/>
          <w:szCs w:val="20"/>
          <w:color w:val="auto"/>
        </w:rPr>
      </w:pPr>
      <w:r>
        <w:rPr>
          <w:rFonts w:ascii="Arial" w:cs="Arial" w:eastAsia="Arial" w:hAnsi="Arial"/>
          <w:sz w:val="22"/>
          <w:szCs w:val="22"/>
          <w:color w:val="auto"/>
        </w:rPr>
        <w:t>For the three months ended December 31, 2016, we invested $124.8 million in 12 new and 13 existing portfolio companies with a weighted average yield on debt investments of 7.6%. Sales and repayments of investments for the three months ended December 31, 2016 totaled $70.4 million.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Set forth below are the results of operations for the three months ended December 31, 2017 and 2016.</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Investment income for the three months ended December 31, 2017 was $14.8 million and was attributable to $13.6 million from first lien secured debt and $1.2 million from second lien secured debt and subordinated debt. Investment income for the three months ended December 31, 2016 was $12.6 million and was attributable to $11.2 million from first lien senior debt and $1.4 million from second lien secured debt and subordinated debt. The increase in investment income compared to the same period in the prior year was primarily due to the growth of our portfolio.</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Expenses for the three months ended December 31, 2017 totaled $16.8 million. Base management fee for the same period totaled $1.8 million, incentive fee totaled $0.1 million (including $(0.1) million on realized gains and $0.2 million on unrealized gains accrued but not payable), debt related interest and expenses totaled $13.5 million (including $10.9 million in Credit Facility amendment and debt issuance costs on the 2023 Notes), general and administrative expenses totaled $1.2 million and provision for taxes totaled $0.2 million. Expenses for the three months ended December 31, 2016 totaled $5.8 million. Base management fee for the same period totaled $1.6 million, incentive fee totaled $1.5 million (including $0.6 million on unrealized gains accrued but not yet payable), Credit Facility expenses totaled $1.8 million and general and administrative expenses totaled $0.9 million. The increase in expenses compared to the same period in the prior year was primarily due to the expenses incurred in connection with the Credit Facility amendment and debt issuance costs on the 2023 Notes in the current period, which was partially offset by a reduction in incentive fee.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(Loss) Income</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Net investment (loss) income totaled $(1.9) million, or $(0.05) per share, for the three months ended December 31, 2017, and $6.8 million, or $0.26 per share, for the three months ended December 31, 2016. Core net investment income, a non-GAAP financial measure that excludes capital gain incentive fee accruals not payable, Credit Facility amendment costs and debt issuance costs on the 2023 Notes, totaled $9.1 million, or $0.25 per share, for the three months ended December 31, 2017. Core net investment income totaled $7.4 million, or $0.28 per share, for the three months ended December 31, 2016. There were no Credit Facility amendment costs during such period. The decrease in net investment income compared to the same period in the prior year was primarily due to the expenses incurred in connection with the Credit Facility amendment and debt issuance costs on the 2023 Notes in the current period.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ectPr>
          <w:pgSz w:w="11900" w:h="16838" w:orient="portrait"/>
          <w:cols w:equalWidth="0" w:num="1">
            <w:col w:w="11240"/>
          </w:cols>
          <w:pgMar w:left="320" w:top="118" w:right="339" w:bottom="194"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Sales and repayments of investments for the three months ended December 31, 2017 totaled $149.1 million and net realized losses totaled $2.8 million. Sales and repayments of investments totaled $70.4 million and realized gains totaled $0.5 million for the three months ended December 31, 2016. The change in realized gains was primarily due to changes in the market conditions of our investments and the values at which they were realized.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the Credit Facility and the 2023 Notes</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December 31, 2017 and 2016, we reported net change in unrealized appreciation on investments of $3.5 million and $2.5 million, respectively. As of December 31, 2017 and September 30, 2017, our net unrealized appreciation on investments totaled $5.6 million and $2.0 million, respectively. The net change in unrealized appreciation on our investments was driven primarily by changes in the capital market conditions, the financial performance of certain portfolio companies and the reversal of unrealized depreciation (appreciation) on investments that were realized.</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For the three months ended December 31, 2017, our Credit Facility and the 2023 Notes had a net change in unrealized depreciation of $3.1 million. For the three months ended December 31, 2016, our Credit Facility had a net change in unrealized appreciation of $1.1 million. As of December 31, 2017 and September 30, 2017, our net unrealized depreciation (appreciation) on the Credit Facility and the 2023 Notes totaled $0.1 million and $(3.1) million, respectively. The change in net unrealized depreciation compared to the same period in the prior year was primarily due to changes in the capital markets.</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Net change in net assets resulting from operations totaled $1.9 million, or $0.05 per share, for the three months ended December 31, 2017. This compares to a net change in net assets resulting from operations of $8.8 million, or $0.33 per share, for the three months ended December 31, 2016. The decrease in the net change in net assets from operations compared to the same period in the prior year was primarily due to the expenses incurred in connection with the Credit Facility amendment and debt issuance costs on the 2023 Notes in the current period.</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annualized weighted average cost of debt for the three months ended December 31, 2017 and 2016, inclusive of the fee on the undrawn commitment of 0.375% on the Credit Facility, amendment costs and debt issuance costs, was 7.75% and 2.91%, respectively (excluding amendment and debt issuance costs, amounts are 3.80% and 2.91%, respectively).</w:t>
      </w:r>
    </w:p>
    <w:p>
      <w:pPr>
        <w:spacing w:after="0" w:line="16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As of December 31, 2017 and September 30, 2017, we had $190.4 million and $253.8 million of outstanding borrowings under the Credit Facility, respectively. The Credit Facility had a weighted average interest rate of 3.46% and 3.18%, exclusive of the fee on undrawn commitments as of December 31, 2017 and September 30, 2017, respectively. As of December 31, 2017 and September 30, 2017, we had $214.6 million and $121.2 million of unused borrowing capacity under our Credit Facility, respectively, subject to regulatory restrictions.</w:t>
      </w:r>
    </w:p>
    <w:p>
      <w:pPr>
        <w:spacing w:after="0" w:line="187"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In October and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our Investment Adviser.</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In November 2017, we issued $138.6 million of our 2023 Notes. 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On December 31, 2017 and September 30, 2017, we had cash equivalents of $127.8 million and $18.9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operating activities used cash of $44.6 million for the three months ended December 31, 2017, and our financing activities provided cash of $153.4 million for the same period. Our operating activities used cash primarily for our investment activities and our financing activities provided cash primarily from our recent equity offering, the issuance of the 2023 Notes and net borrowings under the Credit Facility.</w:t>
      </w:r>
    </w:p>
    <w:p>
      <w:pPr>
        <w:spacing w:after="0" w:line="185"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color w:val="auto"/>
        </w:rPr>
        <w:t>Our operating activities used cash of $63.5 million for the three months ended December 31, 2016, and our financing activities provided cash of $58.8 million for the same period. Our operating activities used cash primarily for our investment activities and our financing activities provided cash primarily from net borrowings under the Credit Facility.</w:t>
      </w:r>
    </w:p>
    <w:p>
      <w:pPr>
        <w:sectPr>
          <w:pgSz w:w="11900" w:h="16838" w:orient="portrait"/>
          <w:cols w:equalWidth="0" w:num="1">
            <w:col w:w="11240"/>
          </w:cols>
          <w:pgMar w:left="320" w:top="118" w:right="339" w:bottom="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DISTRIBUTIONS</w:t>
      </w:r>
    </w:p>
    <w:p>
      <w:pPr>
        <w:spacing w:after="0" w:line="21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During the three months ended December 31, 2017 and 2016, we declared distributions of $0.285 and $0.285 per share, respectively, for total distributions of $10.4 million and $7.6 million, respectively. We monitor available net investment income to determine if a tax return of capital may occur for the fiscal year. To the extent our taxable earnings fall below the total amount of our distributions for any given fiscal year, common stockholders will be notified of the portion of those distributions deemed to be a tax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Company makes available on its website its report on Form 10-Q filed with the SEC and stockholders may find the report on its website at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ASSETS AND LIABILITIES</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7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86"/>
              </w:rPr>
              <w:t>December 31,</w:t>
            </w:r>
          </w:p>
        </w:tc>
        <w:tc>
          <w:tcPr>
            <w:tcW w:w="14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22"/>
                <w:szCs w:val="22"/>
                <w:b w:val="1"/>
                <w:bCs w:val="1"/>
                <w:color w:val="auto"/>
                <w:w w:val="86"/>
              </w:rPr>
              <w:t>September 30,</w:t>
            </w:r>
          </w:p>
        </w:tc>
      </w:tr>
      <w:tr>
        <w:trPr>
          <w:trHeight w:val="270"/>
        </w:trPr>
        <w:tc>
          <w:tcPr>
            <w:tcW w:w="7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center"/>
              <w:ind w:right="32"/>
              <w:spacing w:after="0"/>
              <w:rPr>
                <w:sz w:val="20"/>
                <w:szCs w:val="20"/>
                <w:color w:val="auto"/>
              </w:rPr>
            </w:pPr>
            <w:r>
              <w:rPr>
                <w:rFonts w:ascii="Arial" w:cs="Arial" w:eastAsia="Arial" w:hAnsi="Arial"/>
                <w:sz w:val="22"/>
                <w:szCs w:val="22"/>
                <w:b w:val="1"/>
                <w:bCs w:val="1"/>
                <w:color w:val="auto"/>
                <w:w w:val="89"/>
              </w:rPr>
              <w:t>2017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ind w:right="492"/>
              <w:spacing w:after="0"/>
              <w:rPr>
                <w:sz w:val="20"/>
                <w:szCs w:val="20"/>
                <w:color w:val="auto"/>
              </w:rPr>
            </w:pPr>
            <w:r>
              <w:rPr>
                <w:rFonts w:ascii="Arial" w:cs="Arial" w:eastAsia="Arial" w:hAnsi="Arial"/>
                <w:sz w:val="22"/>
                <w:szCs w:val="22"/>
                <w:b w:val="1"/>
                <w:bCs w:val="1"/>
                <w:color w:val="auto"/>
              </w:rPr>
              <w:t>2017</w:t>
            </w:r>
          </w:p>
        </w:tc>
        <w:tc>
          <w:tcPr>
            <w:tcW w:w="80" w:type="dxa"/>
            <w:vAlign w:val="bottom"/>
          </w:tcPr>
          <w:p>
            <w:pPr>
              <w:spacing w:after="0"/>
              <w:rPr>
                <w:sz w:val="23"/>
                <w:szCs w:val="23"/>
                <w:color w:val="auto"/>
              </w:rPr>
            </w:pPr>
          </w:p>
        </w:tc>
      </w:tr>
      <w:tr>
        <w:trPr>
          <w:trHeight w:val="280"/>
        </w:trPr>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22"/>
                <w:szCs w:val="22"/>
                <w:b w:val="1"/>
                <w:bCs w:val="1"/>
                <w:color w:val="auto"/>
                <w:w w:val="90"/>
              </w:rPr>
              <w:t>(unaudited)</w:t>
            </w: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7760" w:type="dxa"/>
            <w:vAlign w:val="bottom"/>
          </w:tcPr>
          <w:p>
            <w:pPr>
              <w:spacing w:after="0"/>
              <w:rPr>
                <w:sz w:val="20"/>
                <w:szCs w:val="20"/>
                <w:color w:val="auto"/>
              </w:rPr>
            </w:pPr>
            <w:r>
              <w:rPr>
                <w:rFonts w:ascii="Arial" w:cs="Arial" w:eastAsia="Arial" w:hAnsi="Arial"/>
                <w:sz w:val="22"/>
                <w:szCs w:val="22"/>
                <w:b w:val="1"/>
                <w:bCs w:val="1"/>
                <w:color w:val="auto"/>
              </w:rPr>
              <w:t>Assets</w:t>
            </w:r>
          </w:p>
        </w:tc>
        <w:tc>
          <w:tcPr>
            <w:tcW w:w="14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Investments at fair value</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7760" w:type="dxa"/>
            <w:vAlign w:val="bottom"/>
          </w:tcPr>
          <w:p>
            <w:pPr>
              <w:ind w:left="260"/>
              <w:spacing w:after="0" w:line="243" w:lineRule="exact"/>
              <w:rPr>
                <w:sz w:val="20"/>
                <w:szCs w:val="20"/>
                <w:color w:val="auto"/>
              </w:rPr>
            </w:pPr>
            <w:r>
              <w:rPr>
                <w:rFonts w:ascii="Arial" w:cs="Arial" w:eastAsia="Arial" w:hAnsi="Arial"/>
                <w:sz w:val="22"/>
                <w:szCs w:val="22"/>
                <w:color w:val="auto"/>
                <w:w w:val="92"/>
              </w:rPr>
              <w:t>Non-controlled, non-affiliated investments (cost—$672,975,750 and $665,514,821,</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260"/>
              <w:spacing w:after="0"/>
              <w:rPr>
                <w:sz w:val="20"/>
                <w:szCs w:val="20"/>
                <w:color w:val="auto"/>
              </w:rPr>
            </w:pPr>
            <w:r>
              <w:rPr>
                <w:rFonts w:ascii="Arial" w:cs="Arial" w:eastAsia="Arial" w:hAnsi="Arial"/>
                <w:sz w:val="22"/>
                <w:szCs w:val="22"/>
                <w:color w:val="auto"/>
              </w:rPr>
              <w:t>respectively)</w:t>
            </w: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Pr>
          <w:p>
            <w:pPr>
              <w:jc w:val="right"/>
              <w:spacing w:after="0"/>
              <w:rPr>
                <w:sz w:val="20"/>
                <w:szCs w:val="20"/>
                <w:color w:val="auto"/>
              </w:rPr>
            </w:pPr>
            <w:r>
              <w:rPr>
                <w:rFonts w:ascii="Arial" w:cs="Arial" w:eastAsia="Arial" w:hAnsi="Arial"/>
                <w:sz w:val="22"/>
                <w:szCs w:val="22"/>
                <w:color w:val="auto"/>
              </w:rPr>
              <w:t>677,586,189</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Pr>
          <w:p>
            <w:pPr>
              <w:jc w:val="right"/>
              <w:spacing w:after="0"/>
              <w:rPr>
                <w:sz w:val="20"/>
                <w:szCs w:val="20"/>
                <w:color w:val="auto"/>
              </w:rPr>
            </w:pPr>
            <w:r>
              <w:rPr>
                <w:rFonts w:ascii="Arial" w:cs="Arial" w:eastAsia="Arial" w:hAnsi="Arial"/>
                <w:sz w:val="22"/>
                <w:szCs w:val="22"/>
                <w:color w:val="auto"/>
              </w:rPr>
              <w:t>666,973,639</w:t>
            </w:r>
          </w:p>
        </w:tc>
        <w:tc>
          <w:tcPr>
            <w:tcW w:w="80" w:type="dxa"/>
            <w:vAlign w:val="bottom"/>
          </w:tcPr>
          <w:p>
            <w:pPr>
              <w:spacing w:after="0"/>
              <w:rPr>
                <w:sz w:val="23"/>
                <w:szCs w:val="23"/>
                <w:color w:val="auto"/>
              </w:rPr>
            </w:pPr>
          </w:p>
        </w:tc>
      </w:tr>
      <w:tr>
        <w:trPr>
          <w:trHeight w:val="274"/>
        </w:trPr>
        <w:tc>
          <w:tcPr>
            <w:tcW w:w="7760" w:type="dxa"/>
            <w:vAlign w:val="bottom"/>
          </w:tcPr>
          <w:p>
            <w:pPr>
              <w:ind w:left="260"/>
              <w:spacing w:after="0"/>
              <w:rPr>
                <w:sz w:val="20"/>
                <w:szCs w:val="20"/>
                <w:color w:val="auto"/>
              </w:rPr>
            </w:pPr>
            <w:r>
              <w:rPr>
                <w:rFonts w:ascii="Arial" w:cs="Arial" w:eastAsia="Arial" w:hAnsi="Arial"/>
                <w:sz w:val="22"/>
                <w:szCs w:val="22"/>
                <w:color w:val="auto"/>
                <w:w w:val="90"/>
              </w:rPr>
              <w:t>Controlled, affiliated investments (cost—$61,000,000 and $43,000,000, respectively)</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61,843,585</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43,525,143</w:t>
            </w:r>
          </w:p>
        </w:tc>
        <w:tc>
          <w:tcPr>
            <w:tcW w:w="80" w:type="dxa"/>
            <w:vAlign w:val="bottom"/>
          </w:tcPr>
          <w:p>
            <w:pPr>
              <w:spacing w:after="0"/>
              <w:rPr>
                <w:sz w:val="23"/>
                <w:szCs w:val="23"/>
                <w:color w:val="auto"/>
              </w:rPr>
            </w:pPr>
          </w:p>
        </w:tc>
      </w:tr>
      <w:tr>
        <w:trPr>
          <w:trHeight w:val="259"/>
        </w:trPr>
        <w:tc>
          <w:tcPr>
            <w:tcW w:w="7760" w:type="dxa"/>
            <w:vAlign w:val="bottom"/>
          </w:tcPr>
          <w:p>
            <w:pPr>
              <w:ind w:left="260"/>
              <w:spacing w:after="0"/>
              <w:rPr>
                <w:sz w:val="20"/>
                <w:szCs w:val="20"/>
                <w:color w:val="auto"/>
              </w:rPr>
            </w:pPr>
            <w:r>
              <w:rPr>
                <w:rFonts w:ascii="Arial" w:cs="Arial" w:eastAsia="Arial" w:hAnsi="Arial"/>
                <w:sz w:val="22"/>
                <w:szCs w:val="22"/>
                <w:color w:val="auto"/>
              </w:rPr>
              <w:t>Total of investments (cost—$733,975,750 and $708,514,821, respectively)</w:t>
            </w:r>
          </w:p>
        </w:tc>
        <w:tc>
          <w:tcPr>
            <w:tcW w:w="1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739,429,774</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710,498,782</w:t>
            </w: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w w:val="99"/>
              </w:rPr>
              <w:t>Cash and cash equivalents (cost—$127,718,637 and $18,847,673, respectively)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127,785,338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18,910,756</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Interest receivable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2,632,994</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2,520,506</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Receivable for investments sold</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11,190,048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14,185,850</w:t>
            </w:r>
          </w:p>
        </w:tc>
        <w:tc>
          <w:tcPr>
            <w:tcW w:w="80" w:type="dxa"/>
            <w:vAlign w:val="bottom"/>
          </w:tcPr>
          <w:p>
            <w:pPr>
              <w:spacing w:after="0"/>
              <w:rPr>
                <w:sz w:val="23"/>
                <w:szCs w:val="23"/>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Prepaid expenses and other assets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806,566</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1,229,505</w:t>
            </w:r>
          </w:p>
        </w:tc>
        <w:tc>
          <w:tcPr>
            <w:tcW w:w="80" w:type="dxa"/>
            <w:vAlign w:val="bottom"/>
          </w:tcPr>
          <w:p>
            <w:pPr>
              <w:spacing w:after="0"/>
              <w:rPr>
                <w:sz w:val="23"/>
                <w:szCs w:val="23"/>
                <w:color w:val="auto"/>
              </w:rPr>
            </w:pP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assets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881,844,720</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747,345,399</w:t>
            </w:r>
          </w:p>
        </w:tc>
        <w:tc>
          <w:tcPr>
            <w:tcW w:w="80" w:type="dxa"/>
            <w:vAlign w:val="bottom"/>
          </w:tcPr>
          <w:p>
            <w:pPr>
              <w:spacing w:after="0"/>
              <w:rPr>
                <w:sz w:val="23"/>
                <w:szCs w:val="23"/>
                <w:color w:val="auto"/>
              </w:rPr>
            </w:pPr>
          </w:p>
        </w:tc>
      </w:tr>
      <w:tr>
        <w:trPr>
          <w:trHeight w:val="256"/>
        </w:trPr>
        <w:tc>
          <w:tcPr>
            <w:tcW w:w="7760" w:type="dxa"/>
            <w:vAlign w:val="bottom"/>
          </w:tcPr>
          <w:p>
            <w:pPr>
              <w:spacing w:after="0"/>
              <w:rPr>
                <w:sz w:val="20"/>
                <w:szCs w:val="20"/>
                <w:color w:val="auto"/>
              </w:rPr>
            </w:pPr>
            <w:r>
              <w:rPr>
                <w:rFonts w:ascii="Arial" w:cs="Arial" w:eastAsia="Arial" w:hAnsi="Arial"/>
                <w:sz w:val="22"/>
                <w:szCs w:val="22"/>
                <w:b w:val="1"/>
                <w:bCs w:val="1"/>
                <w:color w:val="auto"/>
              </w:rPr>
              <w:t>Liabilities</w:t>
            </w: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Distributions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3,683,347</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3,085,607</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Payable for investments purchased</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5,599,239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21,730,512</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Credit Facility payable (cost—$190,368,311 and $253,783,301, respectively)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192,809,299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256,858,457</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2023 Notes payable (cost—$138,579,858 and zero, respectively)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136,085,421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Interest payable on debt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1,189,268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693,787</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Base management fee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1,822,063</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1,784,806</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Performance-based incentive fee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2,572,461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5,061,217</w:t>
            </w:r>
          </w:p>
        </w:tc>
        <w:tc>
          <w:tcPr>
            <w:tcW w:w="80" w:type="dxa"/>
            <w:vAlign w:val="bottom"/>
          </w:tcPr>
          <w:p>
            <w:pPr>
              <w:spacing w:after="0"/>
              <w:rPr>
                <w:sz w:val="23"/>
                <w:szCs w:val="23"/>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Accrued other expenses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663,371</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224,739</w:t>
            </w:r>
          </w:p>
        </w:tc>
        <w:tc>
          <w:tcPr>
            <w:tcW w:w="80" w:type="dxa"/>
            <w:vAlign w:val="bottom"/>
          </w:tcPr>
          <w:p>
            <w:pPr>
              <w:spacing w:after="0"/>
              <w:rPr>
                <w:sz w:val="23"/>
                <w:szCs w:val="23"/>
                <w:color w:val="auto"/>
              </w:rPr>
            </w:pP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liabilities</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344,424,469</w:t>
            </w:r>
          </w:p>
        </w:tc>
        <w:tc>
          <w:tcPr>
            <w:tcW w:w="1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289,439,125</w:t>
            </w:r>
          </w:p>
        </w:tc>
        <w:tc>
          <w:tcPr>
            <w:tcW w:w="80" w:type="dxa"/>
            <w:vAlign w:val="bottom"/>
          </w:tcPr>
          <w:p>
            <w:pPr>
              <w:spacing w:after="0"/>
              <w:rPr>
                <w:sz w:val="23"/>
                <w:szCs w:val="23"/>
                <w:color w:val="auto"/>
              </w:rPr>
            </w:pPr>
          </w:p>
        </w:tc>
      </w:tr>
      <w:tr>
        <w:trPr>
          <w:trHeight w:val="250"/>
        </w:trPr>
        <w:tc>
          <w:tcPr>
            <w:tcW w:w="7760" w:type="dxa"/>
            <w:vAlign w:val="bottom"/>
          </w:tcPr>
          <w:p>
            <w:pPr>
              <w:spacing w:after="0" w:line="249" w:lineRule="exact"/>
              <w:rPr>
                <w:sz w:val="20"/>
                <w:szCs w:val="20"/>
                <w:color w:val="auto"/>
              </w:rPr>
            </w:pPr>
            <w:r>
              <w:rPr>
                <w:rFonts w:ascii="Arial" w:cs="Arial" w:eastAsia="Arial" w:hAnsi="Arial"/>
                <w:sz w:val="22"/>
                <w:szCs w:val="22"/>
                <w:color w:val="auto"/>
              </w:rPr>
              <w:t>Commitments and contingencies</w:t>
            </w:r>
          </w:p>
        </w:tc>
        <w:tc>
          <w:tcPr>
            <w:tcW w:w="140" w:type="dxa"/>
            <w:vAlign w:val="bottom"/>
          </w:tcPr>
          <w:p>
            <w:pPr>
              <w:spacing w:after="0"/>
              <w:rPr>
                <w:sz w:val="21"/>
                <w:szCs w:val="21"/>
                <w:color w:val="auto"/>
              </w:rPr>
            </w:pPr>
          </w:p>
        </w:tc>
        <w:tc>
          <w:tcPr>
            <w:tcW w:w="142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spacing w:after="0" w:line="249"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r>
      <w:tr>
        <w:trPr>
          <w:trHeight w:val="276"/>
        </w:trPr>
        <w:tc>
          <w:tcPr>
            <w:tcW w:w="7760" w:type="dxa"/>
            <w:vAlign w:val="bottom"/>
          </w:tcPr>
          <w:p>
            <w:pPr>
              <w:spacing w:after="0"/>
              <w:rPr>
                <w:sz w:val="20"/>
                <w:szCs w:val="20"/>
                <w:color w:val="auto"/>
              </w:rPr>
            </w:pPr>
            <w:r>
              <w:rPr>
                <w:rFonts w:ascii="Arial" w:cs="Arial" w:eastAsia="Arial" w:hAnsi="Arial"/>
                <w:sz w:val="22"/>
                <w:szCs w:val="22"/>
                <w:b w:val="1"/>
                <w:bCs w:val="1"/>
                <w:color w:val="auto"/>
              </w:rPr>
              <w:t>Net assets</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7760" w:type="dxa"/>
            <w:vAlign w:val="bottom"/>
          </w:tcPr>
          <w:p>
            <w:pPr>
              <w:spacing w:after="0" w:line="243" w:lineRule="exact"/>
              <w:rPr>
                <w:sz w:val="20"/>
                <w:szCs w:val="20"/>
                <w:color w:val="auto"/>
              </w:rPr>
            </w:pPr>
            <w:r>
              <w:rPr>
                <w:rFonts w:ascii="Arial" w:cs="Arial" w:eastAsia="Arial" w:hAnsi="Arial"/>
                <w:sz w:val="22"/>
                <w:szCs w:val="22"/>
                <w:color w:val="auto"/>
                <w:w w:val="89"/>
              </w:rPr>
              <w:t>Common stock, 38,772,074 and 32,480,074 shares issued and outstanding, respectively</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70"/>
        </w:trPr>
        <w:tc>
          <w:tcPr>
            <w:tcW w:w="7760" w:type="dxa"/>
            <w:vAlign w:val="bottom"/>
          </w:tcPr>
          <w:p>
            <w:pPr>
              <w:ind w:left="100"/>
              <w:spacing w:after="0"/>
              <w:rPr>
                <w:sz w:val="20"/>
                <w:szCs w:val="20"/>
                <w:color w:val="auto"/>
              </w:rPr>
            </w:pPr>
            <w:r>
              <w:rPr>
                <w:rFonts w:ascii="Arial" w:cs="Arial" w:eastAsia="Arial" w:hAnsi="Arial"/>
                <w:sz w:val="22"/>
                <w:szCs w:val="22"/>
                <w:color w:val="auto"/>
              </w:rPr>
              <w:t>Par value $0.001 per share and 100,000,000 shares authorized</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38,772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32,480</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Paid-in capital in excess of par value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539,462,336</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451,448,872</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(Distributions in excess of ) undistributed net investment income</w:t>
            </w:r>
          </w:p>
        </w:tc>
        <w:tc>
          <w:tcPr>
            <w:tcW w:w="140" w:type="dxa"/>
            <w:vAlign w:val="bottom"/>
          </w:tcPr>
          <w:p>
            <w:pPr>
              <w:spacing w:after="0"/>
              <w:rPr>
                <w:sz w:val="23"/>
                <w:szCs w:val="23"/>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22"/>
                <w:szCs w:val="22"/>
                <w:color w:val="auto"/>
              </w:rPr>
              <w:t>(9,200,786)</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3,163,645</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Accumulated net realized gain on investments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1,502,838</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4,289,389</w:t>
            </w:r>
          </w:p>
        </w:tc>
        <w:tc>
          <w:tcPr>
            <w:tcW w:w="80" w:type="dxa"/>
            <w:vAlign w:val="bottom"/>
          </w:tcPr>
          <w:p>
            <w:pPr>
              <w:spacing w:after="0"/>
              <w:rPr>
                <w:sz w:val="23"/>
                <w:szCs w:val="23"/>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22"/>
                <w:szCs w:val="22"/>
                <w:color w:val="auto"/>
              </w:rPr>
              <w:t>Net unrealized appreciation on investments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5,563,642</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22"/>
                <w:szCs w:val="22"/>
                <w:color w:val="auto"/>
              </w:rPr>
              <w:t>2,047,044</w:t>
            </w:r>
          </w:p>
        </w:tc>
        <w:tc>
          <w:tcPr>
            <w:tcW w:w="80" w:type="dxa"/>
            <w:vAlign w:val="bottom"/>
          </w:tcPr>
          <w:p>
            <w:pPr>
              <w:spacing w:after="0"/>
              <w:rPr>
                <w:sz w:val="23"/>
                <w:szCs w:val="23"/>
                <w:color w:val="auto"/>
              </w:rPr>
            </w:pPr>
          </w:p>
        </w:tc>
      </w:tr>
      <w:tr>
        <w:trPr>
          <w:trHeight w:val="274"/>
        </w:trPr>
        <w:tc>
          <w:tcPr>
            <w:tcW w:w="7760" w:type="dxa"/>
            <w:vAlign w:val="bottom"/>
          </w:tcPr>
          <w:p>
            <w:pPr>
              <w:spacing w:after="0"/>
              <w:rPr>
                <w:sz w:val="20"/>
                <w:szCs w:val="20"/>
                <w:color w:val="auto"/>
              </w:rPr>
            </w:pPr>
            <w:r>
              <w:rPr>
                <w:rFonts w:ascii="Arial" w:cs="Arial" w:eastAsia="Arial" w:hAnsi="Arial"/>
                <w:sz w:val="22"/>
                <w:szCs w:val="22"/>
                <w:color w:val="auto"/>
              </w:rPr>
              <w:t>Net unrealized depreciation (appreciation) on debt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2"/>
                <w:szCs w:val="22"/>
                <w:color w:val="auto"/>
              </w:rPr>
              <w:t>53,449</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2"/>
          </w:tcPr>
          <w:p>
            <w:pPr>
              <w:jc w:val="right"/>
              <w:spacing w:after="0"/>
              <w:rPr>
                <w:sz w:val="20"/>
                <w:szCs w:val="20"/>
                <w:color w:val="auto"/>
              </w:rPr>
            </w:pPr>
            <w:r>
              <w:rPr>
                <w:rFonts w:ascii="Arial" w:cs="Arial" w:eastAsia="Arial" w:hAnsi="Arial"/>
                <w:sz w:val="22"/>
                <w:szCs w:val="22"/>
                <w:color w:val="auto"/>
              </w:rPr>
              <w:t>(3,075,156)</w:t>
            </w:r>
          </w:p>
        </w:tc>
      </w:tr>
      <w:tr>
        <w:trPr>
          <w:trHeight w:val="267"/>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net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537,420,251</w:t>
            </w:r>
          </w:p>
        </w:tc>
        <w:tc>
          <w:tcPr>
            <w:tcW w:w="180" w:type="dxa"/>
            <w:vAlign w:val="bottom"/>
          </w:tcPr>
          <w:p>
            <w:pPr>
              <w:spacing w:after="0"/>
              <w:rPr>
                <w:sz w:val="23"/>
                <w:szCs w:val="23"/>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457,906,274</w:t>
            </w:r>
          </w:p>
        </w:tc>
        <w:tc>
          <w:tcPr>
            <w:tcW w:w="80" w:type="dxa"/>
            <w:vAlign w:val="bottom"/>
          </w:tcPr>
          <w:p>
            <w:pPr>
              <w:spacing w:after="0"/>
              <w:rPr>
                <w:sz w:val="23"/>
                <w:szCs w:val="23"/>
                <w:color w:val="auto"/>
              </w:rPr>
            </w:pPr>
          </w:p>
        </w:tc>
      </w:tr>
      <w:tr>
        <w:trPr>
          <w:trHeight w:val="264"/>
        </w:trPr>
        <w:tc>
          <w:tcPr>
            <w:tcW w:w="7760" w:type="dxa"/>
            <w:vAlign w:val="bottom"/>
          </w:tcPr>
          <w:p>
            <w:pPr>
              <w:ind w:left="400"/>
              <w:spacing w:after="0"/>
              <w:rPr>
                <w:sz w:val="20"/>
                <w:szCs w:val="20"/>
                <w:color w:val="auto"/>
              </w:rPr>
            </w:pPr>
            <w:r>
              <w:rPr>
                <w:rFonts w:ascii="Arial" w:cs="Arial" w:eastAsia="Arial" w:hAnsi="Arial"/>
                <w:sz w:val="22"/>
                <w:szCs w:val="22"/>
                <w:b w:val="1"/>
                <w:bCs w:val="1"/>
                <w:color w:val="auto"/>
              </w:rPr>
              <w:t>Total liabilities and net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881,844,720</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747,345,399</w:t>
            </w:r>
          </w:p>
        </w:tc>
        <w:tc>
          <w:tcPr>
            <w:tcW w:w="80" w:type="dxa"/>
            <w:vAlign w:val="bottom"/>
          </w:tcPr>
          <w:p>
            <w:pPr>
              <w:spacing w:after="0"/>
              <w:rPr>
                <w:sz w:val="22"/>
                <w:szCs w:val="22"/>
                <w:color w:val="auto"/>
              </w:rPr>
            </w:pP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60" w:type="dxa"/>
            <w:vAlign w:val="bottom"/>
          </w:tcPr>
          <w:p>
            <w:pPr>
              <w:spacing w:after="0"/>
              <w:rPr>
                <w:sz w:val="20"/>
                <w:szCs w:val="20"/>
                <w:color w:val="auto"/>
              </w:rPr>
            </w:pPr>
            <w:r>
              <w:rPr>
                <w:rFonts w:ascii="Arial" w:cs="Arial" w:eastAsia="Arial" w:hAnsi="Arial"/>
                <w:sz w:val="22"/>
                <w:szCs w:val="22"/>
                <w:b w:val="1"/>
                <w:bCs w:val="1"/>
                <w:color w:val="auto"/>
              </w:rPr>
              <w:t>Net asset value per share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13.86</w:t>
            </w:r>
          </w:p>
        </w:tc>
        <w:tc>
          <w:tcPr>
            <w:tcW w:w="1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8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14.10</w:t>
            </w:r>
          </w:p>
        </w:tc>
        <w:tc>
          <w:tcPr>
            <w:tcW w:w="80" w:type="dxa"/>
            <w:vAlign w:val="bottom"/>
          </w:tcPr>
          <w:p>
            <w:pPr>
              <w:spacing w:after="0"/>
              <w:rPr>
                <w:sz w:val="22"/>
                <w:szCs w:val="22"/>
                <w:color w:val="auto"/>
              </w:rPr>
            </w:pPr>
          </w:p>
        </w:tc>
      </w:tr>
      <w:tr>
        <w:trPr>
          <w:trHeight w:val="21"/>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200" w:lineRule="exact"/>
        <w:rPr>
          <w:sz w:val="20"/>
          <w:szCs w:val="20"/>
          <w:color w:val="auto"/>
        </w:rPr>
      </w:pPr>
    </w:p>
    <w:p>
      <w:pPr>
        <w:spacing w:after="0" w:line="266" w:lineRule="exact"/>
        <w:rPr>
          <w:sz w:val="20"/>
          <w:szCs w:val="20"/>
          <w:color w:val="auto"/>
        </w:rPr>
      </w:pPr>
    </w:p>
    <w:p>
      <w:pPr>
        <w:jc w:val="center"/>
        <w:ind w:left="7580"/>
        <w:spacing w:after="0"/>
        <w:rPr>
          <w:sz w:val="20"/>
          <w:szCs w:val="20"/>
          <w:color w:val="auto"/>
        </w:rPr>
      </w:pPr>
      <w:r>
        <w:rPr>
          <w:rFonts w:ascii="Arial" w:cs="Arial" w:eastAsia="Arial" w:hAnsi="Arial"/>
          <w:sz w:val="21"/>
          <w:szCs w:val="21"/>
          <w:b w:val="1"/>
          <w:bCs w:val="1"/>
          <w:u w:val="single" w:color="auto"/>
          <w:color w:val="auto"/>
        </w:rPr>
        <w:t>Three Months Ended December 31,</w:t>
      </w:r>
    </w:p>
    <w:p>
      <w:pPr>
        <w:spacing w:after="0" w:line="42" w:lineRule="exact"/>
        <w:rPr>
          <w:sz w:val="20"/>
          <w:szCs w:val="20"/>
          <w:color w:val="auto"/>
        </w:rPr>
      </w:pPr>
    </w:p>
    <w:p>
      <w:pPr>
        <w:ind w:left="8280"/>
        <w:spacing w:after="0"/>
        <w:tabs>
          <w:tab w:leader="none" w:pos="10080" w:val="left"/>
        </w:tabs>
        <w:rPr>
          <w:sz w:val="20"/>
          <w:szCs w:val="20"/>
          <w:color w:val="auto"/>
        </w:rPr>
      </w:pPr>
      <w:r>
        <w:rPr>
          <w:rFonts w:ascii="Arial" w:cs="Arial" w:eastAsia="Arial" w:hAnsi="Arial"/>
          <w:sz w:val="22"/>
          <w:szCs w:val="22"/>
          <w:b w:val="1"/>
          <w:bCs w:val="1"/>
          <w:color w:val="auto"/>
        </w:rPr>
        <w:t>2017</w:t>
      </w:r>
      <w:r>
        <w:rPr>
          <w:sz w:val="20"/>
          <w:szCs w:val="20"/>
          <w:color w:val="auto"/>
        </w:rPr>
        <w:tab/>
      </w:r>
      <w:r>
        <w:rPr>
          <w:rFonts w:ascii="Arial" w:cs="Arial" w:eastAsia="Arial" w:hAnsi="Arial"/>
          <w:sz w:val="22"/>
          <w:szCs w:val="22"/>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19685</wp:posOffset>
            </wp:positionV>
            <wp:extent cx="2160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bookmarkStart w:id="7" w:name="page8"/>
    <w:bookmarkEnd w:id="7"/>
    <w:tbl>
      <w:tblPr>
        <w:tblLayout w:type="fixed"/>
        <w:tblInd w:w="20" w:type="dxa"/>
        <w:tblCellMar>
          <w:top w:w="0" w:type="dxa"/>
          <w:left w:w="0" w:type="dxa"/>
          <w:bottom w:w="0" w:type="dxa"/>
          <w:right w:w="0" w:type="dxa"/>
        </w:tblCellMar>
      </w:tblPr>
      <w:tr>
        <w:trPr>
          <w:trHeight w:val="277"/>
        </w:trPr>
        <w:tc>
          <w:tcPr>
            <w:tcW w:w="7700" w:type="dxa"/>
            <w:vAlign w:val="bottom"/>
          </w:tcPr>
          <w:p>
            <w:pPr>
              <w:spacing w:after="0"/>
              <w:rPr>
                <w:sz w:val="20"/>
                <w:szCs w:val="20"/>
                <w:color w:val="auto"/>
              </w:rPr>
            </w:pPr>
            <w:r>
              <w:rPr>
                <w:rFonts w:ascii="Arial" w:cs="Arial" w:eastAsia="Arial" w:hAnsi="Arial"/>
                <w:sz w:val="22"/>
                <w:szCs w:val="22"/>
                <w:b w:val="1"/>
                <w:bCs w:val="1"/>
                <w:color w:val="auto"/>
              </w:rPr>
              <w:t>Investment income:</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non-controlled, non-affiliated investments: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40" w:type="dxa"/>
            <w:vAlign w:val="bottom"/>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Pr>
          <w:p>
            <w:pPr>
              <w:jc w:val="right"/>
              <w:spacing w:after="0"/>
              <w:rPr>
                <w:sz w:val="20"/>
                <w:szCs w:val="20"/>
                <w:color w:val="auto"/>
              </w:rPr>
            </w:pPr>
            <w:r>
              <w:rPr>
                <w:rFonts w:ascii="Arial" w:cs="Arial" w:eastAsia="Arial" w:hAnsi="Arial"/>
                <w:sz w:val="22"/>
                <w:szCs w:val="22"/>
                <w:color w:val="auto"/>
              </w:rPr>
              <w:t>13,867,420</w:t>
            </w:r>
          </w:p>
        </w:tc>
        <w:tc>
          <w:tcPr>
            <w:tcW w:w="260" w:type="dxa"/>
            <w:vAlign w:val="bottom"/>
          </w:tcPr>
          <w:p>
            <w:pPr>
              <w:spacing w:after="0"/>
              <w:rPr>
                <w:sz w:val="23"/>
                <w:szCs w:val="23"/>
                <w:color w:val="auto"/>
              </w:rPr>
            </w:pPr>
          </w:p>
        </w:tc>
        <w:tc>
          <w:tcPr>
            <w:tcW w:w="360" w:type="dxa"/>
            <w:vAlign w:val="bottom"/>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Pr>
          <w:p>
            <w:pPr>
              <w:jc w:val="right"/>
              <w:spacing w:after="0"/>
              <w:rPr>
                <w:sz w:val="20"/>
                <w:szCs w:val="20"/>
                <w:color w:val="auto"/>
              </w:rPr>
            </w:pPr>
            <w:r>
              <w:rPr>
                <w:rFonts w:ascii="Arial" w:cs="Arial" w:eastAsia="Arial" w:hAnsi="Arial"/>
                <w:sz w:val="22"/>
                <w:szCs w:val="22"/>
                <w:color w:val="auto"/>
              </w:rPr>
              <w:t>11,951,835</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Other income</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433,180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679,433</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From controlled, affiliated investments:</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Interest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535,760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investment income</w:t>
            </w:r>
          </w:p>
        </w:tc>
        <w:tc>
          <w:tcPr>
            <w:tcW w:w="3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14,836,360</w:t>
            </w:r>
          </w:p>
        </w:tc>
        <w:tc>
          <w:tcPr>
            <w:tcW w:w="2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12,631,268</w:t>
            </w:r>
          </w:p>
        </w:tc>
        <w:tc>
          <w:tcPr>
            <w:tcW w:w="80" w:type="dxa"/>
            <w:vAlign w:val="bottom"/>
          </w:tcPr>
          <w:p>
            <w:pPr>
              <w:spacing w:after="0"/>
              <w:rPr>
                <w:sz w:val="23"/>
                <w:szCs w:val="23"/>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Base management fee</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1,822,063</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1,595,727</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Performance-based incentive fee</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148,010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1,469,369</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Interest and expenses on debt</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2,618,308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1,800,725</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Administrative services expenses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500,000</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561,250</w:t>
            </w:r>
          </w:p>
        </w:tc>
        <w:tc>
          <w:tcPr>
            <w:tcW w:w="80" w:type="dxa"/>
            <w:vAlign w:val="bottom"/>
          </w:tcPr>
          <w:p>
            <w:pPr>
              <w:spacing w:after="0"/>
              <w:rPr>
                <w:sz w:val="23"/>
                <w:szCs w:val="23"/>
                <w:color w:val="auto"/>
              </w:rPr>
            </w:pP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Other general and administrative expenses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618,751</w:t>
            </w:r>
          </w:p>
        </w:tc>
        <w:tc>
          <w:tcPr>
            <w:tcW w:w="2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357,500</w:t>
            </w:r>
          </w:p>
        </w:tc>
        <w:tc>
          <w:tcPr>
            <w:tcW w:w="80" w:type="dxa"/>
            <w:vAlign w:val="bottom"/>
          </w:tcPr>
          <w:p>
            <w:pPr>
              <w:spacing w:after="0"/>
              <w:rPr>
                <w:sz w:val="23"/>
                <w:szCs w:val="23"/>
                <w:color w:val="auto"/>
              </w:rPr>
            </w:pPr>
          </w:p>
        </w:tc>
      </w:tr>
      <w:tr>
        <w:trPr>
          <w:trHeight w:val="259"/>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w w:val="88"/>
              </w:rPr>
              <w:t>Expenses before amendment costs, debt issuance costs and provision for taxes</w:t>
            </w: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5,707,132</w:t>
            </w: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5,784,571</w:t>
            </w:r>
          </w:p>
        </w:tc>
        <w:tc>
          <w:tcPr>
            <w:tcW w:w="80" w:type="dxa"/>
            <w:vAlign w:val="bottom"/>
          </w:tcPr>
          <w:p>
            <w:pPr>
              <w:spacing w:after="0"/>
              <w:rPr>
                <w:sz w:val="22"/>
                <w:szCs w:val="22"/>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Credit Facility amendment costs and debt issuance costs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10,869,098</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Provision for taxes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200,000</w:t>
            </w:r>
          </w:p>
        </w:tc>
        <w:tc>
          <w:tcPr>
            <w:tcW w:w="2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25,000</w:t>
            </w:r>
          </w:p>
        </w:tc>
        <w:tc>
          <w:tcPr>
            <w:tcW w:w="80" w:type="dxa"/>
            <w:vAlign w:val="bottom"/>
          </w:tcPr>
          <w:p>
            <w:pPr>
              <w:spacing w:after="0"/>
              <w:rPr>
                <w:sz w:val="23"/>
                <w:szCs w:val="23"/>
                <w:color w:val="auto"/>
              </w:rPr>
            </w:pP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Total expenses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16,776,230</w:t>
            </w:r>
          </w:p>
        </w:tc>
        <w:tc>
          <w:tcPr>
            <w:tcW w:w="2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5,809,571</w:t>
            </w:r>
          </w:p>
        </w:tc>
        <w:tc>
          <w:tcPr>
            <w:tcW w:w="80" w:type="dxa"/>
            <w:vAlign w:val="bottom"/>
          </w:tcPr>
          <w:p>
            <w:pPr>
              <w:spacing w:after="0"/>
              <w:rPr>
                <w:sz w:val="23"/>
                <w:szCs w:val="23"/>
                <w:color w:val="auto"/>
              </w:rPr>
            </w:pPr>
          </w:p>
        </w:tc>
      </w:tr>
      <w:tr>
        <w:trPr>
          <w:trHeight w:val="263"/>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investment (loss) income</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(1,939,870)</w:t>
            </w:r>
          </w:p>
        </w:tc>
        <w:tc>
          <w:tcPr>
            <w:tcW w:w="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6,821,697</w:t>
            </w:r>
          </w:p>
        </w:tc>
        <w:tc>
          <w:tcPr>
            <w:tcW w:w="80" w:type="dxa"/>
            <w:vAlign w:val="bottom"/>
          </w:tcPr>
          <w:p>
            <w:pPr>
              <w:spacing w:after="0"/>
              <w:rPr>
                <w:sz w:val="22"/>
                <w:szCs w:val="22"/>
                <w:color w:val="auto"/>
              </w:rPr>
            </w:pPr>
          </w:p>
        </w:tc>
      </w:tr>
      <w:tr>
        <w:trPr>
          <w:trHeight w:val="256"/>
        </w:trPr>
        <w:tc>
          <w:tcPr>
            <w:tcW w:w="7700" w:type="dxa"/>
            <w:vAlign w:val="bottom"/>
          </w:tcPr>
          <w:p>
            <w:pPr>
              <w:spacing w:after="0"/>
              <w:rPr>
                <w:sz w:val="20"/>
                <w:szCs w:val="20"/>
                <w:color w:val="auto"/>
              </w:rPr>
            </w:pPr>
            <w:r>
              <w:rPr>
                <w:rFonts w:ascii="Arial" w:cs="Arial" w:eastAsia="Arial" w:hAnsi="Arial"/>
                <w:sz w:val="22"/>
                <w:szCs w:val="22"/>
                <w:b w:val="1"/>
                <w:bCs w:val="1"/>
                <w:color w:val="auto"/>
              </w:rPr>
              <w:t>Realized and unrealized gain on investments and debt:</w:t>
            </w: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realized (loss) gain on investments</w:t>
            </w:r>
          </w:p>
        </w:tc>
        <w:tc>
          <w:tcPr>
            <w:tcW w:w="340" w:type="dxa"/>
            <w:vAlign w:val="bottom"/>
          </w:tcPr>
          <w:p>
            <w:pPr>
              <w:spacing w:after="0"/>
              <w:rPr>
                <w:sz w:val="23"/>
                <w:szCs w:val="23"/>
                <w:color w:val="auto"/>
              </w:rPr>
            </w:pPr>
          </w:p>
        </w:tc>
        <w:tc>
          <w:tcPr>
            <w:tcW w:w="1460" w:type="dxa"/>
            <w:vAlign w:val="bottom"/>
            <w:gridSpan w:val="2"/>
          </w:tcPr>
          <w:p>
            <w:pPr>
              <w:jc w:val="right"/>
              <w:ind w:right="52"/>
              <w:spacing w:after="0"/>
              <w:rPr>
                <w:sz w:val="20"/>
                <w:szCs w:val="20"/>
                <w:color w:val="auto"/>
              </w:rPr>
            </w:pPr>
            <w:r>
              <w:rPr>
                <w:rFonts w:ascii="Arial" w:cs="Arial" w:eastAsia="Arial" w:hAnsi="Arial"/>
                <w:sz w:val="22"/>
                <w:szCs w:val="22"/>
                <w:color w:val="auto"/>
              </w:rPr>
              <w:t>(2,786,551)</w:t>
            </w: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549,401</w:t>
            </w:r>
          </w:p>
        </w:tc>
        <w:tc>
          <w:tcPr>
            <w:tcW w:w="80" w:type="dxa"/>
            <w:vAlign w:val="bottom"/>
          </w:tcPr>
          <w:p>
            <w:pPr>
              <w:spacing w:after="0"/>
              <w:rPr>
                <w:sz w:val="23"/>
                <w:szCs w:val="23"/>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22"/>
                <w:szCs w:val="22"/>
                <w:color w:val="auto"/>
              </w:rPr>
              <w:t>Net change in unrealized appreciation on:</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Non-controlled, non-affiliated investments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3,198,156</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22"/>
                <w:szCs w:val="22"/>
                <w:color w:val="auto"/>
              </w:rPr>
              <w:t>2,546,025</w:t>
            </w:r>
          </w:p>
        </w:tc>
        <w:tc>
          <w:tcPr>
            <w:tcW w:w="80" w:type="dxa"/>
            <w:vAlign w:val="bottom"/>
          </w:tcPr>
          <w:p>
            <w:pPr>
              <w:spacing w:after="0"/>
              <w:rPr>
                <w:sz w:val="23"/>
                <w:szCs w:val="23"/>
                <w:color w:val="auto"/>
              </w:rPr>
            </w:pPr>
          </w:p>
        </w:tc>
      </w:tr>
      <w:tr>
        <w:trPr>
          <w:trHeight w:val="270"/>
        </w:trPr>
        <w:tc>
          <w:tcPr>
            <w:tcW w:w="7700" w:type="dxa"/>
            <w:vAlign w:val="bottom"/>
          </w:tcPr>
          <w:p>
            <w:pPr>
              <w:ind w:left="260"/>
              <w:spacing w:after="0"/>
              <w:rPr>
                <w:sz w:val="20"/>
                <w:szCs w:val="20"/>
                <w:color w:val="auto"/>
              </w:rPr>
            </w:pPr>
            <w:r>
              <w:rPr>
                <w:rFonts w:ascii="Arial" w:cs="Arial" w:eastAsia="Arial" w:hAnsi="Arial"/>
                <w:sz w:val="22"/>
                <w:szCs w:val="22"/>
                <w:color w:val="auto"/>
              </w:rPr>
              <w:t>Controlled, affiliated investments</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318,442</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22"/>
                <w:szCs w:val="22"/>
                <w:color w:val="auto"/>
              </w:rPr>
              <w:t>—</w:t>
            </w:r>
          </w:p>
        </w:tc>
      </w:tr>
      <w:tr>
        <w:trPr>
          <w:trHeight w:val="274"/>
        </w:trPr>
        <w:tc>
          <w:tcPr>
            <w:tcW w:w="7700" w:type="dxa"/>
            <w:vAlign w:val="bottom"/>
          </w:tcPr>
          <w:p>
            <w:pPr>
              <w:ind w:left="260"/>
              <w:spacing w:after="0"/>
              <w:rPr>
                <w:sz w:val="20"/>
                <w:szCs w:val="20"/>
                <w:color w:val="auto"/>
              </w:rPr>
            </w:pPr>
            <w:r>
              <w:rPr>
                <w:rFonts w:ascii="Arial" w:cs="Arial" w:eastAsia="Arial" w:hAnsi="Arial"/>
                <w:sz w:val="22"/>
                <w:szCs w:val="22"/>
                <w:color w:val="auto"/>
              </w:rPr>
              <w:t>Debt depreciation (appreciation)</w:t>
            </w: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22"/>
                <w:szCs w:val="22"/>
                <w:color w:val="auto"/>
              </w:rPr>
              <w:t>3,128,605</w:t>
            </w: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(1,068,214)</w:t>
            </w:r>
          </w:p>
        </w:tc>
      </w:tr>
      <w:tr>
        <w:trPr>
          <w:trHeight w:val="267"/>
        </w:trPr>
        <w:tc>
          <w:tcPr>
            <w:tcW w:w="7700" w:type="dxa"/>
            <w:vAlign w:val="bottom"/>
          </w:tcPr>
          <w:p>
            <w:pPr>
              <w:ind w:left="260"/>
              <w:spacing w:after="0"/>
              <w:rPr>
                <w:sz w:val="20"/>
                <w:szCs w:val="20"/>
                <w:color w:val="auto"/>
              </w:rPr>
            </w:pPr>
            <w:r>
              <w:rPr>
                <w:rFonts w:ascii="Arial" w:cs="Arial" w:eastAsia="Arial" w:hAnsi="Arial"/>
                <w:sz w:val="22"/>
                <w:szCs w:val="22"/>
                <w:b w:val="1"/>
                <w:bCs w:val="1"/>
                <w:color w:val="auto"/>
              </w:rPr>
              <w:t>Net change in unrealized appreciation on investments and debt</w:t>
            </w:r>
          </w:p>
        </w:tc>
        <w:tc>
          <w:tcPr>
            <w:tcW w:w="340" w:type="dxa"/>
            <w:vAlign w:val="bottom"/>
            <w:tcBorders>
              <w:top w:val="single" w:sz="8" w:color="auto"/>
              <w:bottom w:val="single" w:sz="8" w:color="auto"/>
            </w:tcBorders>
          </w:tcPr>
          <w:p>
            <w:pPr>
              <w:spacing w:after="0"/>
              <w:rPr>
                <w:sz w:val="23"/>
                <w:szCs w:val="23"/>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6,645,203</w:t>
            </w:r>
          </w:p>
        </w:tc>
        <w:tc>
          <w:tcPr>
            <w:tcW w:w="260" w:type="dxa"/>
            <w:vAlign w:val="bottom"/>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1,477,811</w:t>
            </w:r>
          </w:p>
        </w:tc>
        <w:tc>
          <w:tcPr>
            <w:tcW w:w="80" w:type="dxa"/>
            <w:vAlign w:val="bottom"/>
          </w:tcPr>
          <w:p>
            <w:pPr>
              <w:spacing w:after="0"/>
              <w:rPr>
                <w:sz w:val="23"/>
                <w:szCs w:val="23"/>
                <w:color w:val="auto"/>
              </w:rPr>
            </w:pPr>
          </w:p>
        </w:tc>
      </w:tr>
      <w:tr>
        <w:trPr>
          <w:trHeight w:val="264"/>
        </w:trPr>
        <w:tc>
          <w:tcPr>
            <w:tcW w:w="7700" w:type="dxa"/>
            <w:vAlign w:val="bottom"/>
          </w:tcPr>
          <w:p>
            <w:pPr>
              <w:spacing w:after="0"/>
              <w:rPr>
                <w:sz w:val="20"/>
                <w:szCs w:val="20"/>
                <w:color w:val="auto"/>
              </w:rPr>
            </w:pPr>
            <w:r>
              <w:rPr>
                <w:rFonts w:ascii="Arial" w:cs="Arial" w:eastAsia="Arial" w:hAnsi="Arial"/>
                <w:sz w:val="22"/>
                <w:szCs w:val="22"/>
                <w:b w:val="1"/>
                <w:bCs w:val="1"/>
                <w:color w:val="auto"/>
              </w:rPr>
              <w:t>Net realized and unrealized gain from investments and debt</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3,858,652</w:t>
            </w:r>
          </w:p>
        </w:tc>
        <w:tc>
          <w:tcPr>
            <w:tcW w:w="2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2,027,212</w:t>
            </w:r>
          </w:p>
        </w:tc>
        <w:tc>
          <w:tcPr>
            <w:tcW w:w="80" w:type="dxa"/>
            <w:vAlign w:val="bottom"/>
          </w:tcPr>
          <w:p>
            <w:pPr>
              <w:spacing w:after="0"/>
              <w:rPr>
                <w:sz w:val="22"/>
                <w:szCs w:val="22"/>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b w:val="1"/>
                <w:bCs w:val="1"/>
                <w:color w:val="auto"/>
              </w:rPr>
              <w:t>Net increase in net assets resulting from operations</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1,918,782</w:t>
            </w:r>
          </w:p>
        </w:tc>
        <w:tc>
          <w:tcPr>
            <w:tcW w:w="26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8,848,909</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color w:val="auto"/>
              </w:rPr>
              <w:t>Net increase in net assets resulting from operations per common share</w:t>
            </w:r>
          </w:p>
        </w:tc>
        <w:tc>
          <w:tcPr>
            <w:tcW w:w="340" w:type="dxa"/>
            <w:vAlign w:val="bottom"/>
            <w:tcBorders>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0.05</w:t>
            </w:r>
          </w:p>
        </w:tc>
        <w:tc>
          <w:tcPr>
            <w:tcW w:w="260" w:type="dxa"/>
            <w:vAlign w:val="bottom"/>
          </w:tcPr>
          <w:p>
            <w:pPr>
              <w:spacing w:after="0"/>
              <w:rPr>
                <w:sz w:val="22"/>
                <w:szCs w:val="22"/>
                <w:color w:val="auto"/>
              </w:rPr>
            </w:pPr>
          </w:p>
        </w:tc>
        <w:tc>
          <w:tcPr>
            <w:tcW w:w="360" w:type="dxa"/>
            <w:vAlign w:val="bottom"/>
            <w:tcBorders>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rPr>
              <w:t>0.33</w:t>
            </w:r>
          </w:p>
        </w:tc>
        <w:tc>
          <w:tcPr>
            <w:tcW w:w="80" w:type="dxa"/>
            <w:vAlign w:val="bottom"/>
          </w:tcPr>
          <w:p>
            <w:pPr>
              <w:spacing w:after="0"/>
              <w:rPr>
                <w:sz w:val="22"/>
                <w:szCs w:val="22"/>
                <w:color w:val="auto"/>
              </w:rPr>
            </w:pPr>
          </w:p>
        </w:tc>
      </w:tr>
      <w:tr>
        <w:trPr>
          <w:trHeight w:val="21"/>
        </w:trPr>
        <w:tc>
          <w:tcPr>
            <w:tcW w:w="7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63"/>
        </w:trPr>
        <w:tc>
          <w:tcPr>
            <w:tcW w:w="7700" w:type="dxa"/>
            <w:vAlign w:val="bottom"/>
          </w:tcPr>
          <w:p>
            <w:pPr>
              <w:spacing w:after="0"/>
              <w:rPr>
                <w:sz w:val="20"/>
                <w:szCs w:val="20"/>
                <w:color w:val="auto"/>
              </w:rPr>
            </w:pPr>
            <w:r>
              <w:rPr>
                <w:rFonts w:ascii="Arial" w:cs="Arial" w:eastAsia="Arial" w:hAnsi="Arial"/>
                <w:sz w:val="22"/>
                <w:szCs w:val="22"/>
                <w:color w:val="auto"/>
              </w:rPr>
              <w:t>Net investment (loss) income per common share</w:t>
            </w:r>
          </w:p>
        </w:tc>
        <w:tc>
          <w:tcPr>
            <w:tcW w:w="3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22"/>
                <w:szCs w:val="22"/>
                <w:color w:val="auto"/>
                <w:w w:val="8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(0.05</w:t>
            </w:r>
          </w:p>
        </w:tc>
        <w:tc>
          <w:tcPr>
            <w:tcW w:w="260" w:type="dxa"/>
            <w:vAlign w:val="bottom"/>
          </w:tcPr>
          <w:p>
            <w:pPr>
              <w:jc w:val="right"/>
              <w:ind w:right="52"/>
              <w:spacing w:after="0"/>
              <w:rPr>
                <w:sz w:val="20"/>
                <w:szCs w:val="20"/>
                <w:color w:val="auto"/>
              </w:rPr>
            </w:pPr>
            <w:r>
              <w:rPr>
                <w:rFonts w:ascii="Arial" w:cs="Arial" w:eastAsia="Arial" w:hAnsi="Arial"/>
                <w:sz w:val="22"/>
                <w:szCs w:val="22"/>
                <w:color w:val="auto"/>
              </w:rPr>
              <w:t>)</w:t>
            </w:r>
          </w:p>
        </w:tc>
        <w:tc>
          <w:tcPr>
            <w:tcW w:w="36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22"/>
                <w:szCs w:val="22"/>
                <w:color w:val="auto"/>
                <w:w w:val="8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2"/>
                <w:szCs w:val="22"/>
                <w:color w:val="auto"/>
              </w:rPr>
              <w:t>0.26</w:t>
            </w:r>
          </w:p>
        </w:tc>
        <w:tc>
          <w:tcPr>
            <w:tcW w:w="8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231" w:lineRule="auto"/>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u w:val="single" w:color="auto"/>
          <w:color w:val="auto"/>
        </w:rPr>
        <w:t>www.pennantpark.com</w:t>
      </w:r>
    </w:p>
    <w:sectPr>
      <w:pgSz w:w="11900" w:h="16838" w:orient="portrait"/>
      <w:cols w:equalWidth="0" w:num="1">
        <w:col w:w="11240"/>
      </w:cols>
      <w:pgMar w:left="320" w:top="111"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2020-05-05T12:04:36Z</dcterms:created>
  <dcterms:modified xsi:type="dcterms:W3CDTF">2020-05-05T12:04:36Z</dcterms:modified>
</cp:coreProperties>
</file>