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February 4, 2014</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2880" w:type="dxa"/>
            <w:vAlign w:val="bottom"/>
          </w:tcPr>
          <w:p>
            <w:pPr>
              <w:jc w:val="center"/>
              <w:ind w:right="1266"/>
              <w:spacing w:after="0"/>
              <w:rPr>
                <w:sz w:val="20"/>
                <w:szCs w:val="20"/>
                <w:color w:val="auto"/>
              </w:rPr>
            </w:pPr>
            <w:r>
              <w:rPr>
                <w:rFonts w:ascii="Arial" w:cs="Arial" w:eastAsia="Arial" w:hAnsi="Arial"/>
                <w:sz w:val="18"/>
                <w:szCs w:val="18"/>
                <w:b w:val="1"/>
                <w:bCs w:val="1"/>
                <w:color w:val="auto"/>
                <w:w w:val="93"/>
              </w:rPr>
              <w:t>Maryland</w:t>
            </w:r>
          </w:p>
        </w:tc>
        <w:tc>
          <w:tcPr>
            <w:tcW w:w="3500" w:type="dxa"/>
            <w:vAlign w:val="bottom"/>
          </w:tcPr>
          <w:p>
            <w:pPr>
              <w:ind w:left="1340"/>
              <w:spacing w:after="0"/>
              <w:rPr>
                <w:sz w:val="20"/>
                <w:szCs w:val="20"/>
                <w:color w:val="auto"/>
              </w:rPr>
            </w:pPr>
            <w:r>
              <w:rPr>
                <w:rFonts w:ascii="Arial" w:cs="Arial" w:eastAsia="Arial" w:hAnsi="Arial"/>
                <w:sz w:val="18"/>
                <w:szCs w:val="18"/>
                <w:b w:val="1"/>
                <w:bCs w:val="1"/>
                <w:color w:val="auto"/>
              </w:rPr>
              <w:t>814-00891</w:t>
            </w:r>
          </w:p>
        </w:tc>
        <w:tc>
          <w:tcPr>
            <w:tcW w:w="2460" w:type="dxa"/>
            <w:vAlign w:val="bottom"/>
          </w:tcPr>
          <w:p>
            <w:pPr>
              <w:jc w:val="center"/>
              <w:ind w:left="1306"/>
              <w:spacing w:after="0"/>
              <w:rPr>
                <w:sz w:val="20"/>
                <w:szCs w:val="20"/>
                <w:color w:val="auto"/>
              </w:rPr>
            </w:pPr>
            <w:r>
              <w:rPr>
                <w:rFonts w:ascii="Arial" w:cs="Arial" w:eastAsia="Arial" w:hAnsi="Arial"/>
                <w:sz w:val="18"/>
                <w:szCs w:val="18"/>
                <w:b w:val="1"/>
                <w:bCs w:val="1"/>
                <w:color w:val="auto"/>
                <w:w w:val="87"/>
              </w:rPr>
              <w:t>27-3794690</w:t>
            </w:r>
          </w:p>
        </w:tc>
      </w:tr>
      <w:tr>
        <w:trPr>
          <w:trHeight w:val="148"/>
        </w:trPr>
        <w:tc>
          <w:tcPr>
            <w:tcW w:w="2880" w:type="dxa"/>
            <w:vAlign w:val="bottom"/>
          </w:tcPr>
          <w:p>
            <w:pPr>
              <w:jc w:val="center"/>
              <w:ind w:right="1266"/>
              <w:spacing w:after="0"/>
              <w:rPr>
                <w:sz w:val="20"/>
                <w:szCs w:val="20"/>
                <w:color w:val="auto"/>
              </w:rPr>
            </w:pPr>
            <w:r>
              <w:rPr>
                <w:rFonts w:ascii="Arial" w:cs="Arial" w:eastAsia="Arial" w:hAnsi="Arial"/>
                <w:sz w:val="13"/>
                <w:szCs w:val="13"/>
                <w:b w:val="1"/>
                <w:bCs w:val="1"/>
                <w:color w:val="auto"/>
                <w:w w:val="94"/>
              </w:rPr>
              <w:t>(State or other jurisdiction</w:t>
            </w:r>
          </w:p>
        </w:tc>
        <w:tc>
          <w:tcPr>
            <w:tcW w:w="3500" w:type="dxa"/>
            <w:vAlign w:val="bottom"/>
          </w:tcPr>
          <w:p>
            <w:pPr>
              <w:ind w:left="134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880" w:type="dxa"/>
            <w:vAlign w:val="bottom"/>
          </w:tcPr>
          <w:p>
            <w:pPr>
              <w:jc w:val="center"/>
              <w:ind w:right="1266"/>
              <w:spacing w:after="0"/>
              <w:rPr>
                <w:sz w:val="20"/>
                <w:szCs w:val="20"/>
                <w:color w:val="auto"/>
              </w:rPr>
            </w:pPr>
            <w:r>
              <w:rPr>
                <w:rFonts w:ascii="Arial" w:cs="Arial" w:eastAsia="Arial" w:hAnsi="Arial"/>
                <w:sz w:val="13"/>
                <w:szCs w:val="13"/>
                <w:b w:val="1"/>
                <w:bCs w:val="1"/>
                <w:color w:val="auto"/>
                <w:w w:val="94"/>
              </w:rPr>
              <w:t>of incorporation)</w:t>
            </w:r>
          </w:p>
        </w:tc>
        <w:tc>
          <w:tcPr>
            <w:tcW w:w="3500" w:type="dxa"/>
            <w:vAlign w:val="bottom"/>
          </w:tcPr>
          <w:p>
            <w:pPr>
              <w:ind w:left="134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6"/>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89" w:lineRule="exact"/>
        <w:rPr>
          <w:sz w:val="24"/>
          <w:szCs w:val="24"/>
          <w:color w:val="auto"/>
        </w:rPr>
      </w:pPr>
    </w:p>
    <w:p>
      <w:pPr>
        <w:sectPr>
          <w:pgSz w:w="11900" w:h="16838" w:orient="portrait"/>
          <w:cols w:equalWidth="0" w:num="1">
            <w:col w:w="11020"/>
          </w:cols>
          <w:pgMar w:left="320" w:top="314" w:right="559" w:bottom="1440" w:gutter="0" w:footer="0" w:header="0"/>
        </w:sectPr>
      </w:pPr>
    </w:p>
    <w:p>
      <w:pPr>
        <w:jc w:val="center"/>
        <w:ind w:right="1880"/>
        <w:spacing w:after="0"/>
        <w:rPr>
          <w:sz w:val="20"/>
          <w:szCs w:val="20"/>
          <w:color w:val="auto"/>
        </w:rPr>
      </w:pPr>
      <w:r>
        <w:rPr>
          <w:rFonts w:ascii="Arial" w:cs="Arial" w:eastAsia="Arial" w:hAnsi="Arial"/>
          <w:sz w:val="15"/>
          <w:szCs w:val="15"/>
          <w:b w:val="1"/>
          <w:bCs w:val="1"/>
          <w:color w:val="auto"/>
        </w:rPr>
        <w:t>590 Madison Avenue, 15th Floor,</w:t>
      </w:r>
    </w:p>
    <w:p>
      <w:pPr>
        <w:spacing w:after="0" w:line="5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56" w:lineRule="exact"/>
        <w:rPr>
          <w:sz w:val="24"/>
          <w:szCs w:val="24"/>
          <w:color w:val="auto"/>
        </w:rPr>
      </w:pPr>
    </w:p>
    <w:p>
      <w:pPr>
        <w:sectPr>
          <w:pgSz w:w="11900" w:h="16838" w:orient="portrait"/>
          <w:cols w:equalWidth="0" w:num="2">
            <w:col w:w="7580" w:space="720"/>
            <w:col w:w="2720"/>
          </w:cols>
          <w:pgMar w:left="320" w:top="314" w:right="559" w:bottom="1440" w:gutter="0" w:footer="0" w:header="0"/>
          <w:type w:val="continuous"/>
        </w:sectPr>
      </w:pPr>
    </w:p>
    <w:p>
      <w:pPr>
        <w:ind w:left="1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480" w:space="720"/>
            <w:col w:w="2820"/>
          </w:cols>
          <w:pgMar w:left="320" w:top="314" w:right="5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6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180975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314"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right="220" w:firstLine="449"/>
        <w:spacing w:after="0" w:line="256" w:lineRule="auto"/>
        <w:rPr>
          <w:sz w:val="20"/>
          <w:szCs w:val="20"/>
          <w:color w:val="auto"/>
        </w:rPr>
      </w:pPr>
      <w:r>
        <w:rPr>
          <w:rFonts w:ascii="Arial" w:cs="Arial" w:eastAsia="Arial" w:hAnsi="Arial"/>
          <w:sz w:val="18"/>
          <w:szCs w:val="18"/>
          <w:color w:val="auto"/>
        </w:rPr>
        <w:t>On February 4, 2014,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5, 2013. As of December 9, 2013, the record date, 14,898,056 shares of common stock were eligible to vote. A summary of the matters voted upon by the stockholders is set forth below.</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a Class III director of the Company, who will serve until the 2017 Annual Meeting, or until his successor is</w:t>
      </w:r>
      <w:r>
        <w:rPr>
          <w:rFonts w:ascii="Arial" w:cs="Arial" w:eastAsia="Arial" w:hAnsi="Arial"/>
          <w:sz w:val="18"/>
          <w:szCs w:val="18"/>
          <w:b w:val="1"/>
          <w:bCs w:val="1"/>
          <w:color w:val="auto"/>
        </w:rPr>
        <w:t xml:space="preserve"> </w:t>
      </w:r>
      <w:r>
        <w:rPr>
          <w:rFonts w:ascii="Arial" w:cs="Arial" w:eastAsia="Arial" w:hAnsi="Arial"/>
          <w:sz w:val="18"/>
          <w:szCs w:val="18"/>
          <w:color w:val="auto"/>
        </w:rPr>
        <w:t>duly elected and qualifies or until his earlier resignation, removal from office, death or incapacity.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4, 2014 are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7880" w:type="dxa"/>
            <w:vAlign w:val="bottom"/>
            <w:vMerge w:val="restart"/>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Broker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880" w:type="dxa"/>
            <w:vAlign w:val="bottom"/>
            <w:vMerge w:val="continue"/>
          </w:tcPr>
          <w:p>
            <w:pPr>
              <w:spacing w:after="0"/>
              <w:rPr>
                <w:sz w:val="14"/>
                <w:szCs w:val="14"/>
                <w:color w:val="auto"/>
              </w:rPr>
            </w:pPr>
          </w:p>
        </w:tc>
        <w:tc>
          <w:tcPr>
            <w:tcW w:w="1140" w:type="dxa"/>
            <w:vAlign w:val="bottom"/>
            <w:gridSpan w:val="2"/>
          </w:tcPr>
          <w:p>
            <w:pPr>
              <w:jc w:val="right"/>
              <w:ind w:right="640"/>
              <w:spacing w:after="0" w:line="148" w:lineRule="exact"/>
              <w:rPr>
                <w:sz w:val="20"/>
                <w:szCs w:val="20"/>
                <w:color w:val="auto"/>
              </w:rPr>
            </w:pPr>
            <w:r>
              <w:rPr>
                <w:rFonts w:ascii="Arial" w:cs="Arial" w:eastAsia="Arial" w:hAnsi="Arial"/>
                <w:sz w:val="13"/>
                <w:szCs w:val="13"/>
                <w:b w:val="1"/>
                <w:bCs w:val="1"/>
                <w:color w:val="auto"/>
              </w:rPr>
              <w:t>For</w:t>
            </w: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b w:val="1"/>
                <w:bCs w:val="1"/>
                <w:color w:val="auto"/>
              </w:rPr>
              <w:t>Withheld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Non Vote</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H. Penn</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4,885,294</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121,390</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8,112,888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 of Shares Voted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97.94%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McGladrey LLP to serve as the Company’s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ending September 30, 2014.</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4, 2014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For</w:t>
            </w: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Against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Abstain</w:t>
            </w:r>
          </w:p>
        </w:tc>
      </w:tr>
      <w:tr>
        <w:trPr>
          <w:trHeight w:val="209"/>
        </w:trPr>
        <w:tc>
          <w:tcPr>
            <w:tcW w:w="8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12,942,405</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113,228</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63,939</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 of Shares Voted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98.64%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0.86%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0.48%</w:t>
            </w:r>
          </w:p>
        </w:tc>
      </w:tr>
    </w:tbl>
    <w:p>
      <w:pPr>
        <w:spacing w:after="0" w:line="14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On February 4, 2014, the Company held a special meeting of stockholders (the “Special Meeting”) and submitted one matter to the vote of the stockholders. The proposal is described in detail in the Company’s definitive proxy statement filed with the Securities and Exchange Commission on December 5, 2013. As of December 9, 2013, the record date, 14,898,056 shares of common stock were eligible to vote. A summary of the matter voted upon by the stockholders is set forth below.</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named Proxies for the Company’s stockholders approved an adjournment of the meeting to allow the polls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open until 10:00 a.m. on February 25, 2014 for the proposal to authorize flexibility for the Company, with the approval of its Board of Directors, to sell shares of its common stock during the next 12 months, at a price below its then current net asset value per share, subject to certain limitations as described in the proxy statement. The meeting will be reconvened at the offices of Dechert LLP, located at 1095 Avenue of the Americas, New York, New York, on February 25, 2014, at 10:00 a.m.</w:t>
      </w:r>
    </w:p>
    <w:p>
      <w:pPr>
        <w:sectPr>
          <w:pgSz w:w="11900" w:h="16838" w:orient="portrait"/>
          <w:cols w:equalWidth="0" w:num="1">
            <w:col w:w="11240"/>
          </w:cols>
          <w:pgMar w:left="320" w:top="4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3"/>
        </w:trPr>
        <w:tc>
          <w:tcPr>
            <w:tcW w:w="5980" w:type="dxa"/>
            <w:vAlign w:val="bottom"/>
          </w:tcPr>
          <w:p>
            <w:pPr>
              <w:spacing w:after="0"/>
              <w:rPr>
                <w:sz w:val="20"/>
                <w:szCs w:val="20"/>
                <w:color w:val="auto"/>
              </w:rPr>
            </w:pPr>
            <w:r>
              <w:rPr>
                <w:rFonts w:ascii="Arial" w:cs="Arial" w:eastAsia="Arial" w:hAnsi="Arial"/>
                <w:sz w:val="18"/>
                <w:szCs w:val="18"/>
                <w:color w:val="auto"/>
              </w:rPr>
              <w:t>Dated: February 7, 2014</w:t>
            </w:r>
          </w:p>
        </w:tc>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AVIV EFRAT</w:t>
            </w:r>
          </w:p>
        </w:tc>
      </w:tr>
      <w:tr>
        <w:trPr>
          <w:trHeight w:val="202"/>
        </w:trPr>
        <w:tc>
          <w:tcPr>
            <w:tcW w:w="5980" w:type="dxa"/>
            <w:vAlign w:val="bottom"/>
          </w:tcPr>
          <w:p>
            <w:pPr>
              <w:spacing w:after="0"/>
              <w:rPr>
                <w:sz w:val="17"/>
                <w:szCs w:val="17"/>
                <w:color w:val="auto"/>
              </w:rPr>
            </w:pPr>
          </w:p>
        </w:tc>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Aviv Efrat</w:t>
            </w:r>
          </w:p>
        </w:tc>
      </w:tr>
      <w:tr>
        <w:trPr>
          <w:trHeight w:val="222"/>
        </w:trPr>
        <w:tc>
          <w:tcPr>
            <w:tcW w:w="598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2020-05-05T12:10:09Z</dcterms:created>
  <dcterms:modified xsi:type="dcterms:W3CDTF">2020-05-05T12:10:09Z</dcterms:modified>
</cp:coreProperties>
</file>