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5680" w:type="dxa"/>
            <w:vAlign w:val="bottom"/>
          </w:tcPr>
          <w:p>
            <w:pPr>
              <w:ind w:left="2300"/>
              <w:spacing w:after="0"/>
              <w:rPr>
                <w:sz w:val="20"/>
                <w:szCs w:val="20"/>
                <w:color w:val="auto"/>
              </w:rPr>
            </w:pPr>
            <w:r>
              <w:rPr>
                <w:rFonts w:ascii="Arial" w:cs="Arial" w:eastAsia="Arial" w:hAnsi="Arial"/>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TO</w:t>
            </w: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85"/>
        </w:trPr>
        <w:tc>
          <w:tcPr>
            <w:tcW w:w="6880" w:type="dxa"/>
            <w:vAlign w:val="bottom"/>
            <w:gridSpan w:val="3"/>
          </w:tcPr>
          <w:p>
            <w:pPr>
              <w:jc w:val="center"/>
              <w:ind w:left="3181"/>
              <w:spacing w:after="0"/>
              <w:rPr>
                <w:sz w:val="20"/>
                <w:szCs w:val="20"/>
                <w:color w:val="auto"/>
              </w:rPr>
            </w:pPr>
            <w:r>
              <w:rPr>
                <w:rFonts w:ascii="Arial" w:cs="Arial" w:eastAsia="Arial" w:hAnsi="Arial"/>
                <w:sz w:val="18"/>
                <w:szCs w:val="18"/>
                <w:b w:val="1"/>
                <w:bCs w:val="1"/>
                <w:color w:val="auto"/>
                <w:w w:val="99"/>
              </w:rPr>
              <w:t>COMMISSION FILE NUMBER: 814-00891</w:t>
            </w: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31"/>
        </w:trPr>
        <w:tc>
          <w:tcPr>
            <w:tcW w:w="9360" w:type="dxa"/>
            <w:vAlign w:val="bottom"/>
            <w:gridSpan w:val="5"/>
          </w:tcPr>
          <w:p>
            <w:pPr>
              <w:jc w:val="center"/>
              <w:ind w:left="701"/>
              <w:spacing w:after="0"/>
              <w:rPr>
                <w:sz w:val="20"/>
                <w:szCs w:val="20"/>
                <w:color w:val="auto"/>
              </w:rPr>
            </w:pPr>
            <w:r>
              <w:rPr>
                <w:rFonts w:ascii="Arial" w:cs="Arial" w:eastAsia="Arial" w:hAnsi="Arial"/>
                <w:sz w:val="36"/>
                <w:szCs w:val="36"/>
                <w:b w:val="1"/>
                <w:bCs w:val="1"/>
                <w:color w:val="auto"/>
                <w:w w:val="99"/>
              </w:rPr>
              <w:t>PENNANTPARK FLOATING RATE CAPITAL LTD.</w:t>
            </w:r>
          </w:p>
        </w:tc>
      </w:tr>
      <w:tr>
        <w:trPr>
          <w:trHeight w:val="186"/>
        </w:trPr>
        <w:tc>
          <w:tcPr>
            <w:tcW w:w="6880" w:type="dxa"/>
            <w:vAlign w:val="bottom"/>
            <w:gridSpan w:val="3"/>
          </w:tcPr>
          <w:p>
            <w:pPr>
              <w:jc w:val="center"/>
              <w:ind w:left="318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74"/>
        </w:trPr>
        <w:tc>
          <w:tcPr>
            <w:tcW w:w="5680" w:type="dxa"/>
            <w:vAlign w:val="bottom"/>
          </w:tcPr>
          <w:p>
            <w:pPr>
              <w:jc w:val="center"/>
              <w:ind w:right="1041"/>
              <w:spacing w:after="0"/>
              <w:rPr>
                <w:sz w:val="20"/>
                <w:szCs w:val="20"/>
                <w:color w:val="auto"/>
              </w:rPr>
            </w:pPr>
            <w:r>
              <w:rPr>
                <w:rFonts w:ascii="Arial" w:cs="Arial" w:eastAsia="Arial" w:hAnsi="Arial"/>
                <w:sz w:val="14"/>
                <w:szCs w:val="14"/>
                <w:b w:val="1"/>
                <w:bCs w:val="1"/>
                <w:color w:val="auto"/>
              </w:rPr>
              <w:t>MARYLAND</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20" w:type="dxa"/>
            <w:vAlign w:val="bottom"/>
          </w:tcPr>
          <w:p>
            <w:pPr>
              <w:jc w:val="right"/>
              <w:ind w:right="991"/>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5680" w:type="dxa"/>
            <w:vAlign w:val="bottom"/>
          </w:tcPr>
          <w:p>
            <w:pPr>
              <w:jc w:val="center"/>
              <w:ind w:right="102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2"/>
          </w:tcPr>
          <w:p>
            <w:pPr>
              <w:jc w:val="center"/>
              <w:ind w:right="271"/>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335"/>
        </w:trPr>
        <w:tc>
          <w:tcPr>
            <w:tcW w:w="5680" w:type="dxa"/>
            <w:vAlign w:val="bottom"/>
          </w:tcPr>
          <w:p>
            <w:pPr>
              <w:jc w:val="center"/>
              <w:ind w:right="1041"/>
              <w:spacing w:after="0"/>
              <w:rPr>
                <w:sz w:val="20"/>
                <w:szCs w:val="20"/>
                <w:color w:val="auto"/>
              </w:rPr>
            </w:pPr>
            <w:r>
              <w:rPr>
                <w:rFonts w:ascii="Arial" w:cs="Arial" w:eastAsia="Arial" w:hAnsi="Arial"/>
                <w:sz w:val="14"/>
                <w:szCs w:val="14"/>
                <w:b w:val="1"/>
                <w:bCs w:val="1"/>
                <w:color w:val="auto"/>
                <w:w w:val="92"/>
              </w:rPr>
              <w:t>590 Madison Avenue,</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7"/>
        </w:trPr>
        <w:tc>
          <w:tcPr>
            <w:tcW w:w="5680" w:type="dxa"/>
            <w:vAlign w:val="bottom"/>
          </w:tcPr>
          <w:p>
            <w:pPr>
              <w:jc w:val="center"/>
              <w:ind w:right="1041"/>
              <w:spacing w:after="0"/>
              <w:rPr>
                <w:sz w:val="20"/>
                <w:szCs w:val="20"/>
                <w:color w:val="auto"/>
              </w:rPr>
            </w:pPr>
            <w:r>
              <w:rPr>
                <w:rFonts w:ascii="Arial" w:cs="Arial" w:eastAsia="Arial" w:hAnsi="Arial"/>
                <w:sz w:val="14"/>
                <w:szCs w:val="14"/>
                <w:b w:val="1"/>
                <w:bCs w:val="1"/>
                <w:color w:val="auto"/>
                <w:w w:val="94"/>
              </w:rPr>
              <w:t>15</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 New York, N.Y.</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tcPr>
          <w:p>
            <w:pPr>
              <w:jc w:val="right"/>
              <w:ind w:right="1151"/>
              <w:spacing w:after="0"/>
              <w:rPr>
                <w:sz w:val="20"/>
                <w:szCs w:val="20"/>
                <w:color w:val="auto"/>
              </w:rPr>
            </w:pPr>
            <w:r>
              <w:rPr>
                <w:rFonts w:ascii="Arial" w:cs="Arial" w:eastAsia="Arial" w:hAnsi="Arial"/>
                <w:sz w:val="14"/>
                <w:szCs w:val="14"/>
                <w:b w:val="1"/>
                <w:bCs w:val="1"/>
                <w:color w:val="auto"/>
              </w:rPr>
              <w:t>10022</w:t>
            </w:r>
          </w:p>
        </w:tc>
      </w:tr>
      <w:tr>
        <w:trPr>
          <w:trHeight w:val="150"/>
        </w:trPr>
        <w:tc>
          <w:tcPr>
            <w:tcW w:w="5680" w:type="dxa"/>
            <w:vAlign w:val="bottom"/>
          </w:tcPr>
          <w:p>
            <w:pPr>
              <w:jc w:val="center"/>
              <w:ind w:right="104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20" w:type="dxa"/>
            <w:vAlign w:val="bottom"/>
          </w:tcPr>
          <w:p>
            <w:pPr>
              <w:jc w:val="center"/>
              <w:ind w:right="831"/>
              <w:spacing w:after="0"/>
              <w:rPr>
                <w:sz w:val="20"/>
                <w:szCs w:val="20"/>
                <w:color w:val="auto"/>
              </w:rPr>
            </w:pPr>
            <w:r>
              <w:rPr>
                <w:rFonts w:ascii="Arial" w:cs="Arial" w:eastAsia="Arial" w:hAnsi="Arial"/>
                <w:sz w:val="12"/>
                <w:szCs w:val="12"/>
                <w:b w:val="1"/>
                <w:bCs w:val="1"/>
                <w:color w:val="auto"/>
                <w:w w:val="90"/>
              </w:rPr>
              <w:t>(Zip Code)</w:t>
            </w:r>
          </w:p>
        </w:tc>
      </w:tr>
      <w:tr>
        <w:trPr>
          <w:trHeight w:val="305"/>
        </w:trPr>
        <w:tc>
          <w:tcPr>
            <w:tcW w:w="7440" w:type="dxa"/>
            <w:vAlign w:val="bottom"/>
            <w:gridSpan w:val="4"/>
          </w:tcPr>
          <w:p>
            <w:pPr>
              <w:jc w:val="center"/>
              <w:ind w:left="2621"/>
              <w:spacing w:after="0"/>
              <w:rPr>
                <w:sz w:val="20"/>
                <w:szCs w:val="20"/>
                <w:color w:val="auto"/>
              </w:rPr>
            </w:pPr>
            <w:r>
              <w:rPr>
                <w:rFonts w:ascii="Arial" w:cs="Arial" w:eastAsia="Arial" w:hAnsi="Arial"/>
                <w:sz w:val="14"/>
                <w:szCs w:val="14"/>
                <w:b w:val="1"/>
                <w:bCs w:val="1"/>
                <w:color w:val="auto"/>
                <w:w w:val="91"/>
              </w:rPr>
              <w:t>Registrant’s telephone number, including area code (212)-905-1000</w:t>
            </w:r>
          </w:p>
        </w:tc>
        <w:tc>
          <w:tcPr>
            <w:tcW w:w="1920" w:type="dxa"/>
            <w:vAlign w:val="bottom"/>
          </w:tcPr>
          <w:p>
            <w:pPr>
              <w:spacing w:after="0"/>
              <w:rPr>
                <w:sz w:val="24"/>
                <w:szCs w:val="24"/>
                <w:color w:val="auto"/>
              </w:rPr>
            </w:pPr>
          </w:p>
        </w:tc>
      </w:tr>
      <w:tr>
        <w:trPr>
          <w:trHeight w:val="365"/>
        </w:trPr>
        <w:tc>
          <w:tcPr>
            <w:tcW w:w="6880" w:type="dxa"/>
            <w:vAlign w:val="bottom"/>
            <w:gridSpan w:val="3"/>
          </w:tcPr>
          <w:p>
            <w:pPr>
              <w:jc w:val="center"/>
              <w:ind w:left="3161"/>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5680" w:type="dxa"/>
            <w:vAlign w:val="bottom"/>
          </w:tcPr>
          <w:p>
            <w:pPr>
              <w:jc w:val="center"/>
              <w:ind w:right="1041"/>
              <w:spacing w:after="0"/>
              <w:rPr>
                <w:sz w:val="20"/>
                <w:szCs w:val="20"/>
                <w:color w:val="auto"/>
              </w:rPr>
            </w:pPr>
            <w:r>
              <w:rPr>
                <w:rFonts w:ascii="Arial" w:cs="Arial" w:eastAsia="Arial" w:hAnsi="Arial"/>
                <w:sz w:val="14"/>
                <w:szCs w:val="14"/>
                <w:b w:val="1"/>
                <w:bCs w:val="1"/>
                <w:color w:val="auto"/>
                <w:w w:val="93"/>
              </w:rPr>
              <w:t>Title of Each Class</w:t>
            </w:r>
          </w:p>
        </w:tc>
        <w:tc>
          <w:tcPr>
            <w:tcW w:w="3680" w:type="dxa"/>
            <w:vAlign w:val="bottom"/>
            <w:gridSpan w:val="4"/>
          </w:tcPr>
          <w:p>
            <w:pPr>
              <w:jc w:val="center"/>
              <w:ind w:left="78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5680" w:type="dxa"/>
            <w:vAlign w:val="bottom"/>
          </w:tcPr>
          <w:p>
            <w:pPr>
              <w:jc w:val="center"/>
              <w:ind w:right="1041"/>
              <w:spacing w:after="0"/>
              <w:rPr>
                <w:sz w:val="20"/>
                <w:szCs w:val="20"/>
                <w:color w:val="auto"/>
              </w:rPr>
            </w:pPr>
            <w:r>
              <w:rPr>
                <w:rFonts w:ascii="Arial" w:cs="Arial" w:eastAsia="Arial" w:hAnsi="Arial"/>
                <w:sz w:val="14"/>
                <w:szCs w:val="14"/>
                <w:color w:val="auto"/>
                <w:w w:val="91"/>
              </w:rPr>
              <w:t>Common Stock, par value $0.001 per share</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271"/>
              <w:spacing w:after="0"/>
              <w:rPr>
                <w:sz w:val="20"/>
                <w:szCs w:val="20"/>
                <w:color w:val="auto"/>
              </w:rPr>
            </w:pPr>
            <w:r>
              <w:rPr>
                <w:rFonts w:ascii="Arial" w:cs="Arial" w:eastAsia="Arial" w:hAnsi="Arial"/>
                <w:sz w:val="14"/>
                <w:szCs w:val="14"/>
                <w:color w:val="auto"/>
                <w:w w:val="97"/>
              </w:rPr>
              <w:t>The NASDAQ Stock Market LLC</w:t>
            </w:r>
          </w:p>
        </w:tc>
      </w:tr>
      <w:tr>
        <w:trPr>
          <w:trHeight w:val="297"/>
        </w:trPr>
        <w:tc>
          <w:tcPr>
            <w:tcW w:w="7440" w:type="dxa"/>
            <w:vAlign w:val="bottom"/>
            <w:gridSpan w:val="4"/>
          </w:tcPr>
          <w:p>
            <w:pPr>
              <w:jc w:val="center"/>
              <w:ind w:left="2621"/>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920" w:type="dxa"/>
            <w:vAlign w:val="bottom"/>
          </w:tcPr>
          <w:p>
            <w:pPr>
              <w:spacing w:after="0"/>
              <w:rPr>
                <w:sz w:val="24"/>
                <w:szCs w:val="24"/>
                <w:color w:val="auto"/>
              </w:rPr>
            </w:pPr>
          </w:p>
        </w:tc>
      </w:tr>
      <w:tr>
        <w:trPr>
          <w:trHeight w:val="313"/>
        </w:trPr>
        <w:tc>
          <w:tcPr>
            <w:tcW w:w="6880" w:type="dxa"/>
            <w:vAlign w:val="bottom"/>
            <w:gridSpan w:val="3"/>
          </w:tcPr>
          <w:p>
            <w:pPr>
              <w:jc w:val="right"/>
              <w:ind w:right="3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92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r>
        <w:trPr>
          <w:trHeight w:val="324"/>
        </w:trPr>
        <w:tc>
          <w:tcPr>
            <w:tcW w:w="6880" w:type="dxa"/>
            <w:vAlign w:val="bottom"/>
            <w:gridSpan w:val="3"/>
          </w:tcPr>
          <w:p>
            <w:pPr>
              <w:jc w:val="right"/>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9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bl>
    <w:p>
      <w:pPr>
        <w:spacing w:after="0" w:line="112"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9"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43" w:lineRule="exact"/>
        <w:rPr>
          <w:sz w:val="24"/>
          <w:szCs w:val="24"/>
          <w:color w:val="auto"/>
        </w:rPr>
      </w:pPr>
    </w:p>
    <w:p>
      <w:pPr>
        <w:ind w:right="60" w:firstLine="56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3" w:lineRule="exact"/>
        <w:rPr>
          <w:sz w:val="24"/>
          <w:szCs w:val="24"/>
          <w:color w:val="auto"/>
        </w:rPr>
      </w:pPr>
    </w:p>
    <w:p>
      <w:pPr>
        <w:ind w:right="5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92" w:lineRule="exact"/>
        <w:rPr>
          <w:sz w:val="24"/>
          <w:szCs w:val="24"/>
          <w:color w:val="auto"/>
        </w:rPr>
      </w:pPr>
    </w:p>
    <w:p>
      <w:pPr>
        <w:spacing w:after="0" w:line="161" w:lineRule="exact"/>
        <w:tabs>
          <w:tab w:leader="none" w:pos="1560" w:val="left"/>
          <w:tab w:leader="none" w:pos="91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23" w:lineRule="exact"/>
        <w:rPr>
          <w:sz w:val="24"/>
          <w:szCs w:val="24"/>
          <w:color w:val="auto"/>
        </w:rPr>
      </w:pPr>
    </w:p>
    <w:p>
      <w:pPr>
        <w:spacing w:after="0" w:line="161" w:lineRule="exact"/>
        <w:tabs>
          <w:tab w:leader="none" w:pos="1560" w:val="left"/>
          <w:tab w:leader="none" w:pos="91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150" w:lineRule="exact"/>
        <w:rPr>
          <w:sz w:val="24"/>
          <w:szCs w:val="24"/>
          <w:color w:val="auto"/>
        </w:rPr>
      </w:pPr>
    </w:p>
    <w:p>
      <w:pPr>
        <w:ind w:left="560"/>
        <w:spacing w:after="0" w:line="161" w:lineRule="exact"/>
        <w:tabs>
          <w:tab w:leader="none" w:pos="722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77" w:lineRule="exact"/>
        <w:rPr>
          <w:sz w:val="24"/>
          <w:szCs w:val="24"/>
          <w:color w:val="auto"/>
        </w:rPr>
      </w:pPr>
    </w:p>
    <w:p>
      <w:pPr>
        <w:jc w:val="both"/>
        <w:ind w:firstLine="562"/>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2015 based on the closing price on that date of $14.03 on the NASDAQ Global Select Market was approximately $205 million. For the purposes of calculating the aggregate market value of common stock held by non-affiliates, all directors and executive officers of the Registrant have been treated as affiliates. There were 26,730,074 shares of the Registrant’s common stock outstanding as of November 12, 2015.</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2" w:lineRule="exact"/>
        <w:rPr>
          <w:sz w:val="24"/>
          <w:szCs w:val="24"/>
          <w:color w:val="auto"/>
        </w:rPr>
      </w:pPr>
    </w:p>
    <w:p>
      <w:pPr>
        <w:sectPr>
          <w:pgSz w:w="11900" w:h="16838" w:orient="portrait"/>
          <w:cols w:equalWidth="0" w:num="2">
            <w:col w:w="10880" w:space="220"/>
            <w:col w:w="140"/>
          </w:cols>
          <w:pgMar w:left="320" w:top="230" w:right="339" w:bottom="1440" w:gutter="0" w:footer="0" w:header="0"/>
          <w:type w:val="continuous"/>
        </w:sectPr>
      </w:pPr>
    </w:p>
    <w:p>
      <w:pPr>
        <w:ind w:right="40" w:firstLine="562"/>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2016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8840" w:type="dxa"/>
            <w:vAlign w:val="bottom"/>
          </w:tcPr>
          <w:p>
            <w:pPr>
              <w:jc w:val="center"/>
              <w:ind w:left="1148"/>
              <w:spacing w:after="0"/>
              <w:rPr>
                <w:sz w:val="20"/>
                <w:szCs w:val="20"/>
                <w:color w:val="auto"/>
              </w:rPr>
            </w:pPr>
            <w:r>
              <w:rPr>
                <w:rFonts w:ascii="Arial" w:cs="Arial" w:eastAsia="Arial" w:hAnsi="Arial"/>
                <w:sz w:val="14"/>
                <w:szCs w:val="14"/>
                <w:b w:val="1"/>
                <w:bCs w:val="1"/>
                <w:color w:val="auto"/>
              </w:rPr>
              <w:t>PENNANTPARK FLOATING RATE CAPITAL LTD.</w:t>
            </w:r>
          </w:p>
        </w:tc>
        <w:tc>
          <w:tcPr>
            <w:tcW w:w="1720" w:type="dxa"/>
            <w:vAlign w:val="bottom"/>
          </w:tcPr>
          <w:p>
            <w:pPr>
              <w:spacing w:after="0"/>
              <w:rPr>
                <w:sz w:val="14"/>
                <w:szCs w:val="14"/>
                <w:color w:val="auto"/>
              </w:rPr>
            </w:pPr>
          </w:p>
        </w:tc>
      </w:tr>
      <w:tr>
        <w:trPr>
          <w:trHeight w:val="148"/>
        </w:trPr>
        <w:tc>
          <w:tcPr>
            <w:tcW w:w="600" w:type="dxa"/>
            <w:vAlign w:val="bottom"/>
          </w:tcPr>
          <w:p>
            <w:pPr>
              <w:spacing w:after="0"/>
              <w:rPr>
                <w:sz w:val="12"/>
                <w:szCs w:val="12"/>
                <w:color w:val="auto"/>
              </w:rPr>
            </w:pPr>
          </w:p>
        </w:tc>
        <w:tc>
          <w:tcPr>
            <w:tcW w:w="8840" w:type="dxa"/>
            <w:vAlign w:val="bottom"/>
          </w:tcPr>
          <w:p>
            <w:pPr>
              <w:jc w:val="center"/>
              <w:ind w:left="1148"/>
              <w:spacing w:after="0" w:line="149" w:lineRule="exact"/>
              <w:rPr>
                <w:sz w:val="20"/>
                <w:szCs w:val="20"/>
                <w:color w:val="auto"/>
              </w:rPr>
            </w:pPr>
            <w:r>
              <w:rPr>
                <w:rFonts w:ascii="Arial" w:cs="Arial" w:eastAsia="Arial" w:hAnsi="Arial"/>
                <w:sz w:val="14"/>
                <w:szCs w:val="14"/>
                <w:b w:val="1"/>
                <w:bCs w:val="1"/>
                <w:color w:val="auto"/>
              </w:rPr>
              <w:t>FORM 10-K FOR THE FISCAL YEAR ENDED SEPTEMBER 30, 2015</w:t>
            </w:r>
          </w:p>
        </w:tc>
        <w:tc>
          <w:tcPr>
            <w:tcW w:w="1720" w:type="dxa"/>
            <w:vAlign w:val="bottom"/>
          </w:tcPr>
          <w:p>
            <w:pPr>
              <w:spacing w:after="0"/>
              <w:rPr>
                <w:sz w:val="12"/>
                <w:szCs w:val="12"/>
                <w:color w:val="auto"/>
              </w:rPr>
            </w:pPr>
          </w:p>
        </w:tc>
      </w:tr>
      <w:tr>
        <w:trPr>
          <w:trHeight w:val="186"/>
        </w:trPr>
        <w:tc>
          <w:tcPr>
            <w:tcW w:w="600" w:type="dxa"/>
            <w:vAlign w:val="bottom"/>
          </w:tcPr>
          <w:p>
            <w:pPr>
              <w:spacing w:after="0"/>
              <w:rPr>
                <w:sz w:val="16"/>
                <w:szCs w:val="16"/>
                <w:color w:val="auto"/>
              </w:rPr>
            </w:pPr>
          </w:p>
        </w:tc>
        <w:tc>
          <w:tcPr>
            <w:tcW w:w="8840" w:type="dxa"/>
            <w:vAlign w:val="bottom"/>
          </w:tcPr>
          <w:p>
            <w:pPr>
              <w:jc w:val="center"/>
              <w:ind w:left="1148"/>
              <w:spacing w:after="0"/>
              <w:rPr>
                <w:sz w:val="20"/>
                <w:szCs w:val="20"/>
                <w:color w:val="auto"/>
              </w:rPr>
            </w:pPr>
            <w:r>
              <w:rPr>
                <w:rFonts w:ascii="Arial" w:cs="Arial" w:eastAsia="Arial" w:hAnsi="Arial"/>
                <w:sz w:val="14"/>
                <w:szCs w:val="14"/>
                <w:b w:val="1"/>
                <w:bCs w:val="1"/>
                <w:color w:val="auto"/>
              </w:rPr>
              <w:t>TABLE OF CONTENTS</w:t>
            </w:r>
          </w:p>
        </w:tc>
        <w:tc>
          <w:tcPr>
            <w:tcW w:w="1720" w:type="dxa"/>
            <w:vAlign w:val="bottom"/>
          </w:tcPr>
          <w:p>
            <w:pPr>
              <w:spacing w:after="0"/>
              <w:rPr>
                <w:sz w:val="16"/>
                <w:szCs w:val="16"/>
                <w:color w:val="auto"/>
              </w:rPr>
            </w:pPr>
          </w:p>
        </w:tc>
      </w:tr>
      <w:tr>
        <w:trPr>
          <w:trHeight w:val="392"/>
        </w:trPr>
        <w:tc>
          <w:tcPr>
            <w:tcW w:w="600" w:type="dxa"/>
            <w:vAlign w:val="bottom"/>
          </w:tcPr>
          <w:p>
            <w:pPr>
              <w:spacing w:after="0"/>
              <w:rPr>
                <w:sz w:val="24"/>
                <w:szCs w:val="24"/>
                <w:color w:val="auto"/>
              </w:rPr>
            </w:pPr>
          </w:p>
        </w:tc>
        <w:tc>
          <w:tcPr>
            <w:tcW w:w="8840" w:type="dxa"/>
            <w:vAlign w:val="bottom"/>
          </w:tcPr>
          <w:p>
            <w:pPr>
              <w:jc w:val="center"/>
              <w:ind w:left="74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720" w:type="dxa"/>
            <w:vAlign w:val="bottom"/>
          </w:tcPr>
          <w:p>
            <w:pPr>
              <w:spacing w:after="0"/>
              <w:rPr>
                <w:sz w:val="24"/>
                <w:szCs w:val="24"/>
                <w:color w:val="auto"/>
              </w:rPr>
            </w:pP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840" w:type="dxa"/>
            <w:vAlign w:val="bottom"/>
          </w:tcPr>
          <w:p>
            <w:pPr>
              <w:ind w:left="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60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840" w:type="dxa"/>
            <w:vAlign w:val="bottom"/>
          </w:tcPr>
          <w:p>
            <w:pPr>
              <w:ind w:left="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84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Unresolved Staff Comments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84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Properties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84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Legal Proceedings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6"/>
        </w:trPr>
        <w:tc>
          <w:tcPr>
            <w:tcW w:w="60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840" w:type="dxa"/>
            <w:vAlign w:val="bottom"/>
          </w:tcPr>
          <w:p>
            <w:pPr>
              <w:ind w:left="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Mine Safety Disclosures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7"/>
        </w:trPr>
        <w:tc>
          <w:tcPr>
            <w:tcW w:w="600" w:type="dxa"/>
            <w:vAlign w:val="bottom"/>
          </w:tcPr>
          <w:p>
            <w:pPr>
              <w:spacing w:after="0"/>
              <w:rPr>
                <w:sz w:val="22"/>
                <w:szCs w:val="22"/>
                <w:color w:val="auto"/>
              </w:rPr>
            </w:pPr>
          </w:p>
        </w:tc>
        <w:tc>
          <w:tcPr>
            <w:tcW w:w="8840" w:type="dxa"/>
            <w:vAlign w:val="bottom"/>
          </w:tcPr>
          <w:p>
            <w:pPr>
              <w:jc w:val="center"/>
              <w:ind w:left="768"/>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w:t>
              </w:r>
            </w:hyperlink>
          </w:p>
        </w:tc>
        <w:tc>
          <w:tcPr>
            <w:tcW w:w="172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840" w:type="dxa"/>
            <w:vAlign w:val="bottom"/>
          </w:tcPr>
          <w:p>
            <w:pPr>
              <w:ind w:left="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840" w:type="dxa"/>
            <w:vAlign w:val="bottom"/>
          </w:tcPr>
          <w:p>
            <w:pPr>
              <w:ind w:left="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Selected Financial Data</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840" w:type="dxa"/>
            <w:vAlign w:val="bottom"/>
          </w:tcPr>
          <w:p>
            <w:pPr>
              <w:ind w:left="6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6"/>
        </w:trPr>
        <w:tc>
          <w:tcPr>
            <w:tcW w:w="60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840" w:type="dxa"/>
            <w:vAlign w:val="bottom"/>
          </w:tcPr>
          <w:p>
            <w:pPr>
              <w:ind w:left="6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840" w:type="dxa"/>
            <w:vAlign w:val="bottom"/>
          </w:tcPr>
          <w:p>
            <w:pPr>
              <w:ind w:left="6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Consolidated Financial Statements and Supplementary Data</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840" w:type="dxa"/>
            <w:vAlign w:val="bottom"/>
          </w:tcPr>
          <w:p>
            <w:pPr>
              <w:ind w:left="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Changes in and Disagreements with Accountants on Accounting and Financial Disclosure</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840" w:type="dxa"/>
            <w:vAlign w:val="bottom"/>
          </w:tcPr>
          <w:p>
            <w:pPr>
              <w:ind w:left="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6"/>
        </w:trPr>
        <w:tc>
          <w:tcPr>
            <w:tcW w:w="60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840" w:type="dxa"/>
            <w:vAlign w:val="bottom"/>
          </w:tcPr>
          <w:p>
            <w:pPr>
              <w:ind w:left="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Other Information</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7"/>
        </w:trPr>
        <w:tc>
          <w:tcPr>
            <w:tcW w:w="600" w:type="dxa"/>
            <w:vAlign w:val="bottom"/>
          </w:tcPr>
          <w:p>
            <w:pPr>
              <w:spacing w:after="0"/>
              <w:rPr>
                <w:sz w:val="22"/>
                <w:szCs w:val="22"/>
                <w:color w:val="auto"/>
              </w:rPr>
            </w:pPr>
          </w:p>
        </w:tc>
        <w:tc>
          <w:tcPr>
            <w:tcW w:w="8840" w:type="dxa"/>
            <w:vAlign w:val="bottom"/>
          </w:tcPr>
          <w:p>
            <w:pPr>
              <w:jc w:val="center"/>
              <w:ind w:left="748"/>
              <w:spacing w:after="0"/>
              <w:rPr>
                <w:rFonts w:ascii="Arial" w:cs="Arial" w:eastAsia="Arial" w:hAnsi="Arial"/>
                <w:sz w:val="14"/>
                <w:szCs w:val="14"/>
                <w:b w:val="1"/>
                <w:bCs w:val="1"/>
                <w:u w:val="single" w:color="auto"/>
                <w:color w:val="0000EE"/>
              </w:rPr>
            </w:pPr>
            <w:hyperlink w:anchor="page72">
              <w:r>
                <w:rPr>
                  <w:rFonts w:ascii="Arial" w:cs="Arial" w:eastAsia="Arial" w:hAnsi="Arial"/>
                  <w:sz w:val="14"/>
                  <w:szCs w:val="14"/>
                  <w:b w:val="1"/>
                  <w:bCs w:val="1"/>
                  <w:u w:val="single" w:color="auto"/>
                  <w:color w:val="0000EE"/>
                </w:rPr>
                <w:t>PART III</w:t>
              </w:r>
            </w:hyperlink>
          </w:p>
        </w:tc>
        <w:tc>
          <w:tcPr>
            <w:tcW w:w="1720" w:type="dxa"/>
            <w:vAlign w:val="bottom"/>
          </w:tcPr>
          <w:p>
            <w:pPr>
              <w:spacing w:after="0"/>
              <w:rPr>
                <w:sz w:val="22"/>
                <w:szCs w:val="22"/>
                <w:color w:val="auto"/>
              </w:rPr>
            </w:pP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840" w:type="dxa"/>
            <w:vAlign w:val="bottom"/>
          </w:tcPr>
          <w:p>
            <w:pPr>
              <w:ind w:left="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Directors, Executive Officers and Corporate Governance</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840" w:type="dxa"/>
            <w:vAlign w:val="bottom"/>
          </w:tcPr>
          <w:p>
            <w:pPr>
              <w:ind w:left="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Executive Compensation</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840" w:type="dxa"/>
            <w:vAlign w:val="bottom"/>
          </w:tcPr>
          <w:p>
            <w:pPr>
              <w:ind w:left="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Security Ownership of Certain Beneficial Owners and Management and Related Stockholder Matters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57"/>
        </w:trPr>
        <w:tc>
          <w:tcPr>
            <w:tcW w:w="60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840" w:type="dxa"/>
            <w:vAlign w:val="bottom"/>
          </w:tcPr>
          <w:p>
            <w:pPr>
              <w:ind w:left="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Certain Relationships and Related Transactions, and Director Independence</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56"/>
        </w:trPr>
        <w:tc>
          <w:tcPr>
            <w:tcW w:w="60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840" w:type="dxa"/>
            <w:vAlign w:val="bottom"/>
          </w:tcPr>
          <w:p>
            <w:pPr>
              <w:ind w:left="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Principal Accountant Fees and Services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57"/>
        </w:trPr>
        <w:tc>
          <w:tcPr>
            <w:tcW w:w="600" w:type="dxa"/>
            <w:vAlign w:val="bottom"/>
          </w:tcPr>
          <w:p>
            <w:pPr>
              <w:spacing w:after="0"/>
              <w:rPr>
                <w:sz w:val="22"/>
                <w:szCs w:val="22"/>
                <w:color w:val="auto"/>
              </w:rPr>
            </w:pPr>
          </w:p>
        </w:tc>
        <w:tc>
          <w:tcPr>
            <w:tcW w:w="8840" w:type="dxa"/>
            <w:vAlign w:val="bottom"/>
          </w:tcPr>
          <w:p>
            <w:pPr>
              <w:jc w:val="center"/>
              <w:ind w:left="748"/>
              <w:spacing w:after="0"/>
              <w:rPr>
                <w:rFonts w:ascii="Arial" w:cs="Arial" w:eastAsia="Arial" w:hAnsi="Arial"/>
                <w:sz w:val="14"/>
                <w:szCs w:val="14"/>
                <w:b w:val="1"/>
                <w:bCs w:val="1"/>
                <w:u w:val="single" w:color="auto"/>
                <w:color w:val="0000EE"/>
              </w:rPr>
            </w:pPr>
            <w:hyperlink w:anchor="page73">
              <w:r>
                <w:rPr>
                  <w:rFonts w:ascii="Arial" w:cs="Arial" w:eastAsia="Arial" w:hAnsi="Arial"/>
                  <w:sz w:val="14"/>
                  <w:szCs w:val="14"/>
                  <w:b w:val="1"/>
                  <w:bCs w:val="1"/>
                  <w:u w:val="single" w:color="auto"/>
                  <w:color w:val="0000EE"/>
                </w:rPr>
                <w:t>PART IV</w:t>
              </w:r>
            </w:hyperlink>
          </w:p>
        </w:tc>
        <w:tc>
          <w:tcPr>
            <w:tcW w:w="1720" w:type="dxa"/>
            <w:vAlign w:val="bottom"/>
          </w:tcPr>
          <w:p>
            <w:pPr>
              <w:spacing w:after="0"/>
              <w:rPr>
                <w:sz w:val="22"/>
                <w:szCs w:val="22"/>
                <w:color w:val="auto"/>
              </w:rPr>
            </w:pPr>
          </w:p>
        </w:tc>
      </w:tr>
      <w:tr>
        <w:trPr>
          <w:trHeight w:val="256"/>
        </w:trPr>
        <w:tc>
          <w:tcPr>
            <w:tcW w:w="60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840" w:type="dxa"/>
            <w:vAlign w:val="bottom"/>
          </w:tcPr>
          <w:p>
            <w:pPr>
              <w:ind w:left="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Exhibits and Financial Statement Schedules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57"/>
        </w:trPr>
        <w:tc>
          <w:tcPr>
            <w:tcW w:w="600" w:type="dxa"/>
            <w:vAlign w:val="bottom"/>
          </w:tcPr>
          <w:p>
            <w:pPr>
              <w:spacing w:after="0"/>
              <w:rPr>
                <w:sz w:val="22"/>
                <w:szCs w:val="22"/>
                <w:color w:val="auto"/>
              </w:rPr>
            </w:pPr>
          </w:p>
        </w:tc>
        <w:tc>
          <w:tcPr>
            <w:tcW w:w="8840" w:type="dxa"/>
            <w:vAlign w:val="bottom"/>
          </w:tcPr>
          <w:p>
            <w:pPr>
              <w:ind w:left="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97"/>
        </w:trPr>
        <w:tc>
          <w:tcPr>
            <w:tcW w:w="600" w:type="dxa"/>
            <w:vAlign w:val="bottom"/>
          </w:tcPr>
          <w:p>
            <w:pPr>
              <w:spacing w:after="0"/>
              <w:rPr>
                <w:sz w:val="24"/>
                <w:szCs w:val="24"/>
                <w:color w:val="auto"/>
              </w:rPr>
            </w:pPr>
          </w:p>
        </w:tc>
        <w:tc>
          <w:tcPr>
            <w:tcW w:w="8840" w:type="dxa"/>
            <w:vAlign w:val="bottom"/>
          </w:tcPr>
          <w:p>
            <w:pPr>
              <w:jc w:val="center"/>
              <w:ind w:left="1128"/>
              <w:spacing w:after="0"/>
              <w:rPr>
                <w:sz w:val="20"/>
                <w:szCs w:val="20"/>
                <w:color w:val="auto"/>
              </w:rPr>
            </w:pPr>
            <w:r>
              <w:rPr>
                <w:rFonts w:ascii="Arial" w:cs="Arial" w:eastAsia="Arial" w:hAnsi="Arial"/>
                <w:sz w:val="14"/>
                <w:szCs w:val="14"/>
                <w:color w:val="auto"/>
              </w:rPr>
              <w:t>1</w:t>
            </w:r>
          </w:p>
        </w:tc>
        <w:tc>
          <w:tcPr>
            <w:tcW w:w="172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00" w:lineRule="exact"/>
        <w:rPr>
          <w:sz w:val="20"/>
          <w:szCs w:val="20"/>
          <w:color w:val="auto"/>
        </w:rPr>
      </w:pPr>
    </w:p>
    <w:p>
      <w:pPr>
        <w:ind w:right="100" w:firstLine="562"/>
        <w:spacing w:after="0" w:line="244"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“MCG” refers to MCG Capital Corporation;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9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loans bearing a variable-rate of interest, or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1"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$1 million and $15 million, on average, although we expect that this investment size will vary proportionately with the size of our capital base.</w:t>
      </w:r>
    </w:p>
    <w:p>
      <w:pPr>
        <w:spacing w:after="0" w:line="7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our Credit Facility.</w:t>
      </w:r>
    </w:p>
    <w:p>
      <w:pPr>
        <w:spacing w:after="0" w:line="66"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4"/>
          <w:szCs w:val="14"/>
          <w:color w:val="auto"/>
        </w:rPr>
        <w:t>On August 18, 2015, we completed the acquisition of MCG pursuant to the Agreement and Plan of Merger, or the Merger Agreement, dated as of April 28, 2015, by and among MCG, our Investment Adviser and the Company. As a result of the transactions completed by the Merger Agreement, MCG was merged with and into PFLT Panama, LLC with MCG as the surviving corporation, following which MCG was merged with and into PFLT Funding II, LLC with PFLT Funding II, LLC as the surviving company.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9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$2.6 billion in debt and equity capital and has invested $4.8 billion in 385 companies with over 150 different financial sponsors through its managed funds.</w:t>
      </w:r>
    </w:p>
    <w:p>
      <w:pPr>
        <w:spacing w:after="0" w:line="71" w:lineRule="exact"/>
        <w:rPr>
          <w:sz w:val="20"/>
          <w:szCs w:val="20"/>
          <w:color w:val="auto"/>
        </w:rPr>
      </w:pPr>
    </w:p>
    <w:p>
      <w:pPr>
        <w:ind w:right="200" w:firstLine="562"/>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9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jc w:val="both"/>
        <w:ind w:left="1120" w:right="100" w:hanging="329"/>
        <w:spacing w:after="0"/>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w:t>
      </w:r>
      <w:r>
        <w:rPr>
          <w:rFonts w:ascii="Arial" w:cs="Arial" w:eastAsia="Arial" w:hAnsi="Arial"/>
          <w:sz w:val="14"/>
          <w:szCs w:val="14"/>
          <w:b w:val="1"/>
          <w:bCs w:val="1"/>
          <w:color w:val="auto"/>
        </w:rPr>
        <w:t xml:space="preserve"> </w:t>
      </w:r>
      <w:r>
        <w:rPr>
          <w:rFonts w:ascii="Arial" w:cs="Arial" w:eastAsia="Arial" w:hAnsi="Arial"/>
          <w:sz w:val="14"/>
          <w:szCs w:val="14"/>
          <w:color w:val="auto"/>
        </w:rPr>
        <w:t>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4" w:lineRule="exact"/>
        <w:rPr>
          <w:rFonts w:ascii="Arial" w:cs="Arial" w:eastAsia="Arial" w:hAnsi="Arial"/>
          <w:sz w:val="14"/>
          <w:szCs w:val="14"/>
          <w:color w:val="auto"/>
        </w:rPr>
      </w:pPr>
    </w:p>
    <w:p>
      <w:pPr>
        <w:ind w:left="1120" w:right="40" w:hanging="329"/>
        <w:spacing w:after="0" w:line="342"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We believe middle-market companies have faced difficulty raising debt in private markets. </w:t>
      </w:r>
      <w:r>
        <w:rPr>
          <w:rFonts w:ascii="Arial" w:cs="Arial" w:eastAsia="Arial" w:hAnsi="Arial"/>
          <w:sz w:val="12"/>
          <w:szCs w:val="12"/>
          <w:color w:val="auto"/>
        </w:rPr>
        <w:t>From time to time, banks, finance companies, hedge funds and collateralized</w:t>
      </w:r>
      <w:r>
        <w:rPr>
          <w:rFonts w:ascii="Arial" w:cs="Arial" w:eastAsia="Arial" w:hAnsi="Arial"/>
          <w:sz w:val="12"/>
          <w:szCs w:val="12"/>
          <w:b w:val="1"/>
          <w:bCs w:val="1"/>
          <w:color w:val="auto"/>
        </w:rPr>
        <w:t xml:space="preserve"> </w:t>
      </w:r>
      <w:r>
        <w:rPr>
          <w:rFonts w:ascii="Arial" w:cs="Arial" w:eastAsia="Arial" w:hAnsi="Arial"/>
          <w:sz w:val="12"/>
          <w:szCs w:val="12"/>
          <w:color w:val="auto"/>
        </w:rPr>
        <w:t>loan obligation, or CLO, funds have withdrawn, and may again withdraw, capital from the middle-market, resulting in opportunities for alternative funding sources.</w:t>
      </w:r>
    </w:p>
    <w:p>
      <w:pPr>
        <w:spacing w:after="0" w:line="25" w:lineRule="exact"/>
        <w:rPr>
          <w:rFonts w:ascii="Arial" w:cs="Arial" w:eastAsia="Arial" w:hAnsi="Arial"/>
          <w:sz w:val="12"/>
          <w:szCs w:val="12"/>
          <w:color w:val="auto"/>
        </w:rPr>
      </w:pPr>
    </w:p>
    <w:p>
      <w:pPr>
        <w:ind w:left="1120" w:right="140" w:hanging="329"/>
        <w:spacing w:after="0"/>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w:t>
      </w:r>
      <w:r>
        <w:rPr>
          <w:rFonts w:ascii="Arial" w:cs="Arial" w:eastAsia="Arial" w:hAnsi="Arial"/>
          <w:sz w:val="14"/>
          <w:szCs w:val="14"/>
          <w:b w:val="1"/>
          <w:bCs w:val="1"/>
          <w:color w:val="auto"/>
        </w:rPr>
        <w:t xml:space="preserve"> </w:t>
      </w:r>
      <w:r>
        <w:rPr>
          <w:rFonts w:ascii="Arial" w:cs="Arial" w:eastAsia="Arial" w:hAnsi="Arial"/>
          <w:sz w:val="14"/>
          <w:szCs w:val="14"/>
          <w:color w:val="auto"/>
        </w:rPr>
        <w:t>reduced lending to middle-market and non-investment grade borrowers. As a result, we believe there is less competition in our market, more conservative capital structures, higher yields and stronger covenants.</w:t>
      </w:r>
    </w:p>
    <w:p>
      <w:pPr>
        <w:spacing w:after="0" w:line="84" w:lineRule="exact"/>
        <w:rPr>
          <w:rFonts w:ascii="Arial" w:cs="Arial" w:eastAsia="Arial" w:hAnsi="Arial"/>
          <w:sz w:val="14"/>
          <w:szCs w:val="14"/>
          <w:color w:val="auto"/>
        </w:rPr>
      </w:pPr>
    </w:p>
    <w:p>
      <w:pPr>
        <w:ind w:left="1120" w:right="20" w:hanging="329"/>
        <w:spacing w:after="0" w:line="235"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 equity firms will continue to be active investors in middle-market companies. These private equity funds generally seek to leverage their</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by combining their capital with senior secured debt and/or mezzanine debt provided by other sources, and we believe that our capital is well-positioned to partner with such equity investors.</w:t>
      </w:r>
    </w:p>
    <w:p>
      <w:pPr>
        <w:spacing w:after="0" w:line="84" w:lineRule="exact"/>
        <w:rPr>
          <w:rFonts w:ascii="Arial" w:cs="Arial" w:eastAsia="Arial" w:hAnsi="Arial"/>
          <w:sz w:val="14"/>
          <w:szCs w:val="14"/>
          <w:color w:val="auto"/>
        </w:rPr>
      </w:pPr>
    </w:p>
    <w:p>
      <w:pPr>
        <w:ind w:left="1120" w:right="20" w:hanging="329"/>
        <w:spacing w:after="0" w:line="232"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96" w:lineRule="exact"/>
        <w:rPr>
          <w:sz w:val="20"/>
          <w:szCs w:val="20"/>
          <w:color w:val="auto"/>
        </w:rPr>
      </w:pPr>
    </w:p>
    <w:p>
      <w:pPr>
        <w:ind w:right="240" w:firstLine="562"/>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77" w:lineRule="exact"/>
        <w:rPr>
          <w:sz w:val="20"/>
          <w:szCs w:val="20"/>
          <w:color w:val="auto"/>
        </w:rPr>
      </w:pPr>
    </w:p>
    <w:p>
      <w:pPr>
        <w:ind w:right="160" w:firstLine="562"/>
        <w:spacing w:after="0" w:line="264" w:lineRule="auto"/>
        <w:rPr>
          <w:sz w:val="20"/>
          <w:szCs w:val="20"/>
          <w:color w:val="auto"/>
        </w:rPr>
      </w:pPr>
      <w:r>
        <w:rPr>
          <w:rFonts w:ascii="Arial" w:cs="Arial" w:eastAsia="Arial" w:hAnsi="Arial"/>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7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09" w:lineRule="exact"/>
        <w:rPr>
          <w:sz w:val="20"/>
          <w:szCs w:val="20"/>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4"/>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95" w:lineRule="exact"/>
        <w:rPr>
          <w:rFonts w:ascii="Arial" w:cs="Arial" w:eastAsia="Arial" w:hAnsi="Arial"/>
          <w:sz w:val="14"/>
          <w:szCs w:val="14"/>
          <w:color w:val="auto"/>
        </w:rPr>
      </w:pPr>
    </w:p>
    <w:p>
      <w:pPr>
        <w:ind w:left="500" w:hanging="155"/>
        <w:spacing w:after="0"/>
        <w:tabs>
          <w:tab w:leader="none" w:pos="50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60"/>
          </w:cols>
          <w:pgMar w:left="32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96" w:lineRule="exact"/>
        <w:rPr>
          <w:sz w:val="20"/>
          <w:szCs w:val="20"/>
          <w:color w:val="auto"/>
        </w:rPr>
      </w:pPr>
    </w:p>
    <w:p>
      <w:pPr>
        <w:ind w:right="300" w:firstLine="562"/>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44"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96"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77"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96" w:lineRule="exact"/>
        <w:rPr>
          <w:sz w:val="20"/>
          <w:szCs w:val="20"/>
          <w:color w:val="auto"/>
        </w:rPr>
      </w:pPr>
    </w:p>
    <w:p>
      <w:pPr>
        <w:ind w:right="80" w:firstLine="562"/>
        <w:spacing w:after="0" w:line="226" w:lineRule="auto"/>
        <w:rPr>
          <w:sz w:val="20"/>
          <w:szCs w:val="20"/>
          <w:color w:val="auto"/>
        </w:rPr>
      </w:pPr>
      <w:r>
        <w:rPr>
          <w:rFonts w:ascii="Arial" w:cs="Arial" w:eastAsia="Arial" w:hAnsi="Arial"/>
          <w:sz w:val="14"/>
          <w:szCs w:val="14"/>
          <w:color w:val="auto"/>
        </w:rPr>
        <w:t>As of September 30, 2015, we maintained a $290 million Credit Facility, which matures in August 2020, with SunTrust Bank and other lenders, or the Lenders. During the Credit Facility’s revolving period, which extends to August 2018, it bears interest at London Interbank Offered Rate, or LIBOR, plus 200 basis points, and after the revolving period, the rate sets to LIBOR plus 425 basis points for the remaining two years. The Credit Facility is secured by all of the assets held by Funding I, under which we had $29.6 million outstanding with an annual current interest rate of 2.20%, excluding the undrawn commitment fees as of September 30, 2015. As of September 30, 2015 and 2014, we had $260.4 million and $53.6 million of unused borrowing capacity under our Credit Facility, respectively, subject to the regulatory restrictions that the 1940 Act imposes on us as a BDC.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77"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Moreover, we may acquire investments in the secondary market. See “Regulation—Qualifying Assets” and “Investment Selection Criteria” for more information.</w:t>
      </w:r>
    </w:p>
    <w:p>
      <w:pPr>
        <w:spacing w:after="0" w:line="67"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Secured Debt</w:t>
      </w:r>
    </w:p>
    <w:p>
      <w:pPr>
        <w:spacing w:after="0" w:line="96"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Mezzanine Debt</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debt.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6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Leading and defensible competitive market positions</w:t>
      </w:r>
    </w:p>
    <w:p>
      <w:pPr>
        <w:spacing w:after="0" w:line="96"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Investing in stable borrowers with positive cash flow</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Proven management teams</w:t>
      </w:r>
    </w:p>
    <w:p>
      <w:pPr>
        <w:spacing w:after="0" w:line="96" w:lineRule="exact"/>
        <w:rPr>
          <w:sz w:val="20"/>
          <w:szCs w:val="20"/>
          <w:color w:val="auto"/>
        </w:rPr>
      </w:pPr>
    </w:p>
    <w:p>
      <w:pPr>
        <w:ind w:right="360" w:firstLine="562"/>
        <w:spacing w:after="0" w:line="290"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Financial sponsorship</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 Investments in different borrowers and industries</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non-diversified.</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 Viable exit strategy</w:t>
      </w:r>
    </w:p>
    <w:p>
      <w:pPr>
        <w:spacing w:after="0" w:line="96" w:lineRule="exact"/>
        <w:rPr>
          <w:sz w:val="20"/>
          <w:szCs w:val="20"/>
          <w:color w:val="auto"/>
        </w:rPr>
      </w:pPr>
    </w:p>
    <w:p>
      <w:pPr>
        <w:ind w:right="180" w:firstLine="562"/>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due diligence may include:</w:t>
      </w:r>
    </w:p>
    <w:p>
      <w:pPr>
        <w:spacing w:after="0" w:line="109" w:lineRule="exact"/>
        <w:rPr>
          <w:sz w:val="20"/>
          <w:szCs w:val="20"/>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6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9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75"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66"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Typically, our mezzanine debt has maturities of three to ten years. Mezzanine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77"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8"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09" w:lineRule="exact"/>
        <w:rPr>
          <w:rFonts w:ascii="Arial" w:cs="Arial" w:eastAsia="Arial" w:hAnsi="Arial"/>
          <w:sz w:val="14"/>
          <w:szCs w:val="14"/>
          <w:color w:val="auto"/>
        </w:rPr>
      </w:pPr>
    </w:p>
    <w:p>
      <w:pPr>
        <w:jc w:val="both"/>
        <w:ind w:left="1120" w:right="120" w:hanging="329"/>
        <w:spacing w:after="0" w:line="238" w:lineRule="auto"/>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75"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7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takes place, such as the sale or refinancing of a portfolio company. We also may turn over investments to better position the portfolio in light of market conditions.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9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09"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09" w:lineRule="exact"/>
        <w:rPr>
          <w:rFonts w:ascii="Arial" w:cs="Arial" w:eastAsia="Arial" w:hAnsi="Arial"/>
          <w:sz w:val="14"/>
          <w:szCs w:val="14"/>
          <w:color w:val="auto"/>
        </w:rPr>
      </w:pPr>
    </w:p>
    <w:p>
      <w:pPr>
        <w:ind w:left="1120" w:right="660" w:hanging="329"/>
        <w:spacing w:after="0" w:line="253" w:lineRule="auto"/>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96"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60" w:firstLine="8"/>
        <w:spacing w:after="0" w:line="237"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for more information.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9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200" w:type="dxa"/>
            <w:vAlign w:val="bottom"/>
          </w:tcPr>
          <w:p>
            <w:pPr>
              <w:ind w:left="80"/>
              <w:spacing w:after="0"/>
              <w:rPr>
                <w:sz w:val="20"/>
                <w:szCs w:val="20"/>
                <w:color w:val="auto"/>
              </w:rPr>
            </w:pPr>
            <w:r>
              <w:rPr>
                <w:rFonts w:ascii="Arial" w:cs="Arial" w:eastAsia="Arial" w:hAnsi="Arial"/>
                <w:sz w:val="14"/>
                <w:szCs w:val="14"/>
                <w:color w:val="auto"/>
              </w:rPr>
              <w:t>Aerospace and Defense</w:t>
            </w:r>
          </w:p>
        </w:tc>
        <w:tc>
          <w:tcPr>
            <w:tcW w:w="1760" w:type="dxa"/>
            <w:vAlign w:val="bottom"/>
          </w:tcPr>
          <w:p>
            <w:pPr>
              <w:ind w:left="164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Environmental Services</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Auto Sector</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  Beverage, Food and Tobacco</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Grocery</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Broadcasting and Entertainment</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  Healthcare, Education and Childcare</w:t>
            </w: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  Buildings and Real Estate</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Building Materials</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w w:val="95"/>
              </w:rPr>
              <w:t>•  Home &amp; Office Furnishings, Housewares &amp; Durable Consumer Products</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  Hotels, Motels, Inns and Gaming</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Cable Television</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Cargo Transportation</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  Leisure, Amusement, Motion Picture &amp; Entertainment</w:t>
            </w: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  Chemicals, Plastics and Rubber</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Communications</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  Consumer Goods: Durable &amp; Non-Durable</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  Media: Broadcasting and Subscription</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  Mining, Steel, Iron and Non-Precious Metals</w:t>
            </w: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  Containers, Packaging &amp; Glass</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Distribution</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Other Media</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Manufacturing</w:t>
            </w:r>
          </w:p>
        </w:tc>
        <w:tc>
          <w:tcPr>
            <w:tcW w:w="6040" w:type="dxa"/>
            <w:vAlign w:val="bottom"/>
            <w:gridSpan w:val="2"/>
          </w:tcPr>
          <w:p>
            <w:pPr>
              <w:ind w:left="1640"/>
              <w:spacing w:after="0" w:line="149" w:lineRule="exact"/>
              <w:rPr>
                <w:sz w:val="20"/>
                <w:szCs w:val="20"/>
                <w:color w:val="auto"/>
              </w:rPr>
            </w:pPr>
            <w:r>
              <w:rPr>
                <w:rFonts w:ascii="Arial" w:cs="Arial" w:eastAsia="Arial" w:hAnsi="Arial"/>
                <w:sz w:val="14"/>
                <w:szCs w:val="14"/>
                <w:color w:val="auto"/>
              </w:rPr>
              <w:t>•  Personal, Food and Miscellaneous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Services</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Printing and Publishing</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0" w:type="dxa"/>
            <w:vAlign w:val="bottom"/>
          </w:tcPr>
          <w:p>
            <w:pPr>
              <w:ind w:left="80"/>
              <w:spacing w:after="0" w:line="149" w:lineRule="exact"/>
              <w:rPr>
                <w:sz w:val="20"/>
                <w:szCs w:val="20"/>
                <w:color w:val="auto"/>
              </w:rPr>
            </w:pPr>
            <w:r>
              <w:rPr>
                <w:rFonts w:ascii="Arial" w:cs="Arial" w:eastAsia="Arial" w:hAnsi="Arial"/>
                <w:sz w:val="14"/>
                <w:szCs w:val="14"/>
                <w:color w:val="auto"/>
              </w:rPr>
              <w:t>Education</w:t>
            </w:r>
          </w:p>
        </w:tc>
        <w:tc>
          <w:tcPr>
            <w:tcW w:w="1760" w:type="dxa"/>
            <w:vAlign w:val="bottom"/>
          </w:tcPr>
          <w:p>
            <w:pPr>
              <w:ind w:left="164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Retail</w:t>
            </w:r>
          </w:p>
        </w:tc>
      </w:tr>
      <w:tr>
        <w:trPr>
          <w:trHeight w:val="18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200" w:type="dxa"/>
            <w:vAlign w:val="bottom"/>
          </w:tcPr>
          <w:p>
            <w:pPr>
              <w:ind w:left="80"/>
              <w:spacing w:after="0"/>
              <w:rPr>
                <w:sz w:val="20"/>
                <w:szCs w:val="20"/>
                <w:color w:val="auto"/>
              </w:rPr>
            </w:pPr>
            <w:r>
              <w:rPr>
                <w:rFonts w:ascii="Arial" w:cs="Arial" w:eastAsia="Arial" w:hAnsi="Arial"/>
                <w:sz w:val="14"/>
                <w:szCs w:val="14"/>
                <w:color w:val="auto"/>
              </w:rPr>
              <w:t>Energy/Utilities</w:t>
            </w:r>
          </w:p>
        </w:tc>
        <w:tc>
          <w:tcPr>
            <w:tcW w:w="1760" w:type="dxa"/>
            <w:vAlign w:val="bottom"/>
          </w:tcPr>
          <w:p>
            <w:pPr>
              <w:ind w:left="164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Telecommunications</w:t>
            </w:r>
          </w:p>
        </w:tc>
      </w:tr>
    </w:tbl>
    <w:p>
      <w:pPr>
        <w:spacing w:after="0" w:line="7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6"/>
                <w:szCs w:val="16"/>
                <w:color w:val="auto"/>
              </w:rPr>
            </w:pPr>
          </w:p>
        </w:tc>
        <w:tc>
          <w:tcPr>
            <w:tcW w:w="5100" w:type="dxa"/>
            <w:vAlign w:val="bottom"/>
            <w:gridSpan w:val="3"/>
          </w:tcPr>
          <w:p>
            <w:pPr>
              <w:ind w:left="140"/>
              <w:spacing w:after="0"/>
              <w:rPr>
                <w:sz w:val="20"/>
                <w:szCs w:val="20"/>
                <w:color w:val="auto"/>
              </w:rPr>
            </w:pPr>
            <w:r>
              <w:rPr>
                <w:rFonts w:ascii="Arial" w:cs="Arial" w:eastAsia="Arial" w:hAnsi="Arial"/>
                <w:sz w:val="14"/>
                <w:szCs w:val="14"/>
                <w:b w:val="1"/>
                <w:bCs w:val="1"/>
                <w:color w:val="auto"/>
              </w:rPr>
              <w:t>Portfolio Company</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AKA Diversified Holdings, Inc.</w:t>
            </w:r>
          </w:p>
        </w:tc>
        <w:tc>
          <w:tcPr>
            <w:tcW w:w="220" w:type="dxa"/>
            <w:vAlign w:val="bottom"/>
            <w:vMerge w:val="continue"/>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w:t>
            </w:r>
          </w:p>
        </w:tc>
        <w:tc>
          <w:tcPr>
            <w:tcW w:w="140" w:type="dxa"/>
            <w:vAlign w:val="bottom"/>
            <w:vMerge w:val="continue"/>
            <w:shd w:val="clear" w:color="auto" w:fill="CCEEFF"/>
          </w:tcPr>
          <w:p>
            <w:pPr>
              <w:spacing w:after="0"/>
              <w:rPr>
                <w:sz w:val="12"/>
                <w:szCs w:val="12"/>
                <w:color w:val="auto"/>
              </w:rPr>
            </w:pP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Patriot National, Inc. (f/k/a Old Guard Risk Services, Inc.)</w:t>
            </w:r>
          </w:p>
        </w:tc>
        <w:tc>
          <w:tcPr>
            <w:tcW w:w="220" w:type="dxa"/>
            <w:vAlign w:val="bottom"/>
            <w:vMerge w:val="continue"/>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Bowlmor AMF Corp.</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AKA Diversified Holdings, Inc.</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CRGT Inc.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e-Rewards, Inc.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Howard Berger Co. LLC</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iEnergizer Limited and Aptara, Inc.</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LLC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Instant Web, LLC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Language Line, LLC</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New Trident HoldCorp, Inc.</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Novitex Acquisition, LLC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Novitex Acquisition, LLC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Polyconcept Finance B.V.</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SCE Partners, LLC</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Surgical Specialties Corporation (US), Inc.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Zest Holdings, LLC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color w:val="auto"/>
              </w:rPr>
              <w:t>iEnergizer Limited and Aptara, Inc.</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5100" w:type="dxa"/>
            <w:vAlign w:val="bottom"/>
            <w:gridSpan w:val="3"/>
          </w:tcPr>
          <w:p>
            <w:pPr>
              <w:ind w:left="140"/>
              <w:spacing w:after="0"/>
              <w:rPr>
                <w:sz w:val="20"/>
                <w:szCs w:val="20"/>
                <w:color w:val="auto"/>
              </w:rPr>
            </w:pPr>
            <w:r>
              <w:rPr>
                <w:rFonts w:ascii="Arial" w:cs="Arial" w:eastAsia="Arial" w:hAnsi="Arial"/>
                <w:sz w:val="14"/>
                <w:szCs w:val="14"/>
                <w:color w:val="auto"/>
              </w:rPr>
              <w:t>Premier Dental Services, Inc.</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r>
      <w:tr>
        <w:trPr>
          <w:trHeight w:val="142"/>
        </w:trPr>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r>
      <w:tr>
        <w:trPr>
          <w:trHeight w:val="148"/>
        </w:trPr>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5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High Tech Industries</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r>
      <w:tr>
        <w:trPr>
          <w:trHeight w:val="149"/>
        </w:trPr>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5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r>
      <w:tr>
        <w:trPr>
          <w:trHeight w:val="148"/>
        </w:trPr>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5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Consumer Services</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r>
      <w:tr>
        <w:trPr>
          <w:trHeight w:val="148"/>
        </w:trPr>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5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Hotel, Gaming and Leisure</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r>
      <w:tr>
        <w:trPr>
          <w:trHeight w:val="149"/>
        </w:trPr>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Construction and Building</w:t>
            </w: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5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w:t>
            </w:r>
          </w:p>
        </w:tc>
      </w:tr>
      <w:tr>
        <w:trPr>
          <w:trHeight w:val="148"/>
        </w:trPr>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5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r>
      <w:tr>
        <w:trPr>
          <w:trHeight w:val="149"/>
        </w:trPr>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Hotel, Gaming and Leisure</w:t>
            </w: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51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Consumer Goods: Durable</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r>
      <w:tr>
        <w:trPr>
          <w:trHeight w:val="148"/>
        </w:trPr>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51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Banking, Finance, Insurance and Real Estate</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r>
      <w:tr>
        <w:trPr>
          <w:trHeight w:val="182"/>
        </w:trPr>
        <w:tc>
          <w:tcPr>
            <w:tcW w:w="520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5100" w:type="dxa"/>
            <w:vAlign w:val="bottom"/>
            <w:gridSpan w:val="3"/>
          </w:tcPr>
          <w:p>
            <w:pPr>
              <w:ind w:left="100"/>
              <w:spacing w:after="0"/>
              <w:rPr>
                <w:sz w:val="20"/>
                <w:szCs w:val="20"/>
                <w:color w:val="auto"/>
              </w:rPr>
            </w:pPr>
            <w:r>
              <w:rPr>
                <w:rFonts w:ascii="Arial" w:cs="Arial" w:eastAsia="Arial" w:hAnsi="Arial"/>
                <w:sz w:val="14"/>
                <w:szCs w:val="14"/>
                <w:color w:val="auto"/>
              </w:rPr>
              <w:t>Aerospace and Defense</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r>
    </w:tbl>
    <w:p>
      <w:pPr>
        <w:spacing w:after="0" w:line="5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38" w:lineRule="auto"/>
        <w:rPr>
          <w:sz w:val="20"/>
          <w:szCs w:val="20"/>
          <w:color w:val="auto"/>
        </w:rPr>
      </w:pPr>
      <w:r>
        <w:rPr>
          <w:rFonts w:ascii="Arial" w:cs="Arial" w:eastAsia="Arial" w:hAnsi="Arial"/>
          <w:sz w:val="14"/>
          <w:szCs w:val="14"/>
          <w:color w:val="auto"/>
        </w:rPr>
        <w:t>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75"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82"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2015, 2014 and 2013, the Investment Adviser earned a base management fee of $3.6 million, $3.7 million and $2.2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Gross assets as of December 31, 20XX = $160 million</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Gross assets as of March 31, 20XX = $200 million</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Adjusted gross assets as of March 31, 20XX = $180 million</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2015, 2014 and 2013, the Investment Adviser earned $2.2 million, $2.6 million and $1.5 million, respectively, in incentive fees on net investment income from 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81280</wp:posOffset>
            </wp:positionV>
            <wp:extent cx="275145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1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84" w:lineRule="exact"/>
        <w:rPr>
          <w:sz w:val="20"/>
          <w:szCs w:val="20"/>
          <w:color w:val="auto"/>
        </w:rPr>
      </w:pPr>
    </w:p>
    <w:p>
      <w:pPr>
        <w:jc w:val="both"/>
        <w:ind w:right="60" w:firstLine="562"/>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2015, 2014 and 2013 the Investment Adviser accrued an incentive fee on capital gains of approximately $(0.4) million, $0.8 million and zero, respectively, as calculated under the Investment Management Agreement (as described above).</w:t>
      </w:r>
    </w:p>
    <w:p>
      <w:pPr>
        <w:spacing w:after="0" w:line="7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2015, 2014 and 2013 was $(0.7) million, $0.1 million and $0.4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Other expenses (legal, accounting, custodian, transfer agent, etc.) </w:t>
      </w:r>
      <w:r>
        <w:rPr>
          <w:rFonts w:ascii="Arial" w:cs="Arial" w:eastAsia="Arial" w:hAnsi="Arial"/>
          <w:sz w:val="12"/>
          <w:szCs w:val="12"/>
          <w:color w:val="auto"/>
        </w:rPr>
        <w:t>(3)</w:t>
      </w:r>
      <w:r>
        <w:rPr>
          <w:rFonts w:ascii="Arial" w:cs="Arial" w:eastAsia="Arial" w:hAnsi="Arial"/>
          <w:sz w:val="14"/>
          <w:szCs w:val="14"/>
          <w:color w:val="auto"/>
        </w:rPr>
        <w:t xml:space="preserve"> = 0.20%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Other expenses (legal, accounting, custodian, transfer agent, etc.) </w:t>
      </w:r>
      <w:r>
        <w:rPr>
          <w:rFonts w:ascii="Arial" w:cs="Arial" w:eastAsia="Arial" w:hAnsi="Arial"/>
          <w:sz w:val="12"/>
          <w:szCs w:val="12"/>
          <w:color w:val="auto"/>
        </w:rPr>
        <w:t>(3)</w:t>
      </w:r>
      <w:r>
        <w:rPr>
          <w:rFonts w:ascii="Arial" w:cs="Arial" w:eastAsia="Arial" w:hAnsi="Arial"/>
          <w:sz w:val="14"/>
          <w:szCs w:val="14"/>
          <w:color w:val="auto"/>
        </w:rPr>
        <w:t xml:space="preserve"> = 0.20%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Incentive fee</w:t>
      </w:r>
    </w:p>
    <w:p>
      <w:pPr>
        <w:spacing w:after="0" w:line="96" w:lineRule="exact"/>
        <w:rPr>
          <w:sz w:val="20"/>
          <w:szCs w:val="20"/>
          <w:color w:val="auto"/>
        </w:rPr>
      </w:pPr>
    </w:p>
    <w:p>
      <w:pPr>
        <w:ind w:left="680" w:hanging="110"/>
        <w:spacing w:after="0"/>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50% X Pre-Incentive Fee Net Investment Income, subject to “catch-up”</w:t>
      </w:r>
    </w:p>
    <w:p>
      <w:pPr>
        <w:spacing w:after="0" w:line="95" w:lineRule="exact"/>
        <w:rPr>
          <w:rFonts w:ascii="Arial" w:cs="Arial" w:eastAsia="Arial" w:hAnsi="Arial"/>
          <w:sz w:val="14"/>
          <w:szCs w:val="14"/>
          <w:color w:val="auto"/>
        </w:rPr>
      </w:pPr>
    </w:p>
    <w:p>
      <w:pPr>
        <w:ind w:left="680" w:hanging="110"/>
        <w:spacing w:after="0"/>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95" w:lineRule="exact"/>
        <w:rPr>
          <w:rFonts w:ascii="Arial" w:cs="Arial" w:eastAsia="Arial" w:hAnsi="Arial"/>
          <w:sz w:val="14"/>
          <w:szCs w:val="14"/>
          <w:color w:val="auto"/>
        </w:rPr>
      </w:pPr>
    </w:p>
    <w:p>
      <w:pPr>
        <w:ind w:left="680" w:hanging="110"/>
        <w:spacing w:after="0"/>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0.25%</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4.00%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Other expenses (legal, accounting, custodian, transfer agent, etc.) </w:t>
      </w:r>
      <w:r>
        <w:rPr>
          <w:rFonts w:ascii="Arial" w:cs="Arial" w:eastAsia="Arial" w:hAnsi="Arial"/>
          <w:sz w:val="12"/>
          <w:szCs w:val="12"/>
          <w:color w:val="auto"/>
        </w:rPr>
        <w:t>(3)</w:t>
      </w:r>
      <w:r>
        <w:rPr>
          <w:rFonts w:ascii="Arial" w:cs="Arial" w:eastAsia="Arial" w:hAnsi="Arial"/>
          <w:sz w:val="14"/>
          <w:szCs w:val="14"/>
          <w:color w:val="auto"/>
        </w:rPr>
        <w:t xml:space="preserve"> = 0.20%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3.55%</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Incentive fee</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 20% X Pre-Incentive Fee Net Investment Income, subject to “catch-up” </w:t>
      </w:r>
      <w:r>
        <w:rPr>
          <w:rFonts w:ascii="Arial" w:cs="Arial" w:eastAsia="Arial" w:hAnsi="Arial"/>
          <w:sz w:val="12"/>
          <w:szCs w:val="12"/>
          <w:color w:val="auto"/>
        </w:rPr>
        <w:t>(4)</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Incentive fee</w:t>
      </w:r>
    </w:p>
    <w:p>
      <w:pPr>
        <w:spacing w:after="0" w:line="96" w:lineRule="exact"/>
        <w:rPr>
          <w:sz w:val="20"/>
          <w:szCs w:val="20"/>
          <w:color w:val="auto"/>
        </w:rPr>
      </w:pPr>
    </w:p>
    <w:p>
      <w:pPr>
        <w:ind w:left="520" w:right="5520" w:firstLine="229"/>
        <w:spacing w:after="0" w:line="382" w:lineRule="auto"/>
        <w:tabs>
          <w:tab w:leader="none" w:pos="862" w:val="left"/>
        </w:tabs>
        <w:numPr>
          <w:ilvl w:val="1"/>
          <w:numId w:val="11"/>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Catch-up</w:t>
      </w:r>
    </w:p>
    <w:p>
      <w:pPr>
        <w:ind w:left="860" w:hanging="111"/>
        <w:spacing w:after="0"/>
        <w:tabs>
          <w:tab w:leader="none" w:pos="8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2.9167% - 1.75%</w:t>
      </w:r>
    </w:p>
    <w:p>
      <w:pPr>
        <w:spacing w:after="0" w:line="95" w:lineRule="exact"/>
        <w:rPr>
          <w:rFonts w:ascii="Arial" w:cs="Arial" w:eastAsia="Arial" w:hAnsi="Arial"/>
          <w:sz w:val="14"/>
          <w:szCs w:val="14"/>
          <w:color w:val="auto"/>
        </w:rPr>
      </w:pPr>
    </w:p>
    <w:p>
      <w:pPr>
        <w:ind w:left="860" w:hanging="111"/>
        <w:spacing w:after="0"/>
        <w:tabs>
          <w:tab w:leader="none" w:pos="8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1.1667%</w:t>
      </w:r>
    </w:p>
    <w:p>
      <w:pPr>
        <w:spacing w:after="0" w:line="95" w:lineRule="exact"/>
        <w:rPr>
          <w:rFonts w:ascii="Arial" w:cs="Arial" w:eastAsia="Arial" w:hAnsi="Arial"/>
          <w:sz w:val="14"/>
          <w:szCs w:val="14"/>
          <w:color w:val="auto"/>
        </w:rPr>
      </w:pPr>
    </w:p>
    <w:p>
      <w:pPr>
        <w:ind w:left="860" w:hanging="111"/>
        <w:spacing w:after="0"/>
        <w:tabs>
          <w:tab w:leader="none" w:pos="8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(50% X 1.1667%) + (20% X (3.55% - 2.9167%))</w:t>
      </w:r>
    </w:p>
    <w:p>
      <w:pPr>
        <w:spacing w:after="0" w:line="95" w:lineRule="exact"/>
        <w:rPr>
          <w:rFonts w:ascii="Arial" w:cs="Arial" w:eastAsia="Arial" w:hAnsi="Arial"/>
          <w:sz w:val="14"/>
          <w:szCs w:val="14"/>
          <w:color w:val="auto"/>
        </w:rPr>
      </w:pPr>
    </w:p>
    <w:p>
      <w:pPr>
        <w:ind w:left="860" w:hanging="111"/>
        <w:spacing w:after="0"/>
        <w:tabs>
          <w:tab w:leader="none" w:pos="8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0.5833% + (20% X 0.6333%)</w:t>
      </w:r>
    </w:p>
    <w:p>
      <w:pPr>
        <w:spacing w:after="0" w:line="95" w:lineRule="exact"/>
        <w:rPr>
          <w:rFonts w:ascii="Arial" w:cs="Arial" w:eastAsia="Arial" w:hAnsi="Arial"/>
          <w:sz w:val="14"/>
          <w:szCs w:val="14"/>
          <w:color w:val="auto"/>
        </w:rPr>
      </w:pPr>
    </w:p>
    <w:p>
      <w:pPr>
        <w:ind w:left="860" w:hanging="111"/>
        <w:spacing w:after="0"/>
        <w:tabs>
          <w:tab w:leader="none" w:pos="8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0.5833% + 0.1267%</w:t>
      </w:r>
    </w:p>
    <w:p>
      <w:pPr>
        <w:spacing w:after="0" w:line="95" w:lineRule="exact"/>
        <w:rPr>
          <w:rFonts w:ascii="Arial" w:cs="Arial" w:eastAsia="Arial" w:hAnsi="Arial"/>
          <w:sz w:val="14"/>
          <w:szCs w:val="14"/>
          <w:color w:val="auto"/>
        </w:rPr>
      </w:pPr>
    </w:p>
    <w:p>
      <w:pPr>
        <w:ind w:left="860" w:hanging="111"/>
        <w:spacing w:after="0"/>
        <w:tabs>
          <w:tab w:leader="none" w:pos="8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0.71%</w:t>
      </w:r>
    </w:p>
    <w:p>
      <w:pPr>
        <w:spacing w:after="0" w:line="17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1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340" w:hanging="332"/>
        <w:spacing w:after="0" w:line="221"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40" w:hanging="332"/>
        <w:spacing w:after="0" w:line="221"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Represents 1.0% annualized base management fee.</w:t>
      </w:r>
    </w:p>
    <w:p>
      <w:pPr>
        <w:ind w:left="340" w:hanging="332"/>
        <w:spacing w:after="0" w:line="221"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Excludes organizational and offering expenses.</w:t>
      </w:r>
    </w:p>
    <w:p>
      <w:pPr>
        <w:ind w:left="340" w:hanging="332"/>
        <w:spacing w:after="0" w:line="237"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3: FMV of Investment B determined to be $25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4: Investment B sold for $31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1: None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2: $6 million capital gains incentive fee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3: None</w:t>
      </w:r>
    </w:p>
    <w:p>
      <w:pPr>
        <w:spacing w:after="0" w:line="96" w:lineRule="exact"/>
        <w:rPr>
          <w:sz w:val="20"/>
          <w:szCs w:val="20"/>
          <w:color w:val="auto"/>
        </w:rPr>
      </w:pPr>
    </w:p>
    <w:p>
      <w:pPr>
        <w:ind w:left="120" w:right="20"/>
        <w:spacing w:after="0" w:line="25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4: $200,000 capital gains incentive fee</w:t>
      </w:r>
    </w:p>
    <w:p>
      <w:pPr>
        <w:ind w:left="12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left="120" w:right="540"/>
        <w:spacing w:after="0" w:line="25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4: FMV of Investment B determined to be $35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5: Investment B sold for $20 million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1: None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2: $5 million capital gains incentive fee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Year 3: $1.4 million capital gains incentive fee </w:t>
      </w:r>
      <w:r>
        <w:rPr>
          <w:rFonts w:ascii="Arial" w:cs="Arial" w:eastAsia="Arial" w:hAnsi="Arial"/>
          <w:sz w:val="12"/>
          <w:szCs w:val="12"/>
          <w:color w:val="auto"/>
        </w:rPr>
        <w:t>(1)</w:t>
      </w:r>
    </w:p>
    <w:p>
      <w:pPr>
        <w:spacing w:after="0" w:line="96" w:lineRule="exact"/>
        <w:rPr>
          <w:sz w:val="20"/>
          <w:szCs w:val="20"/>
          <w:color w:val="auto"/>
        </w:rPr>
      </w:pPr>
    </w:p>
    <w:p>
      <w:pPr>
        <w:ind w:left="120" w:right="300"/>
        <w:spacing w:after="0" w:line="253"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4: $0.6 million capital gains incentive fee</w:t>
      </w:r>
    </w:p>
    <w:p>
      <w:pPr>
        <w:spacing w:after="0" w:line="96" w:lineRule="exact"/>
        <w:rPr>
          <w:sz w:val="20"/>
          <w:szCs w:val="20"/>
          <w:color w:val="auto"/>
        </w:rPr>
      </w:pPr>
    </w:p>
    <w:p>
      <w:pPr>
        <w:ind w:left="120" w:right="20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$5 million of unrealized appreciation)) less $6.4 million (previous cumulative capital gains fee paid in Year 2 and Year 3)</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5: None</w:t>
      </w:r>
    </w:p>
    <w:p>
      <w:pPr>
        <w:spacing w:after="0" w:line="96" w:lineRule="exact"/>
        <w:rPr>
          <w:sz w:val="20"/>
          <w:szCs w:val="20"/>
          <w:color w:val="auto"/>
        </w:rPr>
      </w:pPr>
    </w:p>
    <w:p>
      <w:pPr>
        <w:ind w:left="120" w:right="40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1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7" w:lineRule="exact"/>
        <w:rPr>
          <w:sz w:val="20"/>
          <w:szCs w:val="20"/>
          <w:color w:val="auto"/>
        </w:rPr>
      </w:pPr>
    </w:p>
    <w:p>
      <w:pPr>
        <w:ind w:left="340" w:hanging="332"/>
        <w:spacing w:after="0" w:line="23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4"/>
          <w:szCs w:val="14"/>
          <w:color w:val="auto"/>
        </w:rPr>
        <w:t>As illustrated in Year 3 of Alternative 2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00"/>
          </w:cols>
          <w:pgMar w:left="32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96"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2015. Unless terminated earlier as described below, the Investment Management Agreement will continue in effect for a period of one year through February 2016.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77"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96"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2015, 2014 and 2013, the Investment Adviser was reimbursed approximately $0.5 million, $0.5 million and $0.3 million, respectively, from us, including expenses the Investment Adviser incurred on behalf of the Administrator, for services described above.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2015. Unless terminated earlier as described below, our Administration Agreement will continue in effect for a period of one year through February 2016.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96" w:lineRule="exact"/>
        <w:rPr>
          <w:sz w:val="20"/>
          <w:szCs w:val="20"/>
          <w:color w:val="auto"/>
        </w:rPr>
      </w:pPr>
    </w:p>
    <w:p>
      <w:pPr>
        <w:ind w:right="120" w:firstLine="562"/>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9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6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7" w:lineRule="exact"/>
        <w:rPr>
          <w:sz w:val="20"/>
          <w:szCs w:val="20"/>
          <w:color w:val="auto"/>
        </w:rPr>
      </w:pPr>
    </w:p>
    <w:p>
      <w:pPr>
        <w:ind w:left="1120" w:right="280" w:hanging="329"/>
        <w:spacing w:after="0" w:line="264" w:lineRule="auto"/>
        <w:tabs>
          <w:tab w:leader="none" w:pos="11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73" w:lineRule="exact"/>
        <w:rPr>
          <w:rFonts w:ascii="Arial" w:cs="Arial" w:eastAsia="Arial" w:hAnsi="Arial"/>
          <w:sz w:val="13"/>
          <w:szCs w:val="13"/>
          <w:color w:val="auto"/>
        </w:rPr>
      </w:pPr>
    </w:p>
    <w:p>
      <w:pPr>
        <w:ind w:left="1580" w:hanging="452"/>
        <w:spacing w:after="0"/>
        <w:tabs>
          <w:tab w:leader="none" w:pos="15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09" w:lineRule="exact"/>
        <w:rPr>
          <w:rFonts w:ascii="Arial" w:cs="Arial" w:eastAsia="Arial" w:hAnsi="Arial"/>
          <w:sz w:val="14"/>
          <w:szCs w:val="14"/>
          <w:color w:val="auto"/>
        </w:rPr>
      </w:pPr>
    </w:p>
    <w:p>
      <w:pPr>
        <w:ind w:left="1580" w:right="60" w:hanging="452"/>
        <w:spacing w:after="0" w:line="253" w:lineRule="auto"/>
        <w:tabs>
          <w:tab w:leader="none" w:pos="15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9" w:lineRule="exact"/>
        <w:rPr>
          <w:rFonts w:ascii="Arial" w:cs="Arial" w:eastAsia="Arial" w:hAnsi="Arial"/>
          <w:sz w:val="14"/>
          <w:szCs w:val="14"/>
          <w:color w:val="auto"/>
        </w:rPr>
      </w:pPr>
    </w:p>
    <w:p>
      <w:pPr>
        <w:ind w:left="1580" w:hanging="452"/>
        <w:spacing w:after="0"/>
        <w:tabs>
          <w:tab w:leader="none" w:pos="15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09" w:lineRule="exact"/>
        <w:rPr>
          <w:rFonts w:ascii="Arial" w:cs="Arial" w:eastAsia="Arial" w:hAnsi="Arial"/>
          <w:sz w:val="14"/>
          <w:szCs w:val="14"/>
          <w:color w:val="auto"/>
        </w:rPr>
      </w:pPr>
    </w:p>
    <w:p>
      <w:pPr>
        <w:ind w:left="1900" w:hanging="326"/>
        <w:spacing w:after="0"/>
        <w:tabs>
          <w:tab w:leader="none" w:pos="1900" w:val="left"/>
        </w:tabs>
        <w:numPr>
          <w:ilvl w:val="2"/>
          <w:numId w:val="14"/>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09" w:lineRule="exact"/>
        <w:rPr>
          <w:rFonts w:ascii="Arial" w:cs="Arial" w:eastAsia="Arial" w:hAnsi="Arial"/>
          <w:sz w:val="14"/>
          <w:szCs w:val="14"/>
          <w:color w:val="auto"/>
        </w:rPr>
      </w:pPr>
    </w:p>
    <w:p>
      <w:pPr>
        <w:ind w:left="1900" w:hanging="326"/>
        <w:spacing w:after="0"/>
        <w:tabs>
          <w:tab w:leader="none" w:pos="1900" w:val="left"/>
        </w:tabs>
        <w:numPr>
          <w:ilvl w:val="2"/>
          <w:numId w:val="14"/>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09" w:lineRule="exact"/>
        <w:rPr>
          <w:rFonts w:ascii="Arial" w:cs="Arial" w:eastAsia="Arial" w:hAnsi="Arial"/>
          <w:sz w:val="14"/>
          <w:szCs w:val="14"/>
          <w:color w:val="auto"/>
        </w:rPr>
      </w:pPr>
    </w:p>
    <w:p>
      <w:pPr>
        <w:ind w:left="1900" w:right="60" w:hanging="326"/>
        <w:spacing w:after="0" w:line="290" w:lineRule="auto"/>
        <w:tabs>
          <w:tab w:leader="none" w:pos="19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57" w:lineRule="exact"/>
        <w:rPr>
          <w:rFonts w:ascii="Arial" w:cs="Arial" w:eastAsia="Arial" w:hAnsi="Arial"/>
          <w:sz w:val="13"/>
          <w:szCs w:val="13"/>
          <w:color w:val="auto"/>
        </w:rPr>
      </w:pPr>
    </w:p>
    <w:p>
      <w:pPr>
        <w:ind w:left="1120" w:hanging="329"/>
        <w:spacing w:after="0"/>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09" w:lineRule="exact"/>
        <w:rPr>
          <w:rFonts w:ascii="Arial" w:cs="Arial" w:eastAsia="Arial" w:hAnsi="Arial"/>
          <w:sz w:val="14"/>
          <w:szCs w:val="14"/>
          <w:color w:val="auto"/>
        </w:rPr>
      </w:pPr>
    </w:p>
    <w:p>
      <w:pPr>
        <w:ind w:left="1120" w:hanging="329"/>
        <w:spacing w:after="0" w:line="238"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8" w:lineRule="exact"/>
        <w:rPr>
          <w:rFonts w:ascii="Arial" w:cs="Arial" w:eastAsia="Arial" w:hAnsi="Arial"/>
          <w:sz w:val="14"/>
          <w:szCs w:val="14"/>
          <w:color w:val="auto"/>
        </w:rPr>
      </w:pPr>
    </w:p>
    <w:p>
      <w:pPr>
        <w:ind w:left="1120" w:right="220" w:hanging="329"/>
        <w:spacing w:after="0" w:line="253"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9" w:lineRule="exact"/>
        <w:rPr>
          <w:rFonts w:ascii="Arial" w:cs="Arial" w:eastAsia="Arial" w:hAnsi="Arial"/>
          <w:sz w:val="14"/>
          <w:szCs w:val="14"/>
          <w:color w:val="auto"/>
        </w:rPr>
      </w:pPr>
    </w:p>
    <w:p>
      <w:pPr>
        <w:ind w:left="1120" w:right="80" w:hanging="329"/>
        <w:spacing w:after="0" w:line="253" w:lineRule="auto"/>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96"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96" w:lineRule="exact"/>
        <w:rPr>
          <w:sz w:val="20"/>
          <w:szCs w:val="20"/>
          <w:color w:val="auto"/>
        </w:rPr>
      </w:pPr>
    </w:p>
    <w:p>
      <w:pPr>
        <w:ind w:right="360" w:firstLine="562"/>
        <w:spacing w:after="0" w:line="251"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96"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80"/>
        <w:spacing w:after="0" w:line="238" w:lineRule="auto"/>
        <w:rPr>
          <w:sz w:val="20"/>
          <w:szCs w:val="20"/>
          <w:color w:val="auto"/>
        </w:rPr>
      </w:pPr>
      <w:r>
        <w:rPr>
          <w:rFonts w:ascii="Arial" w:cs="Arial" w:eastAsia="Arial" w:hAnsi="Arial"/>
          <w:sz w:val="14"/>
          <w:szCs w:val="14"/>
          <w:color w:val="auto"/>
        </w:rPr>
        <w:t>total assets constitute repurchase agreements from a single counterparty, we would not meet the Diversification Tests, as defined below under “Regulation—Election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9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Introduction</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66" w:lineRule="exact"/>
        <w:rPr>
          <w:sz w:val="20"/>
          <w:szCs w:val="20"/>
          <w:color w:val="auto"/>
        </w:rPr>
      </w:pPr>
    </w:p>
    <w:p>
      <w:pPr>
        <w:ind w:left="340" w:right="720" w:firstLine="225"/>
        <w:spacing w:after="0" w:line="382" w:lineRule="auto"/>
        <w:rPr>
          <w:sz w:val="20"/>
          <w:szCs w:val="20"/>
          <w:color w:val="auto"/>
        </w:rPr>
      </w:pPr>
      <w:r>
        <w:rPr>
          <w:rFonts w:ascii="Arial" w:cs="Arial" w:eastAsia="Arial" w:hAnsi="Arial"/>
          <w:sz w:val="14"/>
          <w:szCs w:val="14"/>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4"/>
          <w:szCs w:val="14"/>
          <w:b w:val="1"/>
          <w:bCs w:val="1"/>
          <w:i w:val="1"/>
          <w:iCs w:val="1"/>
          <w:color w:val="auto"/>
        </w:rPr>
        <w:t>Proxy Policies</w:t>
      </w:r>
    </w:p>
    <w:p>
      <w:pPr>
        <w:spacing w:after="0" w:line="1"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Proxy Voting Records</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96"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6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75" w:lineRule="exact"/>
        <w:rPr>
          <w:sz w:val="20"/>
          <w:szCs w:val="20"/>
          <w:color w:val="auto"/>
        </w:rPr>
      </w:pPr>
    </w:p>
    <w:p>
      <w:pPr>
        <w:ind w:right="680" w:firstLine="562"/>
        <w:spacing w:after="0" w:line="25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Our privacy protection policies are available, free of charge, on our website at www.pennantpark.com. In addition, the privacy policy is available on the EDGAR Database on the SEC’s Internet site at www.sec.gov, filed as an exhibit to our annual report on Form 10-K (File No. 814-00891 filed on November 17, 2011). You may also obtain copies of our privacy policy, after paying a duplicating fee, by electronic request at the following email address: publicinfo@sec.gov, or by writing the SEC’s Public Reference Section, 100 F Street, N.E., Washington, D.C. 20549.</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5" w:lineRule="exact"/>
        <w:rPr>
          <w:sz w:val="20"/>
          <w:szCs w:val="20"/>
          <w:color w:val="auto"/>
        </w:rPr>
      </w:pPr>
    </w:p>
    <w:p>
      <w:pPr>
        <w:ind w:right="200" w:firstLine="562"/>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Sarbanes-Oxley Act of 2002, or the Sarbanes-Oxley Act, imposes several regulatory requirements on publicly held companies and their insiders. Many of these requirements affect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example:</w:t>
      </w:r>
    </w:p>
    <w:p>
      <w:pPr>
        <w:spacing w:after="0" w:line="109" w:lineRule="exact"/>
        <w:rPr>
          <w:sz w:val="20"/>
          <w:szCs w:val="20"/>
          <w:color w:val="auto"/>
        </w:rPr>
      </w:pPr>
    </w:p>
    <w:p>
      <w:pPr>
        <w:ind w:left="1120" w:right="200" w:hanging="329"/>
        <w:spacing w:after="0" w:line="253"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20" w:lineRule="exact"/>
        <w:rPr>
          <w:rFonts w:ascii="Arial" w:cs="Arial" w:eastAsia="Arial" w:hAnsi="Arial"/>
          <w:sz w:val="13"/>
          <w:szCs w:val="13"/>
          <w:color w:val="auto"/>
        </w:rPr>
      </w:pPr>
    </w:p>
    <w:p>
      <w:pPr>
        <w:ind w:left="1120" w:right="40" w:hanging="329"/>
        <w:spacing w:after="0" w:line="238"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Taxed as a RIC</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dividends to our stockholders of an amount at least equal to 90% of the sum of our ordinary income and realized net short-term capital gains in excess of realized net long-term capital losses, or investment company taxable income, out of the assets legally available for distribution, or the Annual Distribution Requirement. 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subject to tax as a RIC, in order to provide us with additional liquidity.</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09" w:lineRule="exact"/>
        <w:rPr>
          <w:sz w:val="20"/>
          <w:szCs w:val="20"/>
          <w:color w:val="auto"/>
        </w:rPr>
      </w:pPr>
    </w:p>
    <w:p>
      <w:pPr>
        <w:ind w:left="1120" w:hanging="329"/>
        <w:spacing w:after="0"/>
        <w:tabs>
          <w:tab w:leader="none" w:pos="1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09" w:lineRule="exact"/>
        <w:rPr>
          <w:rFonts w:ascii="Arial" w:cs="Arial" w:eastAsia="Arial" w:hAnsi="Arial"/>
          <w:sz w:val="14"/>
          <w:szCs w:val="14"/>
          <w:color w:val="auto"/>
        </w:rPr>
      </w:pPr>
    </w:p>
    <w:p>
      <w:pPr>
        <w:jc w:val="both"/>
        <w:ind w:left="1120" w:right="240" w:hanging="329"/>
        <w:spacing w:after="0" w:line="238" w:lineRule="auto"/>
        <w:tabs>
          <w:tab w:leader="none" w:pos="1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8" w:lineRule="exact"/>
        <w:rPr>
          <w:rFonts w:ascii="Arial" w:cs="Arial" w:eastAsia="Arial" w:hAnsi="Arial"/>
          <w:sz w:val="14"/>
          <w:szCs w:val="14"/>
          <w:color w:val="auto"/>
        </w:rPr>
      </w:pPr>
    </w:p>
    <w:p>
      <w:pPr>
        <w:ind w:left="1120" w:hanging="329"/>
        <w:spacing w:after="0"/>
        <w:tabs>
          <w:tab w:leader="none" w:pos="1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09" w:lineRule="exact"/>
        <w:rPr>
          <w:rFonts w:ascii="Arial" w:cs="Arial" w:eastAsia="Arial" w:hAnsi="Arial"/>
          <w:sz w:val="14"/>
          <w:szCs w:val="14"/>
          <w:color w:val="auto"/>
        </w:rPr>
      </w:pPr>
    </w:p>
    <w:p>
      <w:pPr>
        <w:jc w:val="both"/>
        <w:ind w:left="1580" w:right="500" w:hanging="452"/>
        <w:spacing w:after="0" w:line="335" w:lineRule="auto"/>
        <w:tabs>
          <w:tab w:leader="none" w:pos="1580" w:val="left"/>
        </w:tabs>
        <w:numPr>
          <w:ilvl w:val="1"/>
          <w:numId w:val="16"/>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33" w:lineRule="exact"/>
        <w:rPr>
          <w:rFonts w:ascii="Arial" w:cs="Arial" w:eastAsia="Arial" w:hAnsi="Arial"/>
          <w:sz w:val="12"/>
          <w:szCs w:val="12"/>
          <w:color w:val="auto"/>
        </w:rPr>
      </w:pPr>
    </w:p>
    <w:p>
      <w:pPr>
        <w:ind w:left="1580" w:right="100" w:hanging="452"/>
        <w:spacing w:after="0" w:line="238" w:lineRule="auto"/>
        <w:tabs>
          <w:tab w:leader="none" w:pos="15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we distribute as distributions to stockholders. In addition, upon satisfying these requirements, we will be subject to U.S. federal income tax at the regular corporate rates on any income or capital gain not distributed (or deemed distributed) to our stockholders.</w:t>
      </w:r>
    </w:p>
    <w:p>
      <w:pPr>
        <w:spacing w:after="0" w:line="75"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7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qualify as a RIC.</w:t>
      </w:r>
    </w:p>
    <w:p>
      <w:pPr>
        <w:spacing w:after="0" w:line="77"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66"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distribution requirements.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7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77"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subject to tax as a RIC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taxable years.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44" w:lineRule="exact"/>
        <w:rPr>
          <w:sz w:val="20"/>
          <w:szCs w:val="20"/>
          <w:color w:val="auto"/>
        </w:rPr>
      </w:pPr>
    </w:p>
    <w:p>
      <w:pPr>
        <w:ind w:right="60" w:firstLine="562"/>
        <w:spacing w:after="0" w:line="227" w:lineRule="auto"/>
        <w:rPr>
          <w:sz w:val="20"/>
          <w:szCs w:val="20"/>
          <w:color w:val="auto"/>
        </w:rPr>
      </w:pPr>
      <w:r>
        <w:rPr>
          <w:rFonts w:ascii="Arial" w:cs="Arial" w:eastAsia="Arial" w:hAnsi="Arial"/>
          <w:sz w:val="14"/>
          <w:szCs w:val="14"/>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signs of deteriorating sovereign debt conditions in Europe and concerns of economic slowdown in China create uncertainty that could lead to further disruptions and instability. We may in the future have difficulty accessing debt and equity capital, and a severe disruption in the global financial markets, deterioration in credit and financing conditions or uncertainty regarding U.S. Government spending and deficit levels, European sovereign debt, Chinese economic slowdown or other global economic conditions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w:t>
      </w:r>
    </w:p>
    <w:p>
      <w:pPr>
        <w:spacing w:after="0" w:line="71" w:lineRule="exact"/>
        <w:rPr>
          <w:sz w:val="20"/>
          <w:szCs w:val="20"/>
          <w:color w:val="auto"/>
        </w:rPr>
      </w:pPr>
    </w:p>
    <w:p>
      <w:pPr>
        <w:ind w:right="100" w:firstLine="562"/>
        <w:spacing w:after="0" w:line="228" w:lineRule="auto"/>
        <w:rPr>
          <w:sz w:val="20"/>
          <w:szCs w:val="20"/>
          <w:color w:val="auto"/>
        </w:rPr>
      </w:pPr>
      <w:r>
        <w:rPr>
          <w:rFonts w:ascii="Arial" w:cs="Arial" w:eastAsia="Arial" w:hAnsi="Arial"/>
          <w:sz w:val="14"/>
          <w:szCs w:val="14"/>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Funding I’s Credit Facility.</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In addition to the applicable asset coverage ratio, which restricts our ability to borrow funds under any credit facility, the Credit Facility contains various covenants applicable to Funding I.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which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91" w:lineRule="exact"/>
        <w:rPr>
          <w:sz w:val="20"/>
          <w:szCs w:val="20"/>
          <w:color w:val="auto"/>
        </w:rPr>
      </w:pPr>
    </w:p>
    <w:p>
      <w:pPr>
        <w:ind w:left="1120" w:hanging="329"/>
        <w:spacing w:after="0"/>
        <w:tabs>
          <w:tab w:leader="none" w:pos="1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96"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66" w:lineRule="exact"/>
        <w:rPr>
          <w:sz w:val="20"/>
          <w:szCs w:val="20"/>
          <w:color w:val="auto"/>
        </w:rPr>
      </w:pPr>
    </w:p>
    <w:p>
      <w:pPr>
        <w:ind w:right="220" w:firstLine="562"/>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60"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could represent a higher credit risk than investments that mush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0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77"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If the fair value of our portfolio companies reflects future realized losses, this could ultimately result in reductions of our income available for distribution in future periods and could materially harm our results of operations and cause a material decline in the value of our publicly traded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securities litigation.</w:t>
      </w:r>
    </w:p>
    <w:p>
      <w:pPr>
        <w:spacing w:after="0" w:line="9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If the trading price of our stock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66"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Although the parties involved with certain litigation related to the MCG merger in the Delaware Court of Chancery have reached an agreement in principle to settle such litigation, we cannot assure you that the settlement will be approved by the court on the agreed terms, or at all.</w:t>
      </w:r>
    </w:p>
    <w:p>
      <w:pPr>
        <w:spacing w:after="0" w:line="66"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66"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7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75" w:lineRule="exact"/>
        <w:rPr>
          <w:sz w:val="20"/>
          <w:szCs w:val="20"/>
          <w:color w:val="auto"/>
        </w:rPr>
      </w:pPr>
    </w:p>
    <w:p>
      <w:pPr>
        <w:ind w:right="220" w:firstLine="562"/>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07"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and funds with which our investment professionals have been affiliated.</w:t>
      </w:r>
    </w:p>
    <w:p>
      <w:pPr>
        <w:spacing w:after="0" w:line="96" w:lineRule="exact"/>
        <w:rPr>
          <w:sz w:val="20"/>
          <w:szCs w:val="20"/>
          <w:color w:val="auto"/>
        </w:rPr>
      </w:pPr>
    </w:p>
    <w:p>
      <w:pPr>
        <w:ind w:right="60" w:firstLine="562"/>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distributions.</w:t>
      </w:r>
    </w:p>
    <w:p>
      <w:pPr>
        <w:spacing w:after="0" w:line="96" w:lineRule="exact"/>
        <w:rPr>
          <w:sz w:val="20"/>
          <w:szCs w:val="20"/>
          <w:color w:val="auto"/>
        </w:rPr>
      </w:pPr>
    </w:p>
    <w:p>
      <w:pPr>
        <w:ind w:right="40" w:firstLine="562"/>
        <w:spacing w:after="0" w:line="241" w:lineRule="auto"/>
        <w:rPr>
          <w:sz w:val="20"/>
          <w:szCs w:val="20"/>
          <w:color w:val="auto"/>
        </w:rPr>
      </w:pPr>
      <w:r>
        <w:rPr>
          <w:rFonts w:ascii="Arial" w:cs="Arial" w:eastAsia="Arial" w:hAnsi="Arial"/>
          <w:sz w:val="13"/>
          <w:szCs w:val="13"/>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as distributions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to our stockholders in respect of each calendar year of an amount at least equal to the sum of (1) 98% of our net ordinary income (subject to certain deferrals and elections) for the calendar year,</w:t>
      </w:r>
    </w:p>
    <w:p>
      <w:pPr>
        <w:spacing w:after="0" w:line="1" w:lineRule="exact"/>
        <w:rPr>
          <w:sz w:val="20"/>
          <w:szCs w:val="20"/>
          <w:color w:val="auto"/>
        </w:rPr>
      </w:pPr>
    </w:p>
    <w:p>
      <w:pPr>
        <w:ind w:right="300" w:firstLine="8"/>
        <w:spacing w:after="0" w:line="237"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98.2% of our capital gain net income (adjusted for certain ordinary losses) generally for the one-year period ending on October 31 of the calendar year plus (3) any net ordinary income or capital gain net income for preceding years that was not distributed during such years.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Annual Distribution Requirement.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6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In order to satisfy the requirements to be subject to tax as a RIC,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As a BDC, we generally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77"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RIC distribution requirements. Funding I may be limited by its covenants from making certain distributions to us that may be necessary to be subject to tax as a RIC.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permits us to issue senior securities or incur indebtedness subject to certain limits. Our ability to pay dividends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4" w:lineRule="exact"/>
        <w:rPr>
          <w:sz w:val="20"/>
          <w:szCs w:val="20"/>
          <w:color w:val="auto"/>
        </w:rPr>
      </w:pPr>
    </w:p>
    <w:p>
      <w:pPr>
        <w:ind w:left="1120" w:right="140" w:hanging="329"/>
        <w:spacing w:after="0" w:line="251" w:lineRule="auto"/>
        <w:tabs>
          <w:tab w:leader="none" w:pos="112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2" w:lineRule="exact"/>
        <w:rPr>
          <w:rFonts w:ascii="Arial" w:cs="Arial" w:eastAsia="Arial" w:hAnsi="Arial"/>
          <w:sz w:val="13"/>
          <w:szCs w:val="13"/>
          <w:color w:val="auto"/>
        </w:rPr>
      </w:pPr>
    </w:p>
    <w:p>
      <w:pPr>
        <w:ind w:left="1120" w:right="40" w:hanging="329"/>
        <w:spacing w:after="0" w:line="242" w:lineRule="auto"/>
        <w:tabs>
          <w:tab w:leader="none" w:pos="112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7" w:lineRule="exact"/>
        <w:rPr>
          <w:rFonts w:ascii="Arial" w:cs="Arial" w:eastAsia="Arial" w:hAnsi="Arial"/>
          <w:sz w:val="13"/>
          <w:szCs w:val="13"/>
          <w:color w:val="auto"/>
        </w:rPr>
      </w:pPr>
    </w:p>
    <w:p>
      <w:pPr>
        <w:ind w:left="1120" w:hanging="329"/>
        <w:spacing w:after="0" w:line="242" w:lineRule="auto"/>
        <w:tabs>
          <w:tab w:leader="none" w:pos="112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20" w:firstLine="562"/>
        <w:spacing w:after="0" w:line="238"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and any cash that we use to service our indebtedness is not available for distribution to our common stockholders.</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96" w:lineRule="exact"/>
        <w:rPr>
          <w:sz w:val="20"/>
          <w:szCs w:val="20"/>
          <w:color w:val="auto"/>
        </w:rPr>
      </w:pPr>
    </w:p>
    <w:p>
      <w:pPr>
        <w:ind w:right="100" w:firstLine="562"/>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77"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As of September 30, 2015, we had outstanding borrowings of $29.6 million under our Credit Facility with a current interest rate of 2.20% exclusive of the fees on the undrawn commitment. To cover the annual interest on our borrowings of $29.6 million outstanding at September 30, 2015, at the weighted average annual rate of 2.20%, we would have to receive an annual yield of at least 0.16%.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67"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The following table is designed to illustrate the effect on return to a holder of our common stock of the leverage created by our use of borrowing at September 30, 2015 of 7% of total assets (including such borrowed funds), at a current interest rate at the time of 2.20%,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3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(11.3)%</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760" w:type="dxa"/>
            <w:vAlign w:val="bottom"/>
          </w:tcPr>
          <w:p>
            <w:pPr>
              <w:ind w:left="180"/>
              <w:spacing w:after="0"/>
              <w:rPr>
                <w:sz w:val="20"/>
                <w:szCs w:val="20"/>
                <w:color w:val="auto"/>
              </w:rPr>
            </w:pPr>
            <w:r>
              <w:rPr>
                <w:rFonts w:ascii="Arial" w:cs="Arial" w:eastAsia="Arial" w:hAnsi="Arial"/>
                <w:sz w:val="14"/>
                <w:szCs w:val="14"/>
                <w:color w:val="auto"/>
              </w:rPr>
              <w:t>(0.2)%</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600" w:type="dxa"/>
            <w:vAlign w:val="bottom"/>
          </w:tcPr>
          <w:p>
            <w:pPr>
              <w:jc w:val="right"/>
              <w:spacing w:after="0"/>
              <w:rPr>
                <w:sz w:val="20"/>
                <w:szCs w:val="20"/>
                <w:color w:val="auto"/>
              </w:rPr>
            </w:pPr>
            <w:r>
              <w:rPr>
                <w:rFonts w:ascii="Arial" w:cs="Arial" w:eastAsia="Arial" w:hAnsi="Arial"/>
                <w:sz w:val="14"/>
                <w:szCs w:val="14"/>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40" w:right="260" w:hanging="332"/>
        <w:spacing w:after="0" w:line="255" w:lineRule="auto"/>
        <w:tabs>
          <w:tab w:leader="none" w:pos="340" w:val="left"/>
        </w:tabs>
        <w:numPr>
          <w:ilvl w:val="0"/>
          <w:numId w:val="20"/>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96"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9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119"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Our Credit Facility expires in August 2020. We utilize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w:t>
      </w:r>
    </w:p>
    <w:p>
      <w:pPr>
        <w:spacing w:after="0" w:line="2" w:lineRule="exact"/>
        <w:rPr>
          <w:sz w:val="20"/>
          <w:szCs w:val="20"/>
          <w:color w:val="auto"/>
        </w:rPr>
      </w:pPr>
    </w:p>
    <w:p>
      <w:pPr>
        <w:ind w:right="220" w:firstLine="8"/>
        <w:spacing w:after="0" w:line="237" w:lineRule="auto"/>
        <w:tabs>
          <w:tab w:leader="none" w:pos="2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75" w:lineRule="exact"/>
        <w:rPr>
          <w:sz w:val="20"/>
          <w:szCs w:val="20"/>
          <w:color w:val="auto"/>
        </w:rPr>
      </w:pPr>
    </w:p>
    <w:p>
      <w:pPr>
        <w:ind w:right="80" w:firstLine="562"/>
        <w:spacing w:after="0" w:line="264"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9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96" w:lineRule="exact"/>
        <w:rPr>
          <w:sz w:val="20"/>
          <w:szCs w:val="20"/>
          <w:color w:val="auto"/>
        </w:rPr>
      </w:pPr>
    </w:p>
    <w:p>
      <w:pPr>
        <w:ind w:right="60" w:firstLine="562"/>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77"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76"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96"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NAV. Similarly, future increases in the fair value of our debt may have a corresponding decrease to our NAV. Any future indebtedness that we elect the fair value option for may have similar effects on our NAV as our Credit Facility. This will tend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71"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affairs.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9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These factors include the following:</w:t>
      </w:r>
    </w:p>
    <w:p>
      <w:pPr>
        <w:spacing w:after="0" w:line="109" w:lineRule="exact"/>
        <w:rPr>
          <w:sz w:val="20"/>
          <w:szCs w:val="20"/>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96"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7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96" w:lineRule="exact"/>
        <w:rPr>
          <w:sz w:val="20"/>
          <w:szCs w:val="20"/>
          <w:color w:val="auto"/>
        </w:rPr>
      </w:pPr>
    </w:p>
    <w:p>
      <w:pPr>
        <w:ind w:right="180" w:firstLine="562"/>
        <w:spacing w:after="0" w:line="251"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96"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“Business—Regulation” for more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realize the benefits anticipated by our acquisition of MCG, including estimated cost savings, or it may take longer than anticipated to achieve such benefits.</w:t>
      </w:r>
    </w:p>
    <w:p>
      <w:pPr>
        <w:spacing w:after="0" w:line="107"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realization of certain benefits anticipated as a result of our acquisition of MCG will depend in part on the integration of MCG’s assets with our business. There can be no assurance that MCG’s assets can be profitable or integrated successfully into our operations in a timely fashion or at all or that we will deploy the cash received in the MCG transaction with yields consistent with those investments in our portfolio at the time of closing of the transactions. The dedication of management resources to such integration may detract attention from our day-to-day business and there can be no assurance that there will not be substantial costs associated with the transition process or there will not be other material adverse effects as a result of these integration efforts. Such effects could have a material adverse effect on our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company litigation could result in additional costs and the diversion of management time and resources.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To the extent that litigation continues to arise on our investments or MCG’s former investments, we may be named as a defendant, which could result in additional costs and the diversion of management time and resources. It may also be necessary for us to bring litigation against one of our portfolio companies or a former MCG portfolio company. Litigation involving a portfolio company may be costly and affect the operations of the business, which could in turn have an adverse impact on the fair value of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72"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At September 30, 2015, all of our investments were recorded at fair value as approved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9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77"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in part on our over-the-counter securities, which have and may continue to face liquidity constraints under recent market conditions, to provide us with adequate liquidity.</w:t>
      </w:r>
    </w:p>
    <w:p>
      <w:pPr>
        <w:spacing w:after="0" w:line="10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96"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We intend to invest primarily in Floating Rate Loans, which may consist of senior secured debt, mezzanine debt and selected equity investments issued by U.S. middle-market companies.</w:t>
      </w:r>
    </w:p>
    <w:p>
      <w:pPr>
        <w:spacing w:after="0" w:line="79" w:lineRule="exact"/>
        <w:rPr>
          <w:sz w:val="20"/>
          <w:szCs w:val="20"/>
          <w:color w:val="auto"/>
        </w:rPr>
      </w:pPr>
    </w:p>
    <w:p>
      <w:pPr>
        <w:ind w:left="1120" w:right="60" w:hanging="329"/>
        <w:spacing w:after="0" w:line="228" w:lineRule="auto"/>
        <w:tabs>
          <w:tab w:leader="none" w:pos="1120" w:val="left"/>
        </w:tabs>
        <w:numPr>
          <w:ilvl w:val="0"/>
          <w:numId w:val="2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Floating Rate Loans: </w:t>
      </w:r>
      <w:r>
        <w:rPr>
          <w:rFonts w:ascii="Arial" w:cs="Arial" w:eastAsia="Arial" w:hAnsi="Arial"/>
          <w:sz w:val="14"/>
          <w:szCs w:val="14"/>
          <w:color w:val="auto"/>
        </w:rPr>
        <w:t>The Floating Rate Loans we invest in are usually rated below investment grade or may also be unrated. Investments in Floating Rate Loans rated below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90" w:lineRule="exact"/>
        <w:rPr>
          <w:rFonts w:ascii="Arial" w:cs="Arial" w:eastAsia="Arial" w:hAnsi="Arial"/>
          <w:sz w:val="14"/>
          <w:szCs w:val="14"/>
          <w:color w:val="auto"/>
        </w:rPr>
      </w:pPr>
    </w:p>
    <w:p>
      <w:pPr>
        <w:ind w:left="1120" w:right="80"/>
        <w:spacing w:after="0" w:line="245" w:lineRule="auto"/>
        <w:rPr>
          <w:rFonts w:ascii="Arial" w:cs="Arial" w:eastAsia="Arial" w:hAnsi="Arial"/>
          <w:sz w:val="14"/>
          <w:szCs w:val="14"/>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20" w:right="20"/>
        <w:spacing w:after="0" w:line="244" w:lineRule="auto"/>
        <w:rPr>
          <w:sz w:val="20"/>
          <w:szCs w:val="20"/>
          <w:color w:val="auto"/>
        </w:rPr>
      </w:pPr>
      <w:r>
        <w:rPr>
          <w:rFonts w:ascii="Arial" w:cs="Arial" w:eastAsia="Arial" w:hAnsi="Arial"/>
          <w:sz w:val="13"/>
          <w:szCs w:val="13"/>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87" w:lineRule="exact"/>
        <w:rPr>
          <w:sz w:val="20"/>
          <w:szCs w:val="20"/>
          <w:color w:val="auto"/>
        </w:rPr>
      </w:pPr>
    </w:p>
    <w:p>
      <w:pPr>
        <w:ind w:left="1120" w:right="40" w:hanging="329"/>
        <w:spacing w:after="0" w:line="245" w:lineRule="auto"/>
        <w:tabs>
          <w:tab w:leader="none" w:pos="112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Secured Debt: </w:t>
      </w:r>
      <w:r>
        <w:rPr>
          <w:rFonts w:ascii="Arial" w:cs="Arial" w:eastAsia="Arial" w:hAnsi="Arial"/>
          <w:sz w:val="13"/>
          <w:szCs w:val="13"/>
          <w:color w:val="auto"/>
        </w:rPr>
        <w:t>When we extend senior secured debt, which we define to include first lien debt, we will generally take a security interest in the available assets of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88" w:lineRule="exact"/>
        <w:rPr>
          <w:rFonts w:ascii="Arial" w:cs="Arial" w:eastAsia="Arial" w:hAnsi="Arial"/>
          <w:sz w:val="13"/>
          <w:szCs w:val="13"/>
          <w:color w:val="auto"/>
        </w:rPr>
      </w:pPr>
    </w:p>
    <w:p>
      <w:pPr>
        <w:ind w:left="1120" w:right="40" w:hanging="329"/>
        <w:spacing w:after="0" w:line="248" w:lineRule="auto"/>
        <w:tabs>
          <w:tab w:leader="none" w:pos="112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Mezzanine Debt: </w:t>
      </w:r>
      <w:r>
        <w:rPr>
          <w:rFonts w:ascii="Arial" w:cs="Arial" w:eastAsia="Arial" w:hAnsi="Arial"/>
          <w:sz w:val="13"/>
          <w:szCs w:val="13"/>
          <w:color w:val="auto"/>
        </w:rPr>
        <w:t>Our mezzanine debt investments, which we define to include second lien secured and subordinated debt, will generally be subordinated to senior secured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85" w:lineRule="exact"/>
        <w:rPr>
          <w:rFonts w:ascii="Arial" w:cs="Arial" w:eastAsia="Arial" w:hAnsi="Arial"/>
          <w:sz w:val="13"/>
          <w:szCs w:val="13"/>
          <w:color w:val="auto"/>
        </w:rPr>
      </w:pPr>
    </w:p>
    <w:p>
      <w:pPr>
        <w:ind w:left="1120" w:right="20" w:hanging="329"/>
        <w:spacing w:after="0" w:line="251" w:lineRule="auto"/>
        <w:tabs>
          <w:tab w:leader="none" w:pos="112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09" w:lineRule="exact"/>
        <w:rPr>
          <w:sz w:val="20"/>
          <w:szCs w:val="20"/>
          <w:color w:val="auto"/>
        </w:rPr>
      </w:pPr>
    </w:p>
    <w:p>
      <w:pPr>
        <w:ind w:left="1120" w:right="320" w:hanging="329"/>
        <w:spacing w:after="0" w:line="238" w:lineRule="auto"/>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8" w:lineRule="exact"/>
        <w:rPr>
          <w:rFonts w:ascii="Arial" w:cs="Arial" w:eastAsia="Arial" w:hAnsi="Arial"/>
          <w:sz w:val="14"/>
          <w:szCs w:val="14"/>
          <w:color w:val="auto"/>
        </w:rPr>
      </w:pPr>
    </w:p>
    <w:p>
      <w:pPr>
        <w:ind w:left="1120" w:right="280" w:hanging="329"/>
        <w:spacing w:after="0" w:line="253" w:lineRule="auto"/>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typically have shorter operating histories, more limited publicly available information, narrower product lines and smaller market shares than larger businesses, which tend to render them more vulnerable to competitors’ actions and changing market conditions, as well as general economic downturns;</w:t>
      </w:r>
    </w:p>
    <w:p>
      <w:pPr>
        <w:spacing w:after="0" w:line="79" w:lineRule="exact"/>
        <w:rPr>
          <w:rFonts w:ascii="Arial" w:cs="Arial" w:eastAsia="Arial" w:hAnsi="Arial"/>
          <w:sz w:val="14"/>
          <w:szCs w:val="14"/>
          <w:color w:val="auto"/>
        </w:rPr>
      </w:pPr>
    </w:p>
    <w:p>
      <w:pPr>
        <w:ind w:left="1120" w:right="140" w:hanging="329"/>
        <w:spacing w:after="0" w:line="253" w:lineRule="auto"/>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9" w:lineRule="exact"/>
        <w:rPr>
          <w:rFonts w:ascii="Arial" w:cs="Arial" w:eastAsia="Arial" w:hAnsi="Arial"/>
          <w:sz w:val="14"/>
          <w:szCs w:val="14"/>
          <w:color w:val="auto"/>
        </w:rPr>
      </w:pPr>
    </w:p>
    <w:p>
      <w:pPr>
        <w:ind w:left="1120" w:hanging="329"/>
        <w:spacing w:after="0" w:line="233" w:lineRule="auto"/>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0" w:lineRule="exact"/>
        <w:rPr>
          <w:rFonts w:ascii="Arial" w:cs="Arial" w:eastAsia="Arial" w:hAnsi="Arial"/>
          <w:sz w:val="14"/>
          <w:szCs w:val="14"/>
          <w:color w:val="auto"/>
        </w:rPr>
      </w:pPr>
    </w:p>
    <w:p>
      <w:pPr>
        <w:ind w:left="1120" w:right="200" w:hanging="329"/>
        <w:spacing w:after="0" w:line="253" w:lineRule="auto"/>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66"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6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76"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09" w:lineRule="exact"/>
        <w:rPr>
          <w:sz w:val="20"/>
          <w:szCs w:val="20"/>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7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6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77" w:lineRule="exact"/>
        <w:rPr>
          <w:sz w:val="20"/>
          <w:szCs w:val="20"/>
          <w:color w:val="auto"/>
        </w:rPr>
      </w:pPr>
    </w:p>
    <w:p>
      <w:pPr>
        <w:ind w:right="40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20"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96"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9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71" w:lineRule="exact"/>
        <w:rPr>
          <w:sz w:val="20"/>
          <w:szCs w:val="20"/>
          <w:color w:val="auto"/>
        </w:rPr>
      </w:pPr>
    </w:p>
    <w:p>
      <w:pPr>
        <w:jc w:val="both"/>
        <w:ind w:right="40" w:firstLine="562"/>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right="200" w:firstLine="562"/>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69"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07"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or we incur a net loss for that quarter.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96" w:lineRule="exact"/>
        <w:rPr>
          <w:sz w:val="20"/>
          <w:szCs w:val="20"/>
          <w:color w:val="auto"/>
        </w:rPr>
      </w:pPr>
    </w:p>
    <w:p>
      <w:pPr>
        <w:ind w:right="20" w:firstLine="562"/>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5"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75"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77" w:lineRule="exact"/>
        <w:rPr>
          <w:sz w:val="20"/>
          <w:szCs w:val="20"/>
          <w:color w:val="auto"/>
        </w:rPr>
      </w:pPr>
    </w:p>
    <w:p>
      <w:pPr>
        <w:jc w:val="both"/>
        <w:ind w:right="300" w:firstLine="562"/>
        <w:spacing w:after="0" w:line="244" w:lineRule="auto"/>
        <w:rPr>
          <w:sz w:val="20"/>
          <w:szCs w:val="20"/>
          <w:color w:val="auto"/>
        </w:rPr>
      </w:pPr>
      <w:r>
        <w:rPr>
          <w:rFonts w:ascii="Arial" w:cs="Arial" w:eastAsia="Arial" w:hAnsi="Arial"/>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w:t>
      </w:r>
    </w:p>
    <w:p>
      <w:pPr>
        <w:spacing w:after="0" w:line="2"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color w:val="auto"/>
        </w:rPr>
        <w:t>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96" w:lineRule="exact"/>
        <w:rPr>
          <w:sz w:val="20"/>
          <w:szCs w:val="20"/>
          <w:color w:val="auto"/>
        </w:rPr>
      </w:pPr>
    </w:p>
    <w:p>
      <w:pPr>
        <w:ind w:right="100" w:firstLine="562"/>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96"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$11.94 and $13.78 on September 30, 2015 and 2014, respectively. Our NAV per share was $13.95 and $14.40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96"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9" w:lineRule="exact"/>
        <w:rPr>
          <w:sz w:val="20"/>
          <w:szCs w:val="20"/>
          <w:color w:val="auto"/>
        </w:rPr>
      </w:pPr>
    </w:p>
    <w:p>
      <w:pPr>
        <w:ind w:left="1120" w:right="620" w:hanging="329"/>
        <w:spacing w:after="0" w:line="253" w:lineRule="auto"/>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96"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07"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As of September 30, 2015,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w:t>
      </w:r>
    </w:p>
    <w:p>
      <w:pPr>
        <w:spacing w:after="0" w:line="75"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Between May 6, 2015, and May 18, 2015, a number of putative class action lawsuits were filed by former stockholders of MCG challenging our acquisition of MCG in the Delaware Court of Chancery. The complaints were consolidated and on June 10, 2015, a consolidated class action complaint was filed. The consolidated complaint alleged that MCG’s directors violated their fiduciary duties by, among other things, not protecting against their supposed conflicts of interest and failing to take steps to maximize the consideration to be received by MCG’s former stockholders in our acquisition of MCG. The consolidated complaint also alleged that the Company, PFLT Panama, LLC, PFLT Funding II, LLC and the Investment Adviser aided and abetted the MCG directors’ purported breach of fiduciary duties. The complaint demanded, among other things, a preliminary and permanent injunction against our acquisition of MCG and rescission of the transaction to the extent that it has been implemented. We believe that the consolidated complaint is without merit.</w:t>
      </w:r>
    </w:p>
    <w:p>
      <w:pPr>
        <w:spacing w:after="0" w:line="72"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On July 30, 2015, the parties entered into a memorandum of understanding setting forth an agreement in principle to settle the class action complaint. The memorandum of understanding provides for, among other things, additional public disclosure with respect to the MCG merger, which disclosures were made by MCG on July 31, 2015. The parties plan to file a stipulation of settlement with the court, which provides for, among other things, settlement of the class action complaint. There can be no assurance that the settlement will be finalized or that the court will approve the settlement.</w:t>
      </w:r>
    </w:p>
    <w:p>
      <w:pPr>
        <w:spacing w:after="0" w:line="7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MCG was a party to certain legal proceedings incidental to the normal course of its business including the enforcement of its rights under contracts with its portfolio companies. We inherited this litigation upon the closing of our acquisition of MCG.</w:t>
      </w:r>
    </w:p>
    <w:p>
      <w:pPr>
        <w:spacing w:after="0" w:line="6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While the outcome of these legal proceedings cannot be predicted with certainty, we do not expect that these proceedings will have a material effect upon our financial condition or results of operations.</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00"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declared per share since October 1, 2013.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9"/>
              </w:rPr>
              <w:t>Closing Sale Prices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Premium /</w:t>
            </w: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Premium /</w:t>
            </w: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58"/>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(Discount) of High</w:t>
            </w:r>
          </w:p>
        </w:tc>
        <w:tc>
          <w:tcPr>
            <w:tcW w:w="17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(Discount) of Low</w:t>
            </w: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420" w:type="dxa"/>
            <w:vAlign w:val="bottom"/>
          </w:tcPr>
          <w:p>
            <w:pPr>
              <w:spacing w:after="0"/>
              <w:rPr>
                <w:sz w:val="12"/>
                <w:szCs w:val="12"/>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2"/>
                <w:szCs w:val="12"/>
                <w:color w:val="auto"/>
              </w:rPr>
            </w:pPr>
          </w:p>
        </w:tc>
        <w:tc>
          <w:tcPr>
            <w:tcW w:w="4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17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Sale Price to NAV</w:t>
            </w:r>
            <w:r>
              <w:rPr>
                <w:rFonts w:ascii="Arial" w:cs="Arial" w:eastAsia="Arial" w:hAnsi="Arial"/>
                <w:sz w:val="12"/>
                <w:szCs w:val="12"/>
                <w:b w:val="1"/>
                <w:bCs w:val="1"/>
                <w:color w:val="auto"/>
                <w:w w:val="93"/>
              </w:rPr>
              <w:t>(2)</w:t>
            </w:r>
          </w:p>
        </w:tc>
        <w:tc>
          <w:tcPr>
            <w:tcW w:w="17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3"/>
              </w:rPr>
              <w:t>Sale Price to NAV</w:t>
            </w:r>
            <w:r>
              <w:rPr>
                <w:rFonts w:ascii="Arial" w:cs="Arial" w:eastAsia="Arial" w:hAnsi="Arial"/>
                <w:sz w:val="12"/>
                <w:szCs w:val="12"/>
                <w:b w:val="1"/>
                <w:bCs w:val="1"/>
                <w:color w:val="auto"/>
                <w:w w:val="93"/>
              </w:rPr>
              <w:t>(2)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2015</w:t>
            </w:r>
          </w:p>
        </w:tc>
        <w:tc>
          <w:tcPr>
            <w:tcW w:w="3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$ 13.95</w:t>
            </w:r>
          </w:p>
        </w:tc>
        <w:tc>
          <w:tcPr>
            <w:tcW w:w="12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$14.30</w:t>
            </w:r>
          </w:p>
        </w:tc>
        <w:tc>
          <w:tcPr>
            <w:tcW w:w="8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w w:val="97"/>
              </w:rPr>
              <w:t>$11.35</w:t>
            </w:r>
          </w:p>
        </w:tc>
        <w:tc>
          <w:tcPr>
            <w:tcW w:w="17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12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14.48</w:t>
            </w:r>
          </w:p>
        </w:tc>
        <w:tc>
          <w:tcPr>
            <w:tcW w:w="8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13.88</w:t>
            </w:r>
          </w:p>
        </w:tc>
        <w:tc>
          <w:tcPr>
            <w:tcW w:w="17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w:t>
            </w:r>
          </w:p>
        </w:tc>
        <w:tc>
          <w:tcPr>
            <w:tcW w:w="1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14.30</w:t>
            </w:r>
          </w:p>
        </w:tc>
        <w:tc>
          <w:tcPr>
            <w:tcW w:w="12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14.16</w:t>
            </w:r>
          </w:p>
        </w:tc>
        <w:tc>
          <w:tcPr>
            <w:tcW w:w="8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13.25</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17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0.2750</w:t>
            </w: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w:t>
            </w:r>
          </w:p>
        </w:tc>
        <w:tc>
          <w:tcPr>
            <w:tcW w:w="12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14.23</w:t>
            </w:r>
          </w:p>
        </w:tc>
        <w:tc>
          <w:tcPr>
            <w:tcW w:w="8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12.98</w:t>
            </w:r>
          </w:p>
        </w:tc>
        <w:tc>
          <w:tcPr>
            <w:tcW w:w="17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0.2700</w:t>
            </w: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2014</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12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14.39</w:t>
            </w:r>
          </w:p>
        </w:tc>
        <w:tc>
          <w:tcPr>
            <w:tcW w:w="8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13.75</w:t>
            </w:r>
          </w:p>
        </w:tc>
        <w:tc>
          <w:tcPr>
            <w:tcW w:w="17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0.2700</w:t>
            </w: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12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14.29</w:t>
            </w:r>
          </w:p>
        </w:tc>
        <w:tc>
          <w:tcPr>
            <w:tcW w:w="8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13.61</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17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0.2700</w:t>
            </w: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w:t>
            </w:r>
          </w:p>
        </w:tc>
        <w:tc>
          <w:tcPr>
            <w:tcW w:w="12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14.27</w:t>
            </w:r>
          </w:p>
        </w:tc>
        <w:tc>
          <w:tcPr>
            <w:tcW w:w="8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13.51</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17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0.2700</w:t>
            </w:r>
          </w:p>
        </w:tc>
        <w:tc>
          <w:tcPr>
            <w:tcW w:w="0" w:type="dxa"/>
            <w:vAlign w:val="bottom"/>
          </w:tcPr>
          <w:p>
            <w:pPr>
              <w:spacing w:after="0"/>
              <w:rPr>
                <w:sz w:val="1"/>
                <w:szCs w:val="1"/>
                <w:color w:val="auto"/>
              </w:rPr>
            </w:pPr>
          </w:p>
        </w:tc>
      </w:tr>
      <w:tr>
        <w:trPr>
          <w:trHeight w:val="182"/>
        </w:trPr>
        <w:tc>
          <w:tcPr>
            <w:tcW w:w="432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460" w:type="dxa"/>
            <w:vAlign w:val="bottom"/>
          </w:tcPr>
          <w:p>
            <w:pPr>
              <w:jc w:val="right"/>
              <w:spacing w:after="0"/>
              <w:rPr>
                <w:sz w:val="20"/>
                <w:szCs w:val="20"/>
                <w:color w:val="auto"/>
              </w:rPr>
            </w:pPr>
            <w:r>
              <w:rPr>
                <w:rFonts w:ascii="Arial" w:cs="Arial" w:eastAsia="Arial" w:hAnsi="Arial"/>
                <w:sz w:val="14"/>
                <w:szCs w:val="14"/>
                <w:color w:val="auto"/>
              </w:rPr>
              <w:t>14.24</w:t>
            </w:r>
          </w:p>
        </w:tc>
        <w:tc>
          <w:tcPr>
            <w:tcW w:w="1200" w:type="dxa"/>
            <w:vAlign w:val="bottom"/>
            <w:gridSpan w:val="3"/>
          </w:tcPr>
          <w:p>
            <w:pPr>
              <w:jc w:val="right"/>
              <w:ind w:right="380"/>
              <w:spacing w:after="0"/>
              <w:rPr>
                <w:sz w:val="20"/>
                <w:szCs w:val="20"/>
                <w:color w:val="auto"/>
              </w:rPr>
            </w:pPr>
            <w:r>
              <w:rPr>
                <w:rFonts w:ascii="Arial" w:cs="Arial" w:eastAsia="Arial" w:hAnsi="Arial"/>
                <w:sz w:val="14"/>
                <w:szCs w:val="14"/>
                <w:color w:val="auto"/>
              </w:rPr>
              <w:t>13.93</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color w:val="auto"/>
              </w:rPr>
              <w:t>13.14</w:t>
            </w:r>
          </w:p>
        </w:tc>
        <w:tc>
          <w:tcPr>
            <w:tcW w:w="1720" w:type="dxa"/>
            <w:vAlign w:val="bottom"/>
            <w:gridSpan w:val="2"/>
          </w:tcPr>
          <w:p>
            <w:pPr>
              <w:jc w:val="right"/>
              <w:ind w:right="440"/>
              <w:spacing w:after="0"/>
              <w:rPr>
                <w:sz w:val="20"/>
                <w:szCs w:val="20"/>
                <w:color w:val="auto"/>
              </w:rPr>
            </w:pPr>
            <w:r>
              <w:rPr>
                <w:rFonts w:ascii="Arial" w:cs="Arial" w:eastAsia="Arial" w:hAnsi="Arial"/>
                <w:sz w:val="14"/>
                <w:szCs w:val="14"/>
                <w:color w:val="auto"/>
              </w:rPr>
              <w:t>(2)</w:t>
            </w:r>
          </w:p>
        </w:tc>
        <w:tc>
          <w:tcPr>
            <w:tcW w:w="1780" w:type="dxa"/>
            <w:vAlign w:val="bottom"/>
            <w:gridSpan w:val="2"/>
          </w:tcPr>
          <w:p>
            <w:pPr>
              <w:jc w:val="right"/>
              <w:ind w:right="48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0.2675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7" w:lineRule="exact"/>
        <w:rPr>
          <w:sz w:val="20"/>
          <w:szCs w:val="20"/>
          <w:color w:val="auto"/>
        </w:rPr>
      </w:pPr>
    </w:p>
    <w:p>
      <w:pPr>
        <w:ind w:left="340" w:right="300" w:hanging="332"/>
        <w:spacing w:after="0" w:line="230"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40" w:hanging="332"/>
        <w:spacing w:after="0"/>
        <w:tabs>
          <w:tab w:leader="none" w:pos="340" w:val="left"/>
        </w:tabs>
        <w:numPr>
          <w:ilvl w:val="0"/>
          <w:numId w:val="28"/>
        </w:numPr>
        <w:rPr>
          <w:rFonts w:ascii="Arial" w:cs="Arial" w:eastAsia="Arial" w:hAnsi="Arial"/>
          <w:sz w:val="12"/>
          <w:szCs w:val="12"/>
          <w:color w:val="auto"/>
        </w:rPr>
      </w:pPr>
      <w:r>
        <w:rPr>
          <w:rFonts w:ascii="Arial" w:cs="Arial" w:eastAsia="Arial" w:hAnsi="Arial"/>
          <w:sz w:val="14"/>
          <w:szCs w:val="14"/>
          <w:color w:val="auto"/>
        </w:rPr>
        <w:t>Calculated as the respective high or low closing sale prices less NAV per share, divided by the quarter-end NAV per share.</w:t>
      </w:r>
    </w:p>
    <w:p>
      <w:pPr>
        <w:spacing w:after="0" w:line="84"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$11.94 and $13.78 on September 30, 2015 and 2014, respectively. Our NAV per share was $13.95 and $14.40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12, 2015, we had 30 stockholders of record.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DISTRIBUTIONS</w:t>
      </w:r>
    </w:p>
    <w:p>
      <w:pPr>
        <w:spacing w:after="0" w:line="10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in the last two fiscal years.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40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Payment Dates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71"/>
        </w:trPr>
        <w:tc>
          <w:tcPr>
            <w:tcW w:w="75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7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2015</w:t>
            </w:r>
          </w:p>
        </w:tc>
        <w:tc>
          <w:tcPr>
            <w:tcW w:w="4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September 21, 2015</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October 1, 2015</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August 24, 2015</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September 1,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July 22, 2015</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August 3,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June 15, 2015</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July 1,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May 20, 2015</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June 1,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April 20, 2015</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May 1,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March 20, 2015</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April 1,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February 18, 2015</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March 2,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January 21, 2015</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February 2,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19, 2014</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January 2,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November 19, 2014</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December 1,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October 22, 2014</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November 3, 2014</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60" w:type="dxa"/>
            <w:vAlign w:val="bottom"/>
          </w:tcPr>
          <w:p>
            <w:pPr>
              <w:ind w:left="280"/>
              <w:spacing w:after="0" w:line="155"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Fiscal Year Ended September 30, 2014</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September 26, 2014</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October 1, 2014</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August 20, 2014</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September 2, 2014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July 18, 2014</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August 1,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June 19, 2014</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July 1, 2014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May 19, 2014</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June 2,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April 21, 2014</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May 1, 2014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March 20, 2014</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April 1,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February 19, 2014</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March 3, 2014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January 22, 2014</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February 3,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20, 2013</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January 2, 2014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tcPr>
          <w:p>
            <w:pPr>
              <w:ind w:left="280"/>
              <w:spacing w:after="0" w:line="149" w:lineRule="exact"/>
              <w:rPr>
                <w:sz w:val="20"/>
                <w:szCs w:val="20"/>
                <w:color w:val="auto"/>
              </w:rPr>
            </w:pPr>
            <w:r>
              <w:rPr>
                <w:rFonts w:ascii="Arial" w:cs="Arial" w:eastAsia="Arial" w:hAnsi="Arial"/>
                <w:sz w:val="14"/>
                <w:szCs w:val="14"/>
                <w:color w:val="auto"/>
              </w:rPr>
              <w:t>November 20, 2013</w:t>
            </w:r>
          </w:p>
        </w:tc>
        <w:tc>
          <w:tcPr>
            <w:tcW w:w="18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December 2, 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October 21, 2013</w:t>
            </w:r>
          </w:p>
        </w:tc>
        <w:tc>
          <w:tcPr>
            <w:tcW w:w="18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November 1, 2013</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60" w:type="dxa"/>
            <w:vAlign w:val="bottom"/>
          </w:tcPr>
          <w:p>
            <w:pPr>
              <w:ind w:left="280"/>
              <w:spacing w:after="0" w:line="155"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In January 2016, a Form 1099-DIV will be sent to stockholders that will state the amount and composition of distributions and provide information with respect to appropriate tax treatment of our distributions.</w:t>
      </w:r>
    </w:p>
    <w:p>
      <w:pPr>
        <w:spacing w:after="0" w:line="66" w:lineRule="exact"/>
        <w:rPr>
          <w:sz w:val="20"/>
          <w:szCs w:val="20"/>
          <w:color w:val="auto"/>
        </w:rPr>
      </w:pPr>
    </w:p>
    <w:p>
      <w:pPr>
        <w:ind w:right="220" w:firstLine="562"/>
        <w:spacing w:after="0" w:line="238"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2015 and 2014 were from ordinary income and long-term capital gains, which totaled $17.2 million and $1.7 million, or $1.06 and $0.10 per share and $13.5 million and $2.6 million, or $0.91 and $0.17 per share, respectively, based on weighted average shares outstanding for the respective periods.</w:t>
      </w:r>
    </w:p>
    <w:p>
      <w:pPr>
        <w:spacing w:after="0" w:line="75"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44"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tax benefits. We cannot assure stockholders that they will receive any distributions or distributions at a particular level.</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160"/>
          </w:cols>
          <w:pgMar w:left="32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This graph compares the return on our common stock with that of the Standard &amp; Poor’s 500 Stock Index and the Russell 2000 Financial Services Index, for the period from April 8, 2011 (initial public offering) through September 30, 2015. The graph assumes that, on April 8, 2011,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69215</wp:posOffset>
            </wp:positionV>
            <wp:extent cx="5958205" cy="3642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5820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562"/>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160"/>
          </w:cols>
          <w:pgMar w:left="32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00"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4, 2011</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w w:val="91"/>
              </w:rPr>
              <w:t>For the years ended September 30,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6"/>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8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5"/>
              </w:rPr>
              <w:t>$ 30,355</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$ 30,357</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$ 18,867</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$ 12,099</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12,695</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13,721</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8,344</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5,789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2,626</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17,660</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16,636</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10,523</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6,310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(5,156)</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3,878</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1,461</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5,651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12,504</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20,514</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11,985</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11,961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13.95</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14.40</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14.10</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13.98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1.12</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0.92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(0.31)</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0.26</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0.15</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0.83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0.77</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1.38</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1.25</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Assets and Liabilities data:</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416,120</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372,874</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328,802</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178,367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121,075</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391,312</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348,428</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317,804</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171,834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Credit Facility payable </w:t>
            </w:r>
            <w:r>
              <w:rPr>
                <w:rFonts w:ascii="Arial" w:cs="Arial" w:eastAsia="Arial" w:hAnsi="Arial"/>
                <w:sz w:val="12"/>
                <w:szCs w:val="12"/>
                <w:color w:val="auto"/>
              </w:rPr>
              <w:t>(3)</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29,600</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146,949</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99,600</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75,123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24,650</w:t>
            </w:r>
          </w:p>
        </w:tc>
        <w:tc>
          <w:tcPr>
            <w:tcW w:w="0" w:type="dxa"/>
            <w:vAlign w:val="bottom"/>
          </w:tcPr>
          <w:p>
            <w:pPr>
              <w:spacing w:after="0"/>
              <w:rPr>
                <w:sz w:val="1"/>
                <w:szCs w:val="1"/>
                <w:color w:val="auto"/>
              </w:rPr>
            </w:pPr>
          </w:p>
        </w:tc>
      </w:tr>
      <w:tr>
        <w:trPr>
          <w:trHeight w:val="149"/>
        </w:trPr>
        <w:tc>
          <w:tcPr>
            <w:tcW w:w="582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372,890</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214,528</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210,066</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95,744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92,072</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(4)</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8.05%</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17.17%</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29.43%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12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w:t>
            </w:r>
          </w:p>
        </w:tc>
        <w:tc>
          <w:tcPr>
            <w:tcW w:w="9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2"/>
        </w:trPr>
        <w:tc>
          <w:tcPr>
            <w:tcW w:w="582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7.9%</w:t>
            </w: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rPr>
              <w:t>8.2%</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8.1%</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8.6%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hanging="332"/>
        <w:spacing w:after="0" w:line="221"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At fair value.</w:t>
      </w:r>
    </w:p>
    <w:p>
      <w:pPr>
        <w:ind w:left="340" w:right="200" w:hanging="332"/>
        <w:spacing w:after="0" w:line="221"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Not annualized for a period of less than a year. 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Unaudited, at year end.</w:t>
      </w: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4"/>
          <w:szCs w:val="14"/>
          <w:color w:val="auto"/>
        </w:rPr>
        <w:t>Included start-up and organizational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1"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$1 million and $15 million, on average, although we expect that this investment size will vary proportionately with the size of our capital base.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44"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On August 18,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As a result of the transactions contemplated by the Merger Agreement, we issued an aggregate of approximately 11.8 million shares of our common stock to former MCG stockholders, and our Investment Adviser made an aggregate cash payment of approximately $11.3 million to former MCG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0" w:lineRule="exact"/>
        <w:rPr>
          <w:sz w:val="20"/>
          <w:szCs w:val="20"/>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60"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69"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2014, our portfolio totaled $348.4 million and consisted of $302.5 million of senior secured debt, $36.5 million of second lien secured debt and $9.4 million of subordinated debt, preferred and common equity. Our debt portfolio consisted of 95% variable-rate investments (including 92% with a LIBOR or prime floor) and 5% fixed-rate investments. As of September 30, 2014, we had one company on non-accrual, representing 0.6% and 0.4% of our overall portfolio on a cost and fair value basis, respectively. Overall, the portfolio had net unrealized appreciation of $0.1 million. Our overall portfolio consisted of 72 companies with an average investment size of $4.8 million, had a weighted average yield on debt investments of 8.2%, and was invested 87% in senior secured debt, 10% in second lien secured debt and 3% in subordinated debt, preferred and common equity.</w:t>
      </w:r>
    </w:p>
    <w:p>
      <w:pPr>
        <w:spacing w:after="0" w:line="69"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2013, we invested $316.5 million of investments in 75 new and 19 existing portfolio companies with a weighted average yield on debt investments of 7.9%. Sales and repayments of investments for the year ended September 30, 2013 totaled $174.9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1120" w:right="20" w:hanging="329"/>
        <w:spacing w:after="0" w:line="253" w:lineRule="auto"/>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1120" w:right="80" w:hanging="329"/>
        <w:spacing w:after="0" w:line="264" w:lineRule="auto"/>
        <w:tabs>
          <w:tab w:leader="none" w:pos="11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1120" w:right="140" w:hanging="329"/>
        <w:spacing w:after="0" w:line="238" w:lineRule="auto"/>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1120" w:right="100" w:hanging="329"/>
        <w:spacing w:after="0" w:line="253" w:lineRule="auto"/>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6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280" w:right="780" w:hanging="593"/>
        <w:spacing w:after="0" w:line="238" w:lineRule="auto"/>
        <w:tabs>
          <w:tab w:leader="none" w:pos="1260" w:val="left"/>
        </w:tabs>
        <w:rPr>
          <w:sz w:val="20"/>
          <w:szCs w:val="20"/>
          <w:color w:val="auto"/>
        </w:rPr>
      </w:pPr>
      <w:r>
        <w:rPr>
          <w:rFonts w:ascii="Arial" w:cs="Arial" w:eastAsia="Arial" w:hAnsi="Arial"/>
          <w:sz w:val="14"/>
          <w:szCs w:val="14"/>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280" w:right="1020" w:hanging="593"/>
        <w:spacing w:after="0" w:line="253" w:lineRule="auto"/>
        <w:tabs>
          <w:tab w:leader="none" w:pos="1260" w:val="left"/>
        </w:tabs>
        <w:rPr>
          <w:sz w:val="20"/>
          <w:szCs w:val="20"/>
          <w:color w:val="auto"/>
        </w:rPr>
      </w:pPr>
      <w:r>
        <w:rPr>
          <w:rFonts w:ascii="Arial" w:cs="Arial" w:eastAsia="Arial" w:hAnsi="Arial"/>
          <w:sz w:val="14"/>
          <w:szCs w:val="14"/>
          <w:color w:val="auto"/>
        </w:rPr>
        <w:t>Level 3:</w:t>
        <w:tab/>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4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$2.3 million, $0.7 million and $0.4 million, relating to amendment fees on the Credit Facility during the years ended September 30, 2015, 2014 and 2013,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2015, 2014 and 2013, our Credit Facility had a net change in unrealized depreciation (appreciation) of $0.5 million, $(0.5) million and $(0.4) million, respectively. As of September 30, 2015 and 2014, the net unrealized appreciation on our Credit Facility totaled zero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at least equal to the sum of (1) 98% of our net ordinary income for the calendar year, (2) 98.2% of the sum of our net capital gain income (i.e., the excess, if any, of capital gains over capital losses) for the one-year period ending on October 31 of the calendar year plus (3) the sum of any net ordinary income plus net capital gain income for preceding years that was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years ended September 30, 2015, 2014 and 2013.</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 We expect investment income to grow as we deploy capital.</w:t>
      </w:r>
    </w:p>
    <w:p>
      <w:pPr>
        <w:spacing w:after="0" w:line="75"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Investment income for the fiscal year ended September 30, 2014 was $30.4 million and was attributable to $24.5 million from senior secured debt, $4.2 million from second lien secured debt and $1.7 million from subordinated debt. The increase in investment income over the prior year was primarily due to the growth of our portfolio.</w:t>
      </w:r>
    </w:p>
    <w:p>
      <w:pPr>
        <w:spacing w:after="0" w:line="6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2013 was $18.9 million and was attributable to $16.0 million from senior secured debt, $1.6 million from second lien secured debt and $1.3 million from subordinated debt. The increase in investment income over the prior year was primarily the result of deploying our proceeds from our equity offerings and increased borrowings under our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 The increase in base management fee, incentive fee and Credit Facility expenses over the prior year was due to the growth of our portfolio and expanding our borrowing capacity under our Credit Facility.</w:t>
      </w:r>
    </w:p>
    <w:p>
      <w:pPr>
        <w:spacing w:after="0" w:line="77" w:lineRule="exact"/>
        <w:rPr>
          <w:sz w:val="20"/>
          <w:szCs w:val="20"/>
          <w:color w:val="auto"/>
        </w:rPr>
      </w:pPr>
    </w:p>
    <w:p>
      <w:pPr>
        <w:ind w:right="260" w:firstLine="562"/>
        <w:spacing w:after="0" w:line="264" w:lineRule="auto"/>
        <w:rPr>
          <w:sz w:val="20"/>
          <w:szCs w:val="20"/>
          <w:color w:val="auto"/>
        </w:rPr>
      </w:pPr>
      <w:r>
        <w:rPr>
          <w:rFonts w:ascii="Arial" w:cs="Arial" w:eastAsia="Arial" w:hAnsi="Arial"/>
          <w:sz w:val="13"/>
          <w:szCs w:val="13"/>
          <w:color w:val="auto"/>
        </w:rPr>
        <w:t>Expenses for the fiscal year ended September 30, 2013 totaled $8.3 million. Base management fee for the same period totaled $2.2 million, incentive fee totaled $1.9 million, Credit Facility expenses totaled $2.3 million (including $0.4 million of Credit Facility amendment expenses), general and administrative expenses totaled $1.8 million and excise taxes were $0.1 million. The increase in expenses over the prior year was due to the growth of our portfolio and expanding our borrowing capacity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Net investment income totaled $17.7 million or $1.08 per share, $16.6 million or $1.12 per share and $10.5 million or $1.10 per share, for the fiscal years ended September 30, 2015, 2014 and 2013, respectively. The decrease in net investment income per share was due to issuance of new shares.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Sales and repayments of investments for the fiscal years ended September 30, 2015, 2014 and 2013 totaled $195.0 million, $225.6 million and $174.9 million, respectively. Net realized gains totaled $0.4 million, $2.9 million and $3.6 million for the same periods, respectively. The decrease in realized gains over the prior year was driven by changes in market conditions of our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For the fiscal years ended September 30, 2015, 2014 and 2013, we reported unrealized (depreciation) appreciation on investments of $(6.1) million, $1.6 million and $(1.7) million, respectively. As of September 30, 2015 and 2014, net unrealized (depreciation) appreciation on investments totaled $(6.0) million and $0.1 million, respectively. The net change in unrealized appreciation on our investments was driven primarily by changes in the capital market conditions, financial performance of certain portfolio companies, and the reversal of unrealized depreciation (appreciation) of investments liquidated.</w:t>
      </w:r>
    </w:p>
    <w:p>
      <w:pPr>
        <w:spacing w:after="0" w:line="7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For the fiscal years ended September 30, 2015, 2014 and 2013, our Credit Facility had a change in unrealized depreciation (appreciation) of $0.5 million, $(0.5) million and $(0.4) million, respectively. As of September 30, 2015 and 2014, net unrealized appreciation on our Credit Facility totaled zero and $0.5 million, respectively. The change compared to prior year was due to changes in the capital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4"/>
          <w:szCs w:val="14"/>
          <w:color w:val="auto"/>
        </w:rPr>
        <w:t>Net change in net assets resulting from operations totaled $12.5 million or $0.77 per share, $20.5 million or $1.38 per share and $12.0 million or $1.25 per share, for the fiscal years ended September 30, 2015, 2014 and 2013, respectively. The decrease in the net change in net assets from operations compared to the prior year reflects the change in portfolio investment valuation during the reporting period.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Funding I’s multi-currency Credit Facility with the Lenders was $290 million as of September 30, 2015, subject to satisfaction of certain conditions and the</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regulatory restrictions that the 1940 Act imposes on us as a BDC, has an interest rate spread above LIBOR of 200 basis points, a maturity date of August 2020 and a revolving period that ends in August 2018. As of September 30, 2015 and 2014, Funding I had $29.6 million and $146.4 million of outstanding borrowings under the Credit Facility, respectively. The Credit Facility has an interest rate of 2.20% and 2.16%, respectively, excluding the undrawn commitment fees as of September 30, 2015 and 2014. The annualized weighted average cost of debt for the fiscal years ended September 30, 2015, 2014 and 2013, inclusive of the fee on the undrawn commitment on the Credit Facility but excluding amendment costs, was 2.62%, 2.35% and 2.59%, respectively. As of September 30, 2015 and 2014, we had $260.4 million and $53.6 million of unused borrowing capacity under our Credit Facility, respectively, subject to the regulatory restrictions that the 1940 Act imposes on us as a BDC.</w:t>
      </w:r>
    </w:p>
    <w:p>
      <w:pPr>
        <w:spacing w:after="0" w:line="77"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2015, we were in compliance with the covenants relating to our Credit Facility.</w:t>
      </w:r>
    </w:p>
    <w:p>
      <w:pPr>
        <w:spacing w:after="0" w:line="7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7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We may raise equity or debt capital through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2015, 2014 and 2013, we issued 11.8 million, zero and 8.0 million shares, respectively. As a result, we raised approximately $166.0 million, zero and $113.4 million dollars in gross proceeds from our equity capital.</w:t>
      </w:r>
    </w:p>
    <w:p>
      <w:pPr>
        <w:spacing w:after="0" w:line="76"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On September 30, 2015 and 2014, we had cash equivalents of $21.4 million and $13.1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6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66"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Our operating activities used cash of $124.4 million for the year ended September 30, 2013, and our financing activities provided cash of $125.1 million for the same period. Our operating activities used cash primarily for net investing that was provided from public offerings and net draws under the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2015, including borrowings under our Credit Facility and other contractual obligations,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w w:val="92"/>
              </w:rPr>
              <w:t>Payments due by period (millions)</w:t>
            </w: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w w:val="95"/>
              </w:rPr>
              <w:t>Less than</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89"/>
              <w:spacing w:after="0" w:line="119" w:lineRule="exact"/>
              <w:rPr>
                <w:sz w:val="20"/>
                <w:szCs w:val="20"/>
                <w:color w:val="auto"/>
              </w:rPr>
            </w:pPr>
            <w:r>
              <w:rPr>
                <w:rFonts w:ascii="Arial" w:cs="Arial" w:eastAsia="Arial" w:hAnsi="Arial"/>
                <w:sz w:val="13"/>
                <w:szCs w:val="13"/>
                <w:b w:val="1"/>
                <w:bCs w:val="1"/>
                <w:color w:val="auto"/>
              </w:rPr>
              <w:t>1-3</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69"/>
              <w:spacing w:after="0" w:line="119" w:lineRule="exact"/>
              <w:rPr>
                <w:sz w:val="20"/>
                <w:szCs w:val="20"/>
                <w:color w:val="auto"/>
              </w:rPr>
            </w:pPr>
            <w:r>
              <w:rPr>
                <w:rFonts w:ascii="Arial" w:cs="Arial" w:eastAsia="Arial" w:hAnsi="Arial"/>
                <w:sz w:val="13"/>
                <w:szCs w:val="13"/>
                <w:b w:val="1"/>
                <w:bCs w:val="1"/>
                <w:color w:val="auto"/>
              </w:rPr>
              <w:t>3-5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1 year</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3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29.6</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29.6</w:t>
            </w: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34.4</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w:t>
            </w:r>
          </w:p>
        </w:tc>
        <w:tc>
          <w:tcPr>
            <w:tcW w:w="4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96" w:lineRule="exact"/>
        <w:rPr>
          <w:sz w:val="20"/>
          <w:szCs w:val="20"/>
          <w:color w:val="auto"/>
        </w:rPr>
      </w:pPr>
    </w:p>
    <w:p>
      <w:pPr>
        <w:jc w:val="both"/>
        <w:ind w:right="340" w:firstLine="562"/>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2015,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77"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2015,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In order to be subject to tax as a RIC and to not be subject to corporate-level tax on undistributed income or gains, we are required, under Subchapter M of the Code, to annually distribute dividends to stockholders of an amount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80"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During the years ended September 30, 2015, 2014 and 2013, we declared distributions of $1.12, $1.08 and $1.03 per share, respectively, for total distributions of $18.9 million, $16.1 million and $10.0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6" w:lineRule="exact"/>
        <w:rPr>
          <w:sz w:val="20"/>
          <w:szCs w:val="20"/>
          <w:color w:val="auto"/>
        </w:rPr>
      </w:pPr>
    </w:p>
    <w:p>
      <w:pPr>
        <w:ind w:right="260" w:firstLine="562"/>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Interest—Imputation of Interest (Subtopic 835-30)—Simplifying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We have evaluated ASU 2015-03 and anticipate no impact on our consolidated financial statements and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On October 15, 2015, the Company increased the size of its Credit Facility from $290 million to $350 million. All other terms remain unchanged.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2015, our debt portfolio consisted of 97% variable-rate investments (including 92% with a LIBOR or prime floor) and 3%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67"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Arial" w:cs="Arial" w:eastAsia="Arial" w:hAnsi="Arial"/>
                <w:sz w:val="14"/>
                <w:szCs w:val="14"/>
                <w:color w:val="auto"/>
              </w:rPr>
              <w:t>Change In Interest</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jc w:val="center"/>
              <w:ind w:right="2060"/>
              <w:spacing w:after="0"/>
              <w:rPr>
                <w:sz w:val="20"/>
                <w:szCs w:val="20"/>
                <w:color w:val="auto"/>
              </w:rPr>
            </w:pPr>
            <w:r>
              <w:rPr>
                <w:rFonts w:ascii="Arial" w:cs="Arial" w:eastAsia="Arial" w:hAnsi="Arial"/>
                <w:sz w:val="14"/>
                <w:szCs w:val="14"/>
                <w:color w:val="auto"/>
                <w:w w:val="91"/>
              </w:rPr>
              <w:t>Change In Interest Rates</w:t>
            </w:r>
          </w:p>
        </w:tc>
        <w:tc>
          <w:tcPr>
            <w:tcW w:w="3540" w:type="dxa"/>
            <w:vAlign w:val="bottom"/>
            <w:gridSpan w:val="3"/>
          </w:tcPr>
          <w:p>
            <w:pPr>
              <w:spacing w:after="0" w:line="149" w:lineRule="exact"/>
              <w:rPr>
                <w:sz w:val="20"/>
                <w:szCs w:val="20"/>
                <w:color w:val="auto"/>
              </w:rPr>
            </w:pPr>
            <w:r>
              <w:rPr>
                <w:rFonts w:ascii="Arial" w:cs="Arial" w:eastAsia="Arial" w:hAnsi="Arial"/>
                <w:sz w:val="14"/>
                <w:szCs w:val="14"/>
                <w:color w:val="auto"/>
              </w:rPr>
              <w:t>Income, Net Of Interest</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gridSpan w:val="2"/>
            <w:vMerge w:val="continue"/>
          </w:tcPr>
          <w:p>
            <w:pPr>
              <w:spacing w:after="0"/>
              <w:rPr>
                <w:sz w:val="14"/>
                <w:szCs w:val="14"/>
                <w:color w:val="auto"/>
              </w:rPr>
            </w:pP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Expense (in thousands)</w:t>
            </w:r>
          </w:p>
        </w:tc>
        <w:tc>
          <w:tcPr>
            <w:tcW w:w="2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2"/>
        </w:trPr>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w:t>
            </w:r>
          </w:p>
        </w:tc>
        <w:tc>
          <w:tcPr>
            <w:tcW w:w="2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ind w:left="920"/>
              <w:spacing w:after="0" w:line="142" w:lineRule="exact"/>
              <w:rPr>
                <w:sz w:val="20"/>
                <w:szCs w:val="20"/>
                <w:color w:val="auto"/>
              </w:rPr>
            </w:pPr>
            <w:r>
              <w:rPr>
                <w:rFonts w:ascii="Arial" w:cs="Arial" w:eastAsia="Arial" w:hAnsi="Arial"/>
                <w:sz w:val="14"/>
                <w:szCs w:val="14"/>
                <w:color w:val="auto"/>
                <w:w w:val="80"/>
              </w:rPr>
              <w:t>0.02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jc w:val="center"/>
              <w:ind w:right="2080"/>
              <w:spacing w:after="0" w:line="149" w:lineRule="exact"/>
              <w:rPr>
                <w:sz w:val="20"/>
                <w:szCs w:val="20"/>
                <w:color w:val="auto"/>
              </w:rPr>
            </w:pPr>
            <w:r>
              <w:rPr>
                <w:rFonts w:ascii="Arial" w:cs="Arial" w:eastAsia="Arial" w:hAnsi="Arial"/>
                <w:sz w:val="14"/>
                <w:szCs w:val="14"/>
                <w:color w:val="auto"/>
                <w:w w:val="95"/>
              </w:rPr>
              <w:t>Up 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20" w:type="dxa"/>
            <w:vAlign w:val="bottom"/>
            <w:gridSpan w:val="2"/>
          </w:tcPr>
          <w:p>
            <w:pPr>
              <w:jc w:val="right"/>
              <w:ind w:right="2160"/>
              <w:spacing w:after="0" w:line="149" w:lineRule="exact"/>
              <w:rPr>
                <w:sz w:val="20"/>
                <w:szCs w:val="20"/>
                <w:color w:val="auto"/>
              </w:rPr>
            </w:pPr>
            <w:r>
              <w:rPr>
                <w:rFonts w:ascii="Arial" w:cs="Arial" w:eastAsia="Arial" w:hAnsi="Arial"/>
                <w:sz w:val="14"/>
                <w:szCs w:val="14"/>
                <w:color w:val="auto"/>
              </w:rPr>
              <w:t>4,024</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48"/>
        </w:trPr>
        <w:tc>
          <w:tcPr>
            <w:tcW w:w="3480" w:type="dxa"/>
            <w:vAlign w:val="bottom"/>
            <w:gridSpan w:val="2"/>
            <w:shd w:val="clear" w:color="auto" w:fill="CCEEFF"/>
          </w:tcPr>
          <w:p>
            <w:pPr>
              <w:jc w:val="center"/>
              <w:ind w:right="2080"/>
              <w:spacing w:after="0" w:line="149" w:lineRule="exact"/>
              <w:rPr>
                <w:sz w:val="20"/>
                <w:szCs w:val="20"/>
                <w:color w:val="auto"/>
              </w:rPr>
            </w:pPr>
            <w:r>
              <w:rPr>
                <w:rFonts w:ascii="Arial" w:cs="Arial" w:eastAsia="Arial" w:hAnsi="Arial"/>
                <w:sz w:val="14"/>
                <w:szCs w:val="14"/>
                <w:color w:val="auto"/>
                <w:w w:val="95"/>
              </w:rPr>
              <w:t>Up 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20" w:type="dxa"/>
            <w:vAlign w:val="bottom"/>
            <w:gridSpan w:val="2"/>
            <w:shd w:val="clear" w:color="auto" w:fill="CCEEFF"/>
          </w:tcPr>
          <w:p>
            <w:pPr>
              <w:jc w:val="right"/>
              <w:ind w:right="2160"/>
              <w:spacing w:after="0" w:line="149" w:lineRule="exact"/>
              <w:rPr>
                <w:sz w:val="20"/>
                <w:szCs w:val="20"/>
                <w:color w:val="auto"/>
              </w:rPr>
            </w:pPr>
            <w:r>
              <w:rPr>
                <w:rFonts w:ascii="Arial" w:cs="Arial" w:eastAsia="Arial" w:hAnsi="Arial"/>
                <w:sz w:val="14"/>
                <w:szCs w:val="14"/>
                <w:color w:val="auto"/>
              </w:rPr>
              <w:t>7,607</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82"/>
        </w:trPr>
        <w:tc>
          <w:tcPr>
            <w:tcW w:w="3480" w:type="dxa"/>
            <w:vAlign w:val="bottom"/>
            <w:gridSpan w:val="2"/>
          </w:tcPr>
          <w:p>
            <w:pPr>
              <w:jc w:val="center"/>
              <w:ind w:right="2080"/>
              <w:spacing w:after="0"/>
              <w:rPr>
                <w:sz w:val="20"/>
                <w:szCs w:val="20"/>
                <w:color w:val="auto"/>
              </w:rPr>
            </w:pPr>
            <w:r>
              <w:rPr>
                <w:rFonts w:ascii="Arial" w:cs="Arial" w:eastAsia="Arial" w:hAnsi="Arial"/>
                <w:sz w:val="14"/>
                <w:szCs w:val="14"/>
                <w:color w:val="auto"/>
                <w:w w:val="95"/>
              </w:rPr>
              <w:t>Up 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420" w:type="dxa"/>
            <w:vAlign w:val="bottom"/>
            <w:gridSpan w:val="2"/>
          </w:tcPr>
          <w:p>
            <w:pPr>
              <w:jc w:val="right"/>
              <w:ind w:right="2160"/>
              <w:spacing w:after="0"/>
              <w:rPr>
                <w:sz w:val="20"/>
                <w:szCs w:val="20"/>
                <w:color w:val="auto"/>
              </w:rPr>
            </w:pPr>
            <w:r>
              <w:rPr>
                <w:rFonts w:ascii="Arial" w:cs="Arial" w:eastAsia="Arial" w:hAnsi="Arial"/>
                <w:sz w:val="14"/>
                <w:szCs w:val="14"/>
                <w:color w:val="auto"/>
              </w:rPr>
              <w:t>11,191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920"/>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or foreign currency hedging activities.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10260" w:type="dxa"/>
            <w:vAlign w:val="bottom"/>
          </w:tcPr>
          <w:p>
            <w:pPr>
              <w:jc w:val="right"/>
              <w:ind w:right="6308"/>
              <w:spacing w:after="0"/>
              <w:rPr>
                <w:sz w:val="20"/>
                <w:szCs w:val="20"/>
                <w:color w:val="auto"/>
              </w:rPr>
            </w:pPr>
            <w:r>
              <w:rPr>
                <w:rFonts w:ascii="Arial" w:cs="Arial" w:eastAsia="Arial" w:hAnsi="Arial"/>
                <w:sz w:val="14"/>
                <w:szCs w:val="14"/>
                <w:b w:val="1"/>
                <w:bCs w:val="1"/>
                <w:color w:val="auto"/>
                <w:w w:val="96"/>
              </w:rPr>
              <w:t>Consolidated Financial Statements and Supplementary Data</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880" w:type="dxa"/>
            <w:vAlign w:val="bottom"/>
            <w:gridSpan w:val="2"/>
            <w:vMerge w:val="restart"/>
          </w:tcPr>
          <w:p>
            <w:pPr>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Management’s Report on Internal Control Over Financial Reporting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76"/>
        </w:trPr>
        <w:tc>
          <w:tcPr>
            <w:tcW w:w="10880" w:type="dxa"/>
            <w:vAlign w:val="bottom"/>
            <w:gridSpan w:val="2"/>
            <w:vMerge w:val="continue"/>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80" w:type="dxa"/>
            <w:vAlign w:val="bottom"/>
            <w:gridSpan w:val="2"/>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Reports of Independent Registered Public Accounting Firms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7"/>
        </w:trPr>
        <w:tc>
          <w:tcPr>
            <w:tcW w:w="1088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6"/>
        </w:trPr>
        <w:tc>
          <w:tcPr>
            <w:tcW w:w="1088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Statements of Assets and Liabilities as of September 30, 2015 and 2014</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7"/>
        </w:trPr>
        <w:tc>
          <w:tcPr>
            <w:tcW w:w="1088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Operations for the years ended September 30, 2015, 2014 and 2013</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7"/>
        </w:trPr>
        <w:tc>
          <w:tcPr>
            <w:tcW w:w="1088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Changes in Net Assets for the years ended September 30, 2015, 2014 and 2013</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7"/>
        </w:trPr>
        <w:tc>
          <w:tcPr>
            <w:tcW w:w="1088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Cash Flows for the years ended September 30, 2015, 2014 and 2013</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6"/>
        </w:trPr>
        <w:tc>
          <w:tcPr>
            <w:tcW w:w="1088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Schedules of Investments as of September 30, 2015 and 2014</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7"/>
        </w:trPr>
        <w:tc>
          <w:tcPr>
            <w:tcW w:w="10880" w:type="dxa"/>
            <w:vAlign w:val="bottom"/>
            <w:gridSpan w:val="2"/>
          </w:tcPr>
          <w:p>
            <w:pPr>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Notes to the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0260" w:type="dxa"/>
            <w:vAlign w:val="bottom"/>
          </w:tcPr>
          <w:p>
            <w:pPr>
              <w:jc w:val="right"/>
              <w:ind w:right="5108"/>
              <w:spacing w:after="0"/>
              <w:rPr>
                <w:sz w:val="20"/>
                <w:szCs w:val="20"/>
                <w:color w:val="auto"/>
              </w:rPr>
            </w:pPr>
            <w:r>
              <w:rPr>
                <w:rFonts w:ascii="Arial" w:cs="Arial" w:eastAsia="Arial" w:hAnsi="Arial"/>
                <w:sz w:val="14"/>
                <w:szCs w:val="14"/>
                <w:color w:val="auto"/>
              </w:rPr>
              <w:t>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2015. Our internal control system is a process designed to provide reasonable assurance to our management and board of directors regarding the preparation and fair presentation of published financial statements.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7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2015.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2015, our internal control over financial reporting is effective based on those criteria.</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47.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2015 and 2014, and the related consolidated statements of operations, changes in net assets, and cash flows for each of the two years in the period ended September 30, 2015. These consolidated financial statements are the responsibility of the Company’s management. Our responsibility is to express an opinion on these consolidated financial statements based on our audits.</w:t>
      </w:r>
    </w:p>
    <w:p>
      <w:pPr>
        <w:spacing w:after="0" w:line="77"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2015 by correspondence with the custodians and/or portfolio companies. An audit also includes assessing the accounting principles used and significant estimates made by management, as well as evaluating the overall financial statement presentation. We believe that our audits provides a reasonable basis for our opinion.</w:t>
      </w:r>
    </w:p>
    <w:p>
      <w:pPr>
        <w:spacing w:after="0" w:line="7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Subsidiaries as of September 30, 2015 and 2014, and the results of their operations, changes in net assets and their cash flows for the two years in the period then ended September 30, 2015, in conformity with U.S. generally accepted accounting principles.</w:t>
      </w:r>
    </w:p>
    <w:p>
      <w:pPr>
        <w:spacing w:after="0" w:line="7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2015,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and our report dated November 12, 2015 expressed an unqualified opinion on the effectiveness of the Company’s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84" w:lineRule="exact"/>
        <w:rPr>
          <w:sz w:val="20"/>
          <w:szCs w:val="20"/>
          <w:color w:val="auto"/>
        </w:rPr>
      </w:pPr>
    </w:p>
    <w:p>
      <w:pPr>
        <w:jc w:val="both"/>
        <w:ind w:right="600" w:firstLine="562"/>
        <w:spacing w:after="0" w:line="238" w:lineRule="auto"/>
        <w:rPr>
          <w:sz w:val="20"/>
          <w:szCs w:val="20"/>
          <w:color w:val="auto"/>
        </w:rPr>
      </w:pPr>
      <w:r>
        <w:rPr>
          <w:rFonts w:ascii="Arial" w:cs="Arial" w:eastAsia="Arial" w:hAnsi="Arial"/>
          <w:sz w:val="14"/>
          <w:szCs w:val="14"/>
          <w:color w:val="auto"/>
        </w:rPr>
        <w:t>We have audited the accompanying consolidated statements of operations, changes in net assets and cash flows of PennantPark Floating Rate Capital Ltd. and its Subsidiary (collectively referred to as the “Company”) for the year ended September 30, 2013. These consolidated financial statements are the responsibility of the Company’s management. Our responsibility is to express an opinion on these consolidated financial statements based on our audit.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7" w:lineRule="exact"/>
        <w:rPr>
          <w:sz w:val="20"/>
          <w:szCs w:val="20"/>
          <w:color w:val="auto"/>
        </w:rPr>
      </w:pPr>
    </w:p>
    <w:p>
      <w:pPr>
        <w:ind w:right="580" w:firstLine="562"/>
        <w:spacing w:after="0" w:line="290"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results of operations, changes in net assets and cash flows of PennantPark Floating Rate Capital Ltd. and its Subsidiary for the year ended September 30, 2013, in conformity with U.S. generally accepted accounting principles.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2013</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 xml:space="preserve">We have audited PennantPark Floating Rate Capital Ltd. and its Subsidiaries’ (collectively referred to as the “Company”) internal control over financial reporting as of September 30, 2015,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44. Our responsibility is to express an opinion on the Company’s internal control over financial reporting based on our audit.</w:t>
      </w:r>
    </w:p>
    <w:p>
      <w:pPr>
        <w:spacing w:after="0" w:line="76" w:lineRule="exact"/>
        <w:rPr>
          <w:sz w:val="20"/>
          <w:szCs w:val="20"/>
          <w:color w:val="auto"/>
        </w:rPr>
      </w:pPr>
    </w:p>
    <w:p>
      <w:pPr>
        <w:ind w:right="120" w:firstLine="562"/>
        <w:spacing w:after="0" w:line="283"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1" w:lineRule="exact"/>
        <w:rPr>
          <w:sz w:val="20"/>
          <w:szCs w:val="20"/>
          <w:color w:val="auto"/>
        </w:rPr>
      </w:pPr>
    </w:p>
    <w:p>
      <w:pPr>
        <w:ind w:right="80" w:firstLine="562"/>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3"/>
          <w:szCs w:val="13"/>
          <w:i w:val="1"/>
          <w:iCs w:val="1"/>
          <w:color w:val="auto"/>
        </w:rPr>
        <w:t>a</w:t>
      </w:r>
      <w:r>
        <w:rPr>
          <w:rFonts w:ascii="Arial" w:cs="Arial" w:eastAsia="Arial" w:hAnsi="Arial"/>
          <w:sz w:val="13"/>
          <w:szCs w:val="13"/>
          <w:color w:val="auto"/>
        </w:rPr>
        <w:t>) pertain to the maintenance of records that, in reasonable detail, accurately and fairly reflect the transactions and dispositions of the assets of the company; (</w:t>
      </w:r>
      <w:r>
        <w:rPr>
          <w:rFonts w:ascii="Arial" w:cs="Arial" w:eastAsia="Arial" w:hAnsi="Arial"/>
          <w:sz w:val="13"/>
          <w:szCs w:val="13"/>
          <w:i w:val="1"/>
          <w:iCs w:val="1"/>
          <w:color w:val="auto"/>
        </w:rPr>
        <w:t>b</w:t>
      </w:r>
      <w:r>
        <w:rPr>
          <w:rFonts w:ascii="Arial" w:cs="Arial" w:eastAsia="Arial" w:hAnsi="Arial"/>
          <w:sz w:val="13"/>
          <w:szCs w:val="13"/>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3"/>
          <w:szCs w:val="13"/>
          <w:i w:val="1"/>
          <w:iCs w:val="1"/>
          <w:color w:val="auto"/>
        </w:rPr>
        <w:t>c</w:t>
      </w:r>
      <w:r>
        <w:rPr>
          <w:rFonts w:ascii="Arial" w:cs="Arial" w:eastAsia="Arial" w:hAnsi="Arial"/>
          <w:sz w:val="13"/>
          <w:szCs w:val="13"/>
          <w:color w:val="auto"/>
        </w:rPr>
        <w:t>)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360" w:firstLine="562"/>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4"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 xml:space="preserve">In our opinion, PennantPark Floating Rate Capital Ltd. and its Subsidiaries maintained, in all material respects, effective internal control over financial reporting as of September 30, 2015,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2013.</w:t>
      </w:r>
    </w:p>
    <w:p>
      <w:pPr>
        <w:spacing w:after="0" w:line="66"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2015 and 2014, and the related consolidated statements of operations, changes in net assets, and cash flows for each of the two years in the period ended September 30, 2015 and our report dated November 12, 2015 expressed an unqualified opinion on those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2015</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160"/>
          </w:cols>
          <w:pgMar w:left="32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2014</w:t>
            </w:r>
          </w:p>
        </w:tc>
      </w:tr>
      <w:tr>
        <w:trPr>
          <w:trHeight w:val="129"/>
        </w:trPr>
        <w:tc>
          <w:tcPr>
            <w:tcW w:w="8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non-affiliated investments (cost—$394,561,175 and $348,354,295, respectively)</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388,535,383</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348,428,492</w:t>
            </w:r>
          </w:p>
        </w:tc>
      </w:tr>
      <w:tr>
        <w:trPr>
          <w:trHeight w:val="155"/>
        </w:trPr>
        <w:tc>
          <w:tcPr>
            <w:tcW w:w="8140" w:type="dxa"/>
            <w:vAlign w:val="bottom"/>
          </w:tcPr>
          <w:p>
            <w:pPr>
              <w:ind w:left="300"/>
              <w:spacing w:after="0" w:line="149" w:lineRule="exact"/>
              <w:rPr>
                <w:sz w:val="20"/>
                <w:szCs w:val="20"/>
                <w:color w:val="auto"/>
              </w:rPr>
            </w:pPr>
            <w:r>
              <w:rPr>
                <w:rFonts w:ascii="Arial" w:cs="Arial" w:eastAsia="Arial" w:hAnsi="Arial"/>
                <w:sz w:val="14"/>
                <w:szCs w:val="14"/>
                <w:color w:val="auto"/>
              </w:rPr>
              <w:t>Controlled, affiliated investments (cost—$2,777,132)</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2,776,507</w:t>
            </w:r>
          </w:p>
        </w:tc>
        <w:tc>
          <w:tcPr>
            <w:tcW w:w="6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49"/>
        </w:trPr>
        <w:tc>
          <w:tcPr>
            <w:tcW w:w="8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of investments (cost—$397,338,307 and $348,354,295, respectively)</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391,311,890</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348,428,492</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Cash equivalents</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21,428,514</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13,113,817</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1,959,404</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1,773,870</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28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9,001,938</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1,420,529</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556,359</w:t>
            </w:r>
          </w:p>
        </w:tc>
      </w:tr>
      <w:tr>
        <w:trPr>
          <w:trHeight w:val="163"/>
        </w:trPr>
        <w:tc>
          <w:tcPr>
            <w:tcW w:w="81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assets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416,120,337</w:t>
            </w:r>
          </w:p>
        </w:tc>
        <w:tc>
          <w:tcPr>
            <w:tcW w:w="6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100" w:type="dxa"/>
            <w:vAlign w:val="bottom"/>
          </w:tcPr>
          <w:p>
            <w:pPr>
              <w:spacing w:after="0"/>
              <w:rPr>
                <w:sz w:val="14"/>
                <w:szCs w:val="14"/>
                <w:color w:val="auto"/>
              </w:rPr>
            </w:pPr>
          </w:p>
        </w:tc>
      </w:tr>
      <w:tr>
        <w:trPr>
          <w:trHeight w:val="149"/>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2,539,357</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1,340,825</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9,367,500</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3,162,000</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28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2,705,882</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(cost—$29,600,000 and $146,400,000, respectively) (See Notes 5 and 10)</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29,600,000</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146,949,000</w:t>
            </w:r>
          </w:p>
        </w:tc>
      </w:tr>
      <w:tr>
        <w:trPr>
          <w:trHeight w:val="149"/>
        </w:trPr>
        <w:tc>
          <w:tcPr>
            <w:tcW w:w="814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224,633</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284,906</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956,115</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914,978</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2,936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2,180,604</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539,347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808,571</w:t>
            </w:r>
          </w:p>
        </w:tc>
      </w:tr>
      <w:tr>
        <w:trPr>
          <w:trHeight w:val="163"/>
        </w:trPr>
        <w:tc>
          <w:tcPr>
            <w:tcW w:w="81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liabilities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43,229,888</w:t>
            </w:r>
          </w:p>
        </w:tc>
        <w:tc>
          <w:tcPr>
            <w:tcW w:w="6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158,346,766</w:t>
            </w:r>
          </w:p>
        </w:tc>
        <w:tc>
          <w:tcPr>
            <w:tcW w:w="100" w:type="dxa"/>
            <w:vAlign w:val="bottom"/>
          </w:tcPr>
          <w:p>
            <w:pPr>
              <w:spacing w:after="0"/>
              <w:rPr>
                <w:sz w:val="14"/>
                <w:szCs w:val="14"/>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26,730,074 and 14,898,056 shares issued and outstanding, respectively.</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1"/>
        </w:trPr>
        <w:tc>
          <w:tcPr>
            <w:tcW w:w="8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 value $0.001 per share and 100,000,000 shares authorized.</w:t>
            </w:r>
          </w:p>
        </w:tc>
        <w:tc>
          <w:tcPr>
            <w:tcW w:w="2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26,730</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14,898</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371,502,801</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207,226,615</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6,991,473</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4,878,091</w:t>
            </w:r>
          </w:p>
        </w:tc>
      </w:tr>
      <w:tr>
        <w:trPr>
          <w:trHeight w:val="149"/>
        </w:trPr>
        <w:tc>
          <w:tcPr>
            <w:tcW w:w="814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395,862</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2,882,909</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(6,026,417)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74,197</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280" w:type="dxa"/>
            <w:vAlign w:val="bottom"/>
          </w:tcPr>
          <w:p>
            <w:pPr>
              <w:spacing w:after="0"/>
              <w:rPr>
                <w:sz w:val="12"/>
                <w:szCs w:val="12"/>
                <w:color w:val="auto"/>
              </w:rPr>
            </w:pPr>
          </w:p>
        </w:tc>
        <w:tc>
          <w:tcPr>
            <w:tcW w:w="9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(549,000)</w:t>
            </w:r>
          </w:p>
        </w:tc>
      </w:tr>
      <w:tr>
        <w:trPr>
          <w:trHeight w:val="27"/>
        </w:trPr>
        <w:tc>
          <w:tcPr>
            <w:tcW w:w="8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8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net assets</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372,890,449</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214,527,710</w:t>
            </w:r>
          </w:p>
        </w:tc>
      </w:tr>
      <w:tr>
        <w:trPr>
          <w:trHeight w:val="155"/>
        </w:trPr>
        <w:tc>
          <w:tcPr>
            <w:tcW w:w="81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416,120,337</w:t>
            </w:r>
          </w:p>
        </w:tc>
        <w:tc>
          <w:tcPr>
            <w:tcW w:w="6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372,874,476</w:t>
            </w:r>
          </w:p>
        </w:tc>
        <w:tc>
          <w:tcPr>
            <w:tcW w:w="100" w:type="dxa"/>
            <w:vAlign w:val="bottom"/>
          </w:tcPr>
          <w:p>
            <w:pPr>
              <w:spacing w:after="0"/>
              <w:rPr>
                <w:sz w:val="13"/>
                <w:szCs w:val="13"/>
                <w:color w:val="auto"/>
              </w:rPr>
            </w:pP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1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13.95</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14.40</w:t>
            </w:r>
          </w:p>
        </w:tc>
      </w:tr>
      <w:tr>
        <w:trPr>
          <w:trHeight w:val="20"/>
        </w:trPr>
        <w:tc>
          <w:tcPr>
            <w:tcW w:w="8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29,203,963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29,256,441</w:t>
            </w:r>
          </w:p>
        </w:tc>
        <w:tc>
          <w:tcPr>
            <w:tcW w:w="3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17,635,914</w:t>
            </w:r>
          </w:p>
        </w:tc>
        <w:tc>
          <w:tcPr>
            <w:tcW w:w="0" w:type="dxa"/>
            <w:vAlign w:val="bottom"/>
          </w:tcPr>
          <w:p>
            <w:pPr>
              <w:spacing w:after="0"/>
              <w:rPr>
                <w:sz w:val="1"/>
                <w:szCs w:val="1"/>
                <w:color w:val="auto"/>
              </w:rPr>
            </w:pPr>
          </w:p>
        </w:tc>
      </w:tr>
      <w:tr>
        <w:trPr>
          <w:trHeight w:val="149"/>
        </w:trPr>
        <w:tc>
          <w:tcPr>
            <w:tcW w:w="726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1,151,336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1,100,391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1,231,654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30,355,299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30,356,832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18,867,568</w:t>
            </w:r>
          </w:p>
        </w:tc>
        <w:tc>
          <w:tcPr>
            <w:tcW w:w="0" w:type="dxa"/>
            <w:vAlign w:val="bottom"/>
          </w:tcPr>
          <w:p>
            <w:pPr>
              <w:spacing w:after="0"/>
              <w:rPr>
                <w:sz w:val="1"/>
                <w:szCs w:val="1"/>
                <w:color w:val="auto"/>
              </w:rPr>
            </w:pPr>
          </w:p>
        </w:tc>
      </w:tr>
      <w:tr>
        <w:trPr>
          <w:trHeight w:val="156"/>
        </w:trPr>
        <w:tc>
          <w:tcPr>
            <w:tcW w:w="726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3,572,614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3,702,826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2,196,038</w:t>
            </w:r>
          </w:p>
        </w:tc>
        <w:tc>
          <w:tcPr>
            <w:tcW w:w="0" w:type="dxa"/>
            <w:vAlign w:val="bottom"/>
          </w:tcPr>
          <w:p>
            <w:pPr>
              <w:spacing w:after="0"/>
              <w:rPr>
                <w:sz w:val="1"/>
                <w:szCs w:val="1"/>
                <w:color w:val="auto"/>
              </w:rPr>
            </w:pPr>
          </w:p>
        </w:tc>
      </w:tr>
      <w:tr>
        <w:trPr>
          <w:trHeight w:val="148"/>
        </w:trPr>
        <w:tc>
          <w:tcPr>
            <w:tcW w:w="726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1,114,972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3,464,344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1,891,302</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3,251,761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3,471,347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1,853,958</w:t>
            </w:r>
          </w:p>
        </w:tc>
        <w:tc>
          <w:tcPr>
            <w:tcW w:w="0" w:type="dxa"/>
            <w:vAlign w:val="bottom"/>
          </w:tcPr>
          <w:p>
            <w:pPr>
              <w:spacing w:after="0"/>
              <w:rPr>
                <w:sz w:val="1"/>
                <w:szCs w:val="1"/>
                <w:color w:val="auto"/>
              </w:rPr>
            </w:pPr>
          </w:p>
        </w:tc>
      </w:tr>
      <w:tr>
        <w:trPr>
          <w:trHeight w:val="148"/>
        </w:trPr>
        <w:tc>
          <w:tcPr>
            <w:tcW w:w="726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837,708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879,000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864,561</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1,176,769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1,011,285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988,541</w:t>
            </w:r>
          </w:p>
        </w:tc>
        <w:tc>
          <w:tcPr>
            <w:tcW w:w="0" w:type="dxa"/>
            <w:vAlign w:val="bottom"/>
          </w:tcPr>
          <w:p>
            <w:pPr>
              <w:spacing w:after="0"/>
              <w:rPr>
                <w:sz w:val="1"/>
                <w:szCs w:val="1"/>
                <w:color w:val="auto"/>
              </w:rPr>
            </w:pPr>
          </w:p>
        </w:tc>
      </w:tr>
      <w:tr>
        <w:trPr>
          <w:trHeight w:val="155"/>
        </w:trPr>
        <w:tc>
          <w:tcPr>
            <w:tcW w:w="72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excise tax and amendment costs</w:t>
            </w: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9,953,824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12,528,802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7,794,400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Excise tax</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440,000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479,425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122,897</w:t>
            </w:r>
          </w:p>
        </w:tc>
        <w:tc>
          <w:tcPr>
            <w:tcW w:w="0" w:type="dxa"/>
            <w:vAlign w:val="bottom"/>
          </w:tcPr>
          <w:p>
            <w:pPr>
              <w:spacing w:after="0"/>
              <w:rPr>
                <w:sz w:val="1"/>
                <w:szCs w:val="1"/>
                <w:color w:val="auto"/>
              </w:rPr>
            </w:pPr>
          </w:p>
        </w:tc>
      </w:tr>
      <w:tr>
        <w:trPr>
          <w:trHeight w:val="149"/>
        </w:trPr>
        <w:tc>
          <w:tcPr>
            <w:tcW w:w="726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2,301,478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712,930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426,924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12,695,302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13,721,157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8,344,221</w:t>
            </w:r>
          </w:p>
        </w:tc>
        <w:tc>
          <w:tcPr>
            <w:tcW w:w="0" w:type="dxa"/>
            <w:vAlign w:val="bottom"/>
          </w:tcPr>
          <w:p>
            <w:pPr>
              <w:spacing w:after="0"/>
              <w:rPr>
                <w:sz w:val="1"/>
                <w:szCs w:val="1"/>
                <w:color w:val="auto"/>
              </w:rPr>
            </w:pPr>
          </w:p>
        </w:tc>
      </w:tr>
      <w:tr>
        <w:trPr>
          <w:trHeight w:val="163"/>
        </w:trPr>
        <w:tc>
          <w:tcPr>
            <w:tcW w:w="72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17,659,997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16,635,675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395,862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2,873,525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3,574,936</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(6,100,614)</w:t>
            </w: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1,553,771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(1,735,965)</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depreciation (appreciation) (See Note 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549,000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63"/>
        </w:trPr>
        <w:tc>
          <w:tcPr>
            <w:tcW w:w="72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(5,551,614)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1,004,771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gain from investments and Credit Facility</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(5,155,752)</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3,878,296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1,461,471</w:t>
            </w:r>
          </w:p>
        </w:tc>
        <w:tc>
          <w:tcPr>
            <w:tcW w:w="0" w:type="dxa"/>
            <w:vAlign w:val="bottom"/>
          </w:tcPr>
          <w:p>
            <w:pPr>
              <w:spacing w:after="0"/>
              <w:rPr>
                <w:sz w:val="1"/>
                <w:szCs w:val="1"/>
                <w:color w:val="auto"/>
              </w:rPr>
            </w:pPr>
          </w:p>
        </w:tc>
      </w:tr>
      <w:tr>
        <w:trPr>
          <w:trHeight w:val="156"/>
        </w:trPr>
        <w:tc>
          <w:tcPr>
            <w:tcW w:w="726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12,504,245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20,513,971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11,984,818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0.77</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1.38</w:t>
            </w:r>
          </w:p>
        </w:tc>
        <w:tc>
          <w:tcPr>
            <w:tcW w:w="340" w:type="dxa"/>
            <w:vAlign w:val="bottom"/>
            <w:gridSpan w:val="2"/>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6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28"/>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70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17,659,997</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16,635,675</w:t>
            </w:r>
          </w:p>
        </w:tc>
        <w:tc>
          <w:tcPr>
            <w:tcW w:w="3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10,523,347</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395,862</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2,873,525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3,574,936</w:t>
            </w:r>
          </w:p>
        </w:tc>
        <w:tc>
          <w:tcPr>
            <w:tcW w:w="0" w:type="dxa"/>
            <w:vAlign w:val="bottom"/>
          </w:tcPr>
          <w:p>
            <w:pPr>
              <w:spacing w:after="0"/>
              <w:rPr>
                <w:sz w:val="1"/>
                <w:szCs w:val="1"/>
                <w:color w:val="auto"/>
              </w:rPr>
            </w:pPr>
          </w:p>
        </w:tc>
      </w:tr>
      <w:tr>
        <w:trPr>
          <w:trHeight w:val="149"/>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(6,100,614)</w:t>
            </w: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1,553,771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(1,735,965)</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Credit Facility</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549,000</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63"/>
        </w:trPr>
        <w:tc>
          <w:tcPr>
            <w:tcW w:w="58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4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12,504,245</w:t>
            </w: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20,513,971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11,984,818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Distribution of net investment income</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(15,976,507)</w:t>
            </w:r>
          </w:p>
        </w:tc>
        <w:tc>
          <w:tcPr>
            <w:tcW w:w="2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(12,477,719)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(9,129,072)</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Distribution of realized gains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(2,882,909)</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(3,574,936)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(911,925)</w:t>
            </w:r>
          </w:p>
        </w:tc>
        <w:tc>
          <w:tcPr>
            <w:tcW w:w="0" w:type="dxa"/>
            <w:vAlign w:val="bottom"/>
          </w:tcPr>
          <w:p>
            <w:pPr>
              <w:spacing w:after="0"/>
              <w:rPr>
                <w:sz w:val="1"/>
                <w:szCs w:val="1"/>
                <w:color w:val="auto"/>
              </w:rPr>
            </w:pPr>
          </w:p>
        </w:tc>
      </w:tr>
      <w:tr>
        <w:trPr>
          <w:trHeight w:val="163"/>
        </w:trPr>
        <w:tc>
          <w:tcPr>
            <w:tcW w:w="58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14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(18,859,416)</w:t>
            </w: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(16,052,655)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(10,040,997)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Acquisition of MCG assets (See Note 12)</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164,717,910</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Public offerings and distributions reinvested</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113,567,268</w:t>
            </w:r>
          </w:p>
        </w:tc>
        <w:tc>
          <w:tcPr>
            <w:tcW w:w="0" w:type="dxa"/>
            <w:vAlign w:val="bottom"/>
          </w:tcPr>
          <w:p>
            <w:pPr>
              <w:spacing w:after="0"/>
              <w:rPr>
                <w:sz w:val="1"/>
                <w:szCs w:val="1"/>
                <w:color w:val="auto"/>
              </w:rPr>
            </w:pPr>
          </w:p>
        </w:tc>
      </w:tr>
      <w:tr>
        <w:trPr>
          <w:trHeight w:val="148"/>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Offering costs</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(1,188,572)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164,717,910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112,378,696</w:t>
            </w:r>
          </w:p>
        </w:tc>
        <w:tc>
          <w:tcPr>
            <w:tcW w:w="0" w:type="dxa"/>
            <w:vAlign w:val="bottom"/>
          </w:tcPr>
          <w:p>
            <w:pPr>
              <w:spacing w:after="0"/>
              <w:rPr>
                <w:sz w:val="1"/>
                <w:szCs w:val="1"/>
                <w:color w:val="auto"/>
              </w:rPr>
            </w:pPr>
          </w:p>
        </w:tc>
      </w:tr>
      <w:tr>
        <w:trPr>
          <w:trHeight w:val="155"/>
        </w:trPr>
        <w:tc>
          <w:tcPr>
            <w:tcW w:w="58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14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158,362,739</w:t>
            </w: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4,461,316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114,322,517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Beginning of year</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214,527,710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210,066,394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95,743,877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year</w:t>
            </w:r>
          </w:p>
        </w:tc>
        <w:tc>
          <w:tcPr>
            <w:tcW w:w="170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372,890,449</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214,527,710</w:t>
            </w:r>
          </w:p>
        </w:tc>
        <w:tc>
          <w:tcPr>
            <w:tcW w:w="3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210,066,394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00"/>
              <w:spacing w:after="0"/>
              <w:rPr>
                <w:sz w:val="20"/>
                <w:szCs w:val="20"/>
                <w:color w:val="auto"/>
              </w:rPr>
            </w:pPr>
            <w:r>
              <w:rPr>
                <w:rFonts w:ascii="Arial" w:cs="Arial" w:eastAsia="Arial" w:hAnsi="Arial"/>
                <w:sz w:val="14"/>
                <w:szCs w:val="14"/>
                <w:color w:val="auto"/>
              </w:rPr>
              <w:t>Undistributed net investment income, end of year</w:t>
            </w: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6,991,473</w:t>
            </w: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4,878,091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474,766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300"/>
              <w:spacing w:after="0" w:line="149" w:lineRule="exact"/>
              <w:rPr>
                <w:sz w:val="20"/>
                <w:szCs w:val="20"/>
                <w:color w:val="auto"/>
              </w:rPr>
            </w:pPr>
            <w:r>
              <w:rPr>
                <w:rFonts w:ascii="Arial" w:cs="Arial" w:eastAsia="Arial" w:hAnsi="Arial"/>
                <w:sz w:val="14"/>
                <w:szCs w:val="14"/>
                <w:color w:val="auto"/>
              </w:rPr>
              <w:t>Shares issued from acquisition of MCG</w:t>
            </w: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11,832,018</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Shares issued from public offerings</w:t>
            </w: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8,038,700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00"/>
              <w:spacing w:after="0"/>
              <w:rPr>
                <w:sz w:val="20"/>
                <w:szCs w:val="20"/>
                <w:color w:val="auto"/>
              </w:rPr>
            </w:pPr>
            <w:r>
              <w:rPr>
                <w:rFonts w:ascii="Arial" w:cs="Arial" w:eastAsia="Arial" w:hAnsi="Arial"/>
                <w:sz w:val="14"/>
                <w:szCs w:val="14"/>
                <w:color w:val="auto"/>
              </w:rPr>
              <w:t>Shares issued from reinvestment of dividends</w:t>
            </w: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08"/>
              <w:spacing w:after="0"/>
              <w:rPr>
                <w:sz w:val="20"/>
                <w:szCs w:val="20"/>
                <w:color w:val="auto"/>
              </w:rPr>
            </w:pPr>
            <w:r>
              <w:rPr>
                <w:rFonts w:ascii="Arial" w:cs="Arial" w:eastAsia="Arial" w:hAnsi="Arial"/>
                <w:sz w:val="14"/>
                <w:szCs w:val="14"/>
                <w:b w:val="1"/>
                <w:bCs w:val="1"/>
                <w:color w:val="auto"/>
              </w:rPr>
              <w:t>Years Ended 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40" w:type="dxa"/>
            <w:vAlign w:val="bottom"/>
          </w:tcPr>
          <w:p>
            <w:pPr>
              <w:ind w:left="30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12,504,245</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20,513,971</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11,984,818</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4"/>
              </w:rPr>
              <w:t>Adjustments to reconcile net increase in net assets resulting from operations to net cash used for operating activities: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6,100,614</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(1,553,771)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1,735,965</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change in unrealized (depreciation) appreciation on Credit Facility</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(549,000)</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549,000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Net realized gain on investments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(395,862)</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(2,873,525)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(3,574,936)</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(1,240,781)</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(1,253,776)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(1,178,778)</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Purchases of investments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(224,170,119)</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(248,124,673)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(316,463,651)</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Payment-in-kind interest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(655,580)</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(662,226)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(471,675)</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195,049,580</w:t>
            </w: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225,614,700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174,918,136</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(185,534)</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366,932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(751,935)</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9,001,938</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(5,342,753)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(2,672,907)</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prepaid expenses and other assets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(315,139)</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63,378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(308,424)</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Increase (decrease) in payable for investments purchased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6,205,500</w:t>
            </w:r>
          </w:p>
        </w:tc>
        <w:tc>
          <w:tcPr>
            <w:tcW w:w="2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(10,859,588)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10,664,088</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(60,273)</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94,972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28,384</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Increase in management fee payable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41,137</w:t>
            </w: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183,343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306,888</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performance-based incentive fee payable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(2,177,668)</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1,016,514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657,776</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(1,358,635)</w:t>
            </w: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342,971</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cash used for operating activities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(2,205,577)</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(22,249,022)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(124,405,780)</w:t>
            </w:r>
          </w:p>
        </w:tc>
        <w:tc>
          <w:tcPr>
            <w:tcW w:w="0" w:type="dxa"/>
            <w:vAlign w:val="bottom"/>
          </w:tcPr>
          <w:p>
            <w:pPr>
              <w:spacing w:after="0"/>
              <w:rPr>
                <w:sz w:val="1"/>
                <w:szCs w:val="1"/>
                <w:color w:val="auto"/>
              </w:rPr>
            </w:pPr>
          </w:p>
        </w:tc>
      </w:tr>
      <w:tr>
        <w:trPr>
          <w:trHeight w:val="155"/>
        </w:trPr>
        <w:tc>
          <w:tcPr>
            <w:tcW w:w="71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Public offerings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113,443,028</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Offering costs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(1,188,572)</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Acquisition of MCG assets (See Note 12)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144,981,158</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Deferred sales load paid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Distributions paid to stockholders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(17,660,884)</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(16,015,410)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(9,161,230)</w:t>
            </w:r>
          </w:p>
        </w:tc>
        <w:tc>
          <w:tcPr>
            <w:tcW w:w="0" w:type="dxa"/>
            <w:vAlign w:val="bottom"/>
          </w:tcPr>
          <w:p>
            <w:pPr>
              <w:spacing w:after="0"/>
              <w:rPr>
                <w:sz w:val="1"/>
                <w:szCs w:val="1"/>
                <w:color w:val="auto"/>
              </w:rPr>
            </w:pPr>
          </w:p>
        </w:tc>
      </w:tr>
      <w:tr>
        <w:trPr>
          <w:trHeight w:val="148"/>
        </w:trPr>
        <w:tc>
          <w:tcPr>
            <w:tcW w:w="7140" w:type="dxa"/>
            <w:vAlign w:val="bottom"/>
          </w:tcPr>
          <w:p>
            <w:pPr>
              <w:ind w:left="58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130,700,000</w:t>
            </w: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148,200,000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235,350,000</w:t>
            </w: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(247,500,000)</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(101,400,000)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(211,250,000)</w:t>
            </w:r>
          </w:p>
        </w:tc>
        <w:tc>
          <w:tcPr>
            <w:tcW w:w="0" w:type="dxa"/>
            <w:vAlign w:val="bottom"/>
          </w:tcPr>
          <w:p>
            <w:pPr>
              <w:spacing w:after="0"/>
              <w:rPr>
                <w:sz w:val="1"/>
                <w:szCs w:val="1"/>
                <w:color w:val="auto"/>
              </w:rPr>
            </w:pPr>
          </w:p>
        </w:tc>
      </w:tr>
      <w:tr>
        <w:trPr>
          <w:trHeight w:val="163"/>
        </w:trPr>
        <w:tc>
          <w:tcPr>
            <w:tcW w:w="71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10,520,274</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30,784,590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125,138,226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cash equivalents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8,314,697</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8,535,568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732,446</w:t>
            </w:r>
          </w:p>
        </w:tc>
        <w:tc>
          <w:tcPr>
            <w:tcW w:w="0" w:type="dxa"/>
            <w:vAlign w:val="bottom"/>
          </w:tcPr>
          <w:p>
            <w:pPr>
              <w:spacing w:after="0"/>
              <w:rPr>
                <w:sz w:val="1"/>
                <w:szCs w:val="1"/>
                <w:color w:val="auto"/>
              </w:rPr>
            </w:pPr>
          </w:p>
        </w:tc>
      </w:tr>
      <w:tr>
        <w:trPr>
          <w:trHeight w:val="148"/>
        </w:trPr>
        <w:tc>
          <w:tcPr>
            <w:tcW w:w="714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beginning of year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13,113,817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3,845,803</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end of year</w:t>
            </w:r>
          </w:p>
        </w:tc>
        <w:tc>
          <w:tcPr>
            <w:tcW w:w="3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21,428,514</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13,113,817</w:t>
            </w:r>
          </w:p>
        </w:tc>
        <w:tc>
          <w:tcPr>
            <w:tcW w:w="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4,578,249</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paid</w:t>
            </w:r>
          </w:p>
        </w:tc>
        <w:tc>
          <w:tcPr>
            <w:tcW w:w="3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3,313,701</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3,341,375</w:t>
            </w:r>
          </w:p>
        </w:tc>
        <w:tc>
          <w:tcPr>
            <w:tcW w:w="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1,825,574</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00"/>
              <w:spacing w:after="0"/>
              <w:rPr>
                <w:sz w:val="20"/>
                <w:szCs w:val="20"/>
                <w:color w:val="auto"/>
              </w:rPr>
            </w:pPr>
            <w:r>
              <w:rPr>
                <w:rFonts w:ascii="Arial" w:cs="Arial" w:eastAsia="Arial" w:hAnsi="Arial"/>
                <w:sz w:val="14"/>
                <w:szCs w:val="14"/>
                <w:color w:val="auto"/>
              </w:rPr>
              <w:t>Taxes paid</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430,242</w:t>
            </w:r>
          </w:p>
        </w:tc>
        <w:tc>
          <w:tcPr>
            <w:tcW w:w="20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254,753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82,378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Distributions reinvested</w:t>
            </w:r>
          </w:p>
        </w:tc>
        <w:tc>
          <w:tcPr>
            <w:tcW w:w="360" w:type="dxa"/>
            <w:vAlign w:val="bottom"/>
            <w:gridSpan w:val="2"/>
            <w:shd w:val="clear" w:color="auto" w:fill="CCEEFF"/>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124,240</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00"/>
              <w:spacing w:after="0"/>
              <w:rPr>
                <w:sz w:val="20"/>
                <w:szCs w:val="20"/>
                <w:color w:val="auto"/>
              </w:rPr>
            </w:pPr>
            <w:r>
              <w:rPr>
                <w:rFonts w:ascii="Arial" w:cs="Arial" w:eastAsia="Arial" w:hAnsi="Arial"/>
                <w:sz w:val="14"/>
                <w:szCs w:val="14"/>
                <w:color w:val="auto"/>
              </w:rPr>
              <w:t>Conversions and non-cash exchanges</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670,283</w:t>
            </w:r>
          </w:p>
        </w:tc>
        <w:tc>
          <w:tcPr>
            <w:tcW w:w="20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6,902,784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Investments acquired from MCG in exchange for shares issued</w:t>
            </w:r>
          </w:p>
        </w:tc>
        <w:tc>
          <w:tcPr>
            <w:tcW w:w="360" w:type="dxa"/>
            <w:vAlign w:val="bottom"/>
            <w:gridSpan w:val="2"/>
            <w:shd w:val="clear" w:color="auto" w:fill="CCEEFF"/>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20,277,132</w:t>
            </w:r>
          </w:p>
        </w:tc>
        <w:tc>
          <w:tcPr>
            <w:tcW w:w="240" w:type="dxa"/>
            <w:vAlign w:val="bottom"/>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00"/>
              <w:spacing w:after="0"/>
              <w:rPr>
                <w:sz w:val="20"/>
                <w:szCs w:val="20"/>
                <w:color w:val="auto"/>
              </w:rPr>
            </w:pPr>
            <w:r>
              <w:rPr>
                <w:rFonts w:ascii="Arial" w:cs="Arial" w:eastAsia="Arial" w:hAnsi="Arial"/>
                <w:sz w:val="14"/>
                <w:szCs w:val="14"/>
                <w:color w:val="auto"/>
              </w:rPr>
              <w:t>Acquisition of other assets from MCG (See Note 12)</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549,031</w:t>
            </w:r>
          </w:p>
        </w:tc>
        <w:tc>
          <w:tcPr>
            <w:tcW w:w="20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Acquisition of other liabilities from MCG (See Note 12)</w:t>
            </w:r>
          </w:p>
        </w:tc>
        <w:tc>
          <w:tcPr>
            <w:tcW w:w="360" w:type="dxa"/>
            <w:vAlign w:val="bottom"/>
            <w:gridSpan w:val="2"/>
            <w:shd w:val="clear" w:color="auto" w:fill="CCEEFF"/>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1,089,411</w:t>
            </w:r>
          </w:p>
        </w:tc>
        <w:tc>
          <w:tcPr>
            <w:tcW w:w="240" w:type="dxa"/>
            <w:vAlign w:val="bottom"/>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7"/>
              </w:rPr>
              <w:t>Current</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Above</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Par /</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60" w:type="dxa"/>
            <w:vAlign w:val="bottom"/>
            <w:vMerge w:val="continue"/>
          </w:tcPr>
          <w:p>
            <w:pPr>
              <w:spacing w:after="0"/>
              <w:rPr>
                <w:sz w:val="13"/>
                <w:szCs w:val="13"/>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rPr>
              <w:t>Maturity</w:t>
            </w:r>
          </w:p>
        </w:tc>
        <w:tc>
          <w:tcPr>
            <w:tcW w:w="18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Industry</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Coupon</w:t>
            </w: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9"/>
        </w:trPr>
        <w:tc>
          <w:tcPr>
            <w:tcW w:w="4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0"/>
              </w:rPr>
              <w:t xml:space="preserve">Investments in Non-Controlled, Non-Affiliated Portfolio Companies—104.2% </w:t>
            </w:r>
            <w:r>
              <w:rPr>
                <w:rFonts w:ascii="Arial" w:cs="Arial" w:eastAsia="Arial" w:hAnsi="Arial"/>
                <w:sz w:val="10"/>
                <w:szCs w:val="10"/>
                <w:b w:val="1"/>
                <w:bCs w:val="1"/>
                <w:color w:val="auto"/>
                <w:w w:val="90"/>
              </w:rPr>
              <w:t>(3), (4)</w:t>
            </w:r>
          </w:p>
        </w:tc>
        <w:tc>
          <w:tcPr>
            <w:tcW w:w="720" w:type="dxa"/>
            <w:vAlign w:val="bottom"/>
            <w:tcBorders>
              <w:top w:val="single" w:sz="8" w:color="auto"/>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Debt—89.1%</w:t>
            </w: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04/02/2018</w:t>
            </w:r>
          </w:p>
        </w:tc>
        <w:tc>
          <w:tcPr>
            <w:tcW w:w="186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11.97%</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9"/>
              </w:rPr>
              <w:t>10,734,388</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$10,555,953</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  10,895,404</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04/02/2018</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1,165,725</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17,486</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02/28/2019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7,136,577</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7,101,328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7,118,736</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04/04/2022</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3,900,038</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3,881,182</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3,880,538</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07/16/2018</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6.25%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2,990,287</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2,971,513</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2,975,336</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12/21/2020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9.25%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L+825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6,602,074</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6,517,717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6,492,018</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ARC Automotive Group,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10/12/2020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92"/>
              </w:rPr>
              <w:t>Automotive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3,970,000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3,935,708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3,930,300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11/15/2018</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8"/>
              </w:rPr>
              <w:t>Energy: Oil and Gas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L+650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5,310,750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5,189,661</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4,514,138</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06/29/2020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92"/>
              </w:rPr>
              <w:t>Automotive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4,280,585</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4,227,278</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4,264,533</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09/17/2021</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7.25%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L+625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9"/>
              </w:rPr>
              <w:t>12,902,393</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12,820,758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12,805,625</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Camin Cargo Control,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06/30/2021</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8"/>
              </w:rPr>
              <w:t>Transportation: Cargo</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2,493,750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2,469,351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2,468,812</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CareCentrix,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07/08/2021</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5,000,000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4,878,103</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4,870,850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07/02/2020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8.25%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L+700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5,000,000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4,961,991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4,700,000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12/24/2019</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L+800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4,432,500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4,381,480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4,210,875</w:t>
            </w:r>
          </w:p>
        </w:tc>
        <w:tc>
          <w:tcPr>
            <w:tcW w:w="0" w:type="dxa"/>
            <w:vAlign w:val="bottom"/>
          </w:tcPr>
          <w:p>
            <w:pPr>
              <w:spacing w:after="0"/>
              <w:rPr>
                <w:sz w:val="1"/>
                <w:szCs w:val="1"/>
                <w:color w:val="auto"/>
              </w:rPr>
            </w:pPr>
          </w:p>
        </w:tc>
      </w:tr>
      <w:tr>
        <w:trPr>
          <w:trHeight w:val="121"/>
        </w:trPr>
        <w:tc>
          <w:tcPr>
            <w:tcW w:w="4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95"/>
              </w:rPr>
              <w:t>01/08/2019</w:t>
            </w:r>
          </w:p>
        </w:tc>
        <w:tc>
          <w:tcPr>
            <w:tcW w:w="186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7.25%</w:t>
            </w:r>
          </w:p>
        </w:tc>
        <w:tc>
          <w:tcPr>
            <w:tcW w:w="88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L+600</w:t>
            </w:r>
          </w:p>
        </w:tc>
        <w:tc>
          <w:tcPr>
            <w:tcW w:w="6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4,925,000</w:t>
            </w:r>
          </w:p>
        </w:tc>
        <w:tc>
          <w:tcPr>
            <w:tcW w:w="82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4,887,389</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12/21/2020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L+650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9"/>
              </w:rPr>
              <w:t>11,861,946</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11,755,521</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11,743,327</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02/07/2022</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1,990,000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1,971,403</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1,988,348</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03/19/2018</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6"/>
              </w:rPr>
              <w:t>Business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7.25%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2,976,683</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2,952,648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3,017,613</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12/09/2020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6"/>
              </w:rPr>
              <w:t>Business Services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4,975,000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4,931,287</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4,875,500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06/30/2020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6"/>
              </w:rPr>
              <w:t>Chemicals, Plastics and Rubber</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4,937,500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4,901,367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09/10/2020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Durable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9,000,000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8,955,000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8,955,000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 (10)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09/10/2020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Consumer Goods: Durable</w:t>
            </w: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07/01/2021</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Telecommunications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6.75%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4,987,500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4,914,374</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4,862,812</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12/23/2021</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4,975,000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4,927,105</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4,897,290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05/31/2019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6.25%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L+525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3,930,000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3,900,641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3,910,350</w:t>
            </w:r>
          </w:p>
        </w:tc>
        <w:tc>
          <w:tcPr>
            <w:tcW w:w="0" w:type="dxa"/>
            <w:vAlign w:val="bottom"/>
          </w:tcPr>
          <w:p>
            <w:pPr>
              <w:spacing w:after="0"/>
              <w:rPr>
                <w:sz w:val="1"/>
                <w:szCs w:val="1"/>
                <w:color w:val="auto"/>
              </w:rPr>
            </w:pPr>
          </w:p>
        </w:tc>
      </w:tr>
      <w:tr>
        <w:trPr>
          <w:trHeight w:val="121"/>
        </w:trPr>
        <w:tc>
          <w:tcPr>
            <w:tcW w:w="4560" w:type="dxa"/>
            <w:vAlign w:val="bottom"/>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05/23/2018</w:t>
            </w:r>
          </w:p>
        </w:tc>
        <w:tc>
          <w:tcPr>
            <w:tcW w:w="1860" w:type="dxa"/>
            <w:vAlign w:val="bottom"/>
            <w:gridSpan w:val="2"/>
          </w:tcPr>
          <w:p>
            <w:pPr>
              <w:jc w:val="center"/>
              <w:ind w:right="20"/>
              <w:spacing w:after="0" w:line="121" w:lineRule="exact"/>
              <w:rPr>
                <w:sz w:val="20"/>
                <w:szCs w:val="20"/>
                <w:color w:val="auto"/>
              </w:rPr>
            </w:pPr>
            <w:r>
              <w:rPr>
                <w:rFonts w:ascii="Arial" w:cs="Arial" w:eastAsia="Arial" w:hAnsi="Arial"/>
                <w:sz w:val="13"/>
                <w:szCs w:val="13"/>
                <w:color w:val="auto"/>
                <w:w w:val="88"/>
              </w:rPr>
              <w:t>Media: Broadcasting and</w:t>
            </w:r>
          </w:p>
        </w:tc>
        <w:tc>
          <w:tcPr>
            <w:tcW w:w="8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6.75%</w:t>
            </w:r>
          </w:p>
        </w:tc>
        <w:tc>
          <w:tcPr>
            <w:tcW w:w="8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L+550</w:t>
            </w:r>
          </w:p>
        </w:tc>
        <w:tc>
          <w:tcPr>
            <w:tcW w:w="6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1,091,582</w:t>
            </w:r>
          </w:p>
        </w:tc>
        <w:tc>
          <w:tcPr>
            <w:tcW w:w="820" w:type="dxa"/>
            <w:vAlign w:val="bottom"/>
            <w:gridSpan w:val="3"/>
          </w:tcPr>
          <w:p>
            <w:pPr>
              <w:jc w:val="right"/>
              <w:ind w:right="100"/>
              <w:spacing w:after="0" w:line="121" w:lineRule="exact"/>
              <w:rPr>
                <w:sz w:val="20"/>
                <w:szCs w:val="20"/>
                <w:color w:val="auto"/>
              </w:rPr>
            </w:pPr>
            <w:r>
              <w:rPr>
                <w:rFonts w:ascii="Arial" w:cs="Arial" w:eastAsia="Arial" w:hAnsi="Arial"/>
                <w:sz w:val="13"/>
                <w:szCs w:val="13"/>
                <w:color w:val="auto"/>
              </w:rPr>
              <w:t>1,090,547</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1,088,177</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Subscription</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11/04/2020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6,877,500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6,827,661</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6,739,950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Help/Systems Holdings,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06/28/2019</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L+450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4,900,000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4,866,257</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4,851,000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10/21/2020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L+800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1,194,000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1,178,322</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1,194,000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12/13/2019</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2,753,737</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2,734,900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2,726,199</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08/05/2019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6"/>
              </w:rPr>
              <w:t>Aerospace and Defense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6,650,000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6,598,073</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6,641,687</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ICC-Nexergy,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04/30/2020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Consumer Goods: Durable</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L+550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4,987,500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4,941,329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11/04/2020</w:t>
            </w:r>
          </w:p>
        </w:tc>
        <w:tc>
          <w:tcPr>
            <w:tcW w:w="186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0"/>
              </w:rPr>
              <w:t>Construction and Building</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L+625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6,965,000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6,842,099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6,965,000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05/01/2019</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6"/>
              </w:rPr>
              <w:t>Business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7.25%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L+600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9"/>
              </w:rPr>
              <w:t>10,094,315</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10,001,190</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9,084,884</w:t>
            </w:r>
          </w:p>
        </w:tc>
        <w:tc>
          <w:tcPr>
            <w:tcW w:w="0" w:type="dxa"/>
            <w:vAlign w:val="bottom"/>
          </w:tcPr>
          <w:p>
            <w:pPr>
              <w:spacing w:after="0"/>
              <w:rPr>
                <w:sz w:val="1"/>
                <w:szCs w:val="1"/>
                <w:color w:val="auto"/>
              </w:rPr>
            </w:pPr>
          </w:p>
        </w:tc>
      </w:tr>
      <w:tr>
        <w:trPr>
          <w:trHeight w:val="121"/>
        </w:trPr>
        <w:tc>
          <w:tcPr>
            <w:tcW w:w="4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95"/>
              </w:rPr>
              <w:t>03/28/2019</w:t>
            </w:r>
          </w:p>
        </w:tc>
        <w:tc>
          <w:tcPr>
            <w:tcW w:w="186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5.50%</w:t>
            </w:r>
          </w:p>
        </w:tc>
        <w:tc>
          <w:tcPr>
            <w:tcW w:w="88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L+450</w:t>
            </w:r>
          </w:p>
        </w:tc>
        <w:tc>
          <w:tcPr>
            <w:tcW w:w="6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5,366,227</w:t>
            </w:r>
          </w:p>
        </w:tc>
        <w:tc>
          <w:tcPr>
            <w:tcW w:w="82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5,306,494</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5,366,227</w:t>
            </w: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6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03/28/2019</w:t>
            </w:r>
          </w:p>
        </w:tc>
        <w:tc>
          <w:tcPr>
            <w:tcW w:w="186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12.00%</w:t>
            </w:r>
          </w:p>
        </w:tc>
        <w:tc>
          <w:tcPr>
            <w:tcW w:w="8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L+1,100</w:t>
            </w:r>
          </w:p>
        </w:tc>
        <w:tc>
          <w:tcPr>
            <w:tcW w:w="6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4,500,000</w:t>
            </w:r>
          </w:p>
        </w:tc>
        <w:tc>
          <w:tcPr>
            <w:tcW w:w="820" w:type="dxa"/>
            <w:vAlign w:val="bottom"/>
            <w:gridSpan w:val="3"/>
          </w:tcPr>
          <w:p>
            <w:pPr>
              <w:jc w:val="right"/>
              <w:ind w:right="100"/>
              <w:spacing w:after="0" w:line="121" w:lineRule="exact"/>
              <w:rPr>
                <w:sz w:val="20"/>
                <w:szCs w:val="20"/>
                <w:color w:val="auto"/>
              </w:rPr>
            </w:pPr>
            <w:r>
              <w:rPr>
                <w:rFonts w:ascii="Arial" w:cs="Arial" w:eastAsia="Arial" w:hAnsi="Arial"/>
                <w:sz w:val="13"/>
                <w:szCs w:val="13"/>
                <w:color w:val="auto"/>
              </w:rPr>
              <w:t>4,447,058</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06/30/2020</w:t>
            </w:r>
          </w:p>
        </w:tc>
        <w:tc>
          <w:tcPr>
            <w:tcW w:w="186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0"/>
              </w:rPr>
              <w:t>Construction and Building</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L+800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6,800,000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6,734,452</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6,800,000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07/30/2020</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L+700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5,000,000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4,901,996</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08/19/2019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6"/>
              </w:rPr>
              <w:t>Chemicals, Plastics and Rubber</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L+1,000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5,965,222</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5,874,403</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5,537,227</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07/17/2020</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Retail</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L+600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3,000,000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2,970,849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11/13/2020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1,965,012</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1,958,874</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1,943,731</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11/30/2018</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L+525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5,789,068</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5,735,375</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5,736,619</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(11)</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05/10/2021</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2,208,750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2,197,809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2,197,706</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05/10/2021</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Hotel, Gaming and Leisure</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L+450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285,000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283,588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283,575</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04/18/2022</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6"/>
              </w:rPr>
              <w:t>Chemicals, Plastics and Rubber</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L+425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1,995,000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1,985,364</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1,973,175</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07/31/2019</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L+525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8,917,647</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8,854,192</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8,566,559</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06/04/2021</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3,500,000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3,482,889</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3,491,250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PlayPower,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06/23/2021</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Construction and Building</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3,990,000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3,951,094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3,970,050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06/28/2019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9"/>
              </w:rPr>
              <w:t>11,482,697</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11,430,576</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11,425,283</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11/01/2018</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8,219,601</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8,131,135</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7,109,955</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05/20/2021</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9"/>
              </w:rPr>
              <w:t>Environmental Industries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7,470,287</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7,398,025</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7,470,287</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 (10)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05/20/2020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9"/>
              </w:rPr>
              <w:t>Environmental Industries</w:t>
            </w: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2,459,016</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12/17/2018</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Durable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7.75%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L+650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4,912,500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4,880,217</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4,914,563</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Research Now Group, Inc.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03/18/2021</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L+450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6,965,000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6,931,604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6,912,763</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06/18/2019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Durable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L+750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3,582,758</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3,557,217</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3,575,247</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Ryan,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08/07/2020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6"/>
              </w:rPr>
              <w:t>Business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6.75%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4,443,750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4,378,244</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4,382,648</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04/21/2017</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6"/>
              </w:rPr>
              <w:t>Aerospace and Defense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L+750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6,101,682</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5,946,657</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5,491,514</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08/09/2021</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Consumer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714,200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711,056</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714,200</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08/22/2018</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7.25%</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L+575</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9"/>
              </w:rPr>
              <w:t>10,037,432</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10,017,760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9,937,058</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12/16/2020</w:t>
            </w:r>
          </w:p>
        </w:tc>
        <w:tc>
          <w:tcPr>
            <w:tcW w:w="186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6"/>
              </w:rPr>
              <w:t>Business Services</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L+500</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6,218,750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6,171,308</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6,164,336</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10/18/2019</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High Tech Industries</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L+400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5,895,000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5,875,736</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5,895,000</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07/09/2021</w:t>
            </w:r>
          </w:p>
        </w:tc>
        <w:tc>
          <w:tcPr>
            <w:tcW w:w="186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Construction and Building</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5.75%</w:t>
            </w: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L+475</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4,950,000</w:t>
            </w:r>
          </w:p>
        </w:tc>
        <w:tc>
          <w:tcPr>
            <w:tcW w:w="8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4,906,969</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4,588,056</w:t>
            </w:r>
          </w:p>
        </w:tc>
        <w:tc>
          <w:tcPr>
            <w:tcW w:w="0" w:type="dxa"/>
            <w:vAlign w:val="bottom"/>
          </w:tcPr>
          <w:p>
            <w:pPr>
              <w:spacing w:after="0"/>
              <w:rPr>
                <w:sz w:val="1"/>
                <w:szCs w:val="1"/>
                <w:color w:val="auto"/>
              </w:rPr>
            </w:pPr>
          </w:p>
        </w:tc>
      </w:tr>
      <w:tr>
        <w:trPr>
          <w:trHeight w:val="135"/>
        </w:trPr>
        <w:tc>
          <w:tcPr>
            <w:tcW w:w="4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11/02/2020</w:t>
            </w:r>
          </w:p>
        </w:tc>
        <w:tc>
          <w:tcPr>
            <w:tcW w:w="186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6.50%</w:t>
            </w: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L+550</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1,990,000</w:t>
            </w: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1,814,920</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1,845,725</w:t>
            </w:r>
          </w:p>
        </w:tc>
        <w:tc>
          <w:tcPr>
            <w:tcW w:w="0" w:type="dxa"/>
            <w:vAlign w:val="bottom"/>
          </w:tcPr>
          <w:p>
            <w:pPr>
              <w:spacing w:after="0"/>
              <w:rPr>
                <w:sz w:val="1"/>
                <w:szCs w:val="1"/>
                <w:color w:val="auto"/>
              </w:rPr>
            </w:pPr>
          </w:p>
        </w:tc>
      </w:tr>
      <w:tr>
        <w:trPr>
          <w:trHeight w:val="121"/>
        </w:trPr>
        <w:tc>
          <w:tcPr>
            <w:tcW w:w="456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01/14/2019</w:t>
            </w:r>
          </w:p>
        </w:tc>
        <w:tc>
          <w:tcPr>
            <w:tcW w:w="1860" w:type="dxa"/>
            <w:vAlign w:val="bottom"/>
            <w:gridSpan w:val="2"/>
          </w:tcPr>
          <w:p>
            <w:pPr>
              <w:jc w:val="center"/>
              <w:ind w:right="20"/>
              <w:spacing w:after="0" w:line="121" w:lineRule="exact"/>
              <w:rPr>
                <w:sz w:val="20"/>
                <w:szCs w:val="20"/>
                <w:color w:val="auto"/>
              </w:rPr>
            </w:pPr>
            <w:r>
              <w:rPr>
                <w:rFonts w:ascii="Arial" w:cs="Arial" w:eastAsia="Arial" w:hAnsi="Arial"/>
                <w:sz w:val="13"/>
                <w:szCs w:val="13"/>
                <w:color w:val="auto"/>
                <w:w w:val="87"/>
              </w:rPr>
              <w:t>Telecommunications</w:t>
            </w:r>
          </w:p>
        </w:tc>
        <w:tc>
          <w:tcPr>
            <w:tcW w:w="8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9.50%</w:t>
            </w:r>
          </w:p>
        </w:tc>
        <w:tc>
          <w:tcPr>
            <w:tcW w:w="88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L+850</w:t>
            </w:r>
          </w:p>
        </w:tc>
        <w:tc>
          <w:tcPr>
            <w:tcW w:w="6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430,126</w:t>
            </w:r>
          </w:p>
        </w:tc>
        <w:tc>
          <w:tcPr>
            <w:tcW w:w="820" w:type="dxa"/>
            <w:vAlign w:val="bottom"/>
            <w:gridSpan w:val="3"/>
          </w:tcPr>
          <w:p>
            <w:pPr>
              <w:jc w:val="right"/>
              <w:ind w:right="100"/>
              <w:spacing w:after="0" w:line="121" w:lineRule="exact"/>
              <w:rPr>
                <w:sz w:val="20"/>
                <w:szCs w:val="20"/>
                <w:color w:val="auto"/>
              </w:rPr>
            </w:pPr>
            <w:r>
              <w:rPr>
                <w:rFonts w:ascii="Arial" w:cs="Arial" w:eastAsia="Arial" w:hAnsi="Arial"/>
                <w:sz w:val="13"/>
                <w:szCs w:val="13"/>
                <w:color w:val="auto"/>
              </w:rPr>
              <w:t>430,126</w:t>
            </w:r>
          </w:p>
        </w:tc>
        <w:tc>
          <w:tcPr>
            <w:tcW w:w="88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430,126</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(PIK 1.00%)</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72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w w:val="95"/>
              </w:rPr>
              <w:t>01/14/2019</w:t>
            </w:r>
          </w:p>
        </w:tc>
        <w:tc>
          <w:tcPr>
            <w:tcW w:w="1860" w:type="dxa"/>
            <w:vAlign w:val="bottom"/>
            <w:gridSpan w:val="2"/>
            <w:shd w:val="clear" w:color="auto" w:fill="CCEEFF"/>
          </w:tcPr>
          <w:p>
            <w:pPr>
              <w:jc w:val="center"/>
              <w:ind w:right="20"/>
              <w:spacing w:after="0" w:line="136" w:lineRule="exact"/>
              <w:rPr>
                <w:sz w:val="20"/>
                <w:szCs w:val="20"/>
                <w:color w:val="auto"/>
              </w:rPr>
            </w:pPr>
            <w:r>
              <w:rPr>
                <w:rFonts w:ascii="Arial" w:cs="Arial" w:eastAsia="Arial" w:hAnsi="Arial"/>
                <w:sz w:val="13"/>
                <w:szCs w:val="13"/>
                <w:color w:val="auto"/>
                <w:w w:val="87"/>
              </w:rPr>
              <w:t>Telecommunications</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8.50%</w:t>
            </w:r>
          </w:p>
        </w:tc>
        <w:tc>
          <w:tcPr>
            <w:tcW w:w="8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3"/>
                <w:szCs w:val="13"/>
                <w:color w:val="auto"/>
              </w:rPr>
              <w:t>L+750</w:t>
            </w: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599,702</w:t>
            </w:r>
          </w:p>
        </w:tc>
        <w:tc>
          <w:tcPr>
            <w:tcW w:w="82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548,736</w:t>
            </w:r>
          </w:p>
        </w:tc>
        <w:tc>
          <w:tcPr>
            <w:tcW w:w="8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569,717</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5"/>
              </w:rPr>
              <w:t>01/14/2019</w:t>
            </w:r>
          </w:p>
        </w:tc>
        <w:tc>
          <w:tcPr>
            <w:tcW w:w="1860" w:type="dxa"/>
            <w:vAlign w:val="bottom"/>
            <w:gridSpan w:val="2"/>
          </w:tcPr>
          <w:p>
            <w:pPr>
              <w:jc w:val="center"/>
              <w:ind w:right="20"/>
              <w:spacing w:after="0"/>
              <w:rPr>
                <w:sz w:val="20"/>
                <w:szCs w:val="20"/>
                <w:color w:val="auto"/>
              </w:rPr>
            </w:pPr>
            <w:r>
              <w:rPr>
                <w:rFonts w:ascii="Arial" w:cs="Arial" w:eastAsia="Arial" w:hAnsi="Arial"/>
                <w:sz w:val="13"/>
                <w:szCs w:val="13"/>
                <w:color w:val="auto"/>
                <w:w w:val="87"/>
              </w:rPr>
              <w:t>Telecommunications</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151,090</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 w:type="dxa"/>
            <w:vAlign w:val="bottom"/>
            <w:vMerge w:val="restart"/>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1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Coupon</w:t>
            </w:r>
          </w:p>
        </w:tc>
        <w:tc>
          <w:tcPr>
            <w:tcW w:w="3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2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(2)</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U.S. Farathane, LLC</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82"/>
              </w:rPr>
              <w:t>02/07/2022</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5"/>
              </w:rPr>
              <w:t>Automotive</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6.75%</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L+575</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3,800,641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3,729,952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3,807,672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08/13/2021</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3,121,094</w:t>
            </w:r>
          </w:p>
        </w:tc>
        <w:tc>
          <w:tcPr>
            <w:tcW w:w="0" w:type="dxa"/>
            <w:vAlign w:val="bottom"/>
          </w:tcPr>
          <w:p>
            <w:pPr>
              <w:spacing w:after="0"/>
              <w:rPr>
                <w:sz w:val="1"/>
                <w:szCs w:val="1"/>
                <w:color w:val="auto"/>
              </w:rPr>
            </w:pPr>
          </w:p>
        </w:tc>
      </w:tr>
      <w:tr>
        <w:trPr>
          <w:trHeight w:val="121"/>
        </w:trPr>
        <w:tc>
          <w:tcPr>
            <w:tcW w:w="4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Vistage Worldwide, Inc. </w:t>
            </w:r>
            <w:r>
              <w:rPr>
                <w:rFonts w:ascii="Arial" w:cs="Arial" w:eastAsia="Arial" w:hAnsi="Arial"/>
                <w:sz w:val="10"/>
                <w:szCs w:val="10"/>
                <w:color w:val="auto"/>
              </w:rPr>
              <w:t>(8)</w:t>
            </w:r>
          </w:p>
        </w:tc>
        <w:tc>
          <w:tcPr>
            <w:tcW w:w="8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08/19/2021</w:t>
            </w: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Media: Broadcasting and</w:t>
            </w:r>
          </w:p>
        </w:tc>
        <w:tc>
          <w:tcPr>
            <w:tcW w:w="9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6.50%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L+550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4,950,477</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Subscription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08/30/2018</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2,703,000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2,674,736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2,630,370</w:t>
            </w:r>
          </w:p>
        </w:tc>
        <w:tc>
          <w:tcPr>
            <w:tcW w:w="0" w:type="dxa"/>
            <w:vAlign w:val="bottom"/>
          </w:tcPr>
          <w:p>
            <w:pPr>
              <w:spacing w:after="0"/>
              <w:rPr>
                <w:sz w:val="1"/>
                <w:szCs w:val="1"/>
                <w:color w:val="auto"/>
              </w:rPr>
            </w:pPr>
          </w:p>
        </w:tc>
      </w:tr>
      <w:tr>
        <w:trPr>
          <w:trHeight w:val="121"/>
        </w:trPr>
        <w:tc>
          <w:tcPr>
            <w:tcW w:w="4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2560" w:type="dxa"/>
            <w:vAlign w:val="bottom"/>
            <w:gridSpan w:val="4"/>
            <w:shd w:val="clear" w:color="auto" w:fill="CCEEFF"/>
          </w:tcPr>
          <w:p>
            <w:pPr>
              <w:ind w:left="60"/>
              <w:spacing w:after="0" w:line="121" w:lineRule="exact"/>
              <w:rPr>
                <w:sz w:val="20"/>
                <w:szCs w:val="20"/>
                <w:color w:val="auto"/>
              </w:rPr>
            </w:pPr>
            <w:r>
              <w:rPr>
                <w:rFonts w:ascii="Arial" w:cs="Arial" w:eastAsia="Arial" w:hAnsi="Arial"/>
                <w:sz w:val="13"/>
                <w:szCs w:val="13"/>
                <w:color w:val="auto"/>
                <w:w w:val="93"/>
              </w:rPr>
              <w:t>10/30/2020   Banking, Finance, Insurance and</w:t>
            </w:r>
          </w:p>
        </w:tc>
        <w:tc>
          <w:tcPr>
            <w:tcW w:w="9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6,429,955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Real Estate</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335,790,073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332,180,834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Debt—12.8%</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10/31/2018</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919,155</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893,130</w:t>
            </w: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8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09/01/2017</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Metals and Mining</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11.50%</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950,000</w:t>
            </w: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12/31/2020</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5"/>
              </w:rPr>
              <w:t>Chemicals, Plastics and Rubber</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1,965,770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8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09/30/2020</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Wholesale</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10,423,463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10,670,000</w:t>
            </w: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07/31/2019</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3,938,373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4,040,000</w:t>
            </w: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8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07/07/2022</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Services</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10,750,000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10,589,814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10,723,125</w:t>
            </w: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07/07/2021</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5"/>
              </w:rPr>
              <w:t>10,902,202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10,780,000</w:t>
            </w:r>
          </w:p>
        </w:tc>
        <w:tc>
          <w:tcPr>
            <w:tcW w:w="0" w:type="dxa"/>
            <w:vAlign w:val="bottom"/>
          </w:tcPr>
          <w:p>
            <w:pPr>
              <w:spacing w:after="0"/>
              <w:rPr>
                <w:sz w:val="1"/>
                <w:szCs w:val="1"/>
                <w:color w:val="auto"/>
              </w:rPr>
            </w:pPr>
          </w:p>
        </w:tc>
      </w:tr>
      <w:tr>
        <w:trPr>
          <w:trHeight w:val="121"/>
        </w:trPr>
        <w:tc>
          <w:tcPr>
            <w:tcW w:w="4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8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10/02/2020</w:t>
            </w: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Media: Diversified and</w:t>
            </w:r>
          </w:p>
        </w:tc>
        <w:tc>
          <w:tcPr>
            <w:tcW w:w="9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5,252,824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5,194,116</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5,230,920</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Production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08/01/2017</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Energy: Oil and Gas</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2,812,500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2,697,607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2,615,625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47,630,500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47,902,800</w:t>
            </w: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Notes—1.5% </w:t>
            </w:r>
            <w:r>
              <w:rPr>
                <w:rFonts w:ascii="Arial" w:cs="Arial" w:eastAsia="Arial" w:hAnsi="Arial"/>
                <w:sz w:val="10"/>
                <w:szCs w:val="10"/>
                <w:b w:val="1"/>
                <w:bCs w:val="1"/>
                <w:color w:val="auto"/>
              </w:rPr>
              <w:t>(8)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09/14/2018</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4,786,483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4,361,551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1,818,864</w:t>
            </w: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Affinion Investments LLC</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08/15/2018</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2,484,000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2,146,500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1,664,280</w:t>
            </w:r>
          </w:p>
        </w:tc>
        <w:tc>
          <w:tcPr>
            <w:tcW w:w="0" w:type="dxa"/>
            <w:vAlign w:val="bottom"/>
          </w:tcPr>
          <w:p>
            <w:pPr>
              <w:spacing w:after="0"/>
              <w:rPr>
                <w:sz w:val="1"/>
                <w:szCs w:val="1"/>
                <w:color w:val="auto"/>
              </w:rPr>
            </w:pPr>
          </w:p>
        </w:tc>
      </w:tr>
      <w:tr>
        <w:trPr>
          <w:trHeight w:val="121"/>
        </w:trPr>
        <w:tc>
          <w:tcPr>
            <w:tcW w:w="4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8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10/26/2018</w:t>
            </w: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8"/>
              </w:rPr>
              <w:t>High Tech Industries</w:t>
            </w:r>
          </w:p>
        </w:tc>
        <w:tc>
          <w:tcPr>
            <w:tcW w:w="9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13.00%</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2,025,065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1,999,885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1,992,841</w:t>
            </w: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1.75%)</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42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80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07/15/2019</w:t>
            </w:r>
          </w:p>
        </w:tc>
        <w:tc>
          <w:tcPr>
            <w:tcW w:w="17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15.00%</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(PIK 15.00%)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8,634,195</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5,602,244</w:t>
            </w: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8.00%</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399,704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455,490</w:t>
            </w: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13.50%</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1,047,317</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691,115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1,069,987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1,146,605</w:t>
            </w: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Equity/Warrants—0.5%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118,817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674,296</w:t>
            </w: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12/12/2023</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554,715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1,186,649</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291,226</w:t>
            </w: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8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12/12/2023</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1,135,743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Construction and Building</w:t>
            </w:r>
          </w:p>
        </w:tc>
        <w:tc>
          <w:tcPr>
            <w:tcW w:w="9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45,761</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52,466</w:t>
            </w: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215,689</w:t>
            </w:r>
          </w:p>
        </w:tc>
        <w:tc>
          <w:tcPr>
            <w:tcW w:w="0" w:type="dxa"/>
            <w:vAlign w:val="bottom"/>
          </w:tcPr>
          <w:p>
            <w:pPr>
              <w:spacing w:after="0"/>
              <w:rPr>
                <w:sz w:val="1"/>
                <w:szCs w:val="1"/>
                <w:color w:val="auto"/>
              </w:rPr>
            </w:pPr>
          </w:p>
        </w:tc>
      </w:tr>
      <w:tr>
        <w:trPr>
          <w:trHeight w:val="121"/>
        </w:trPr>
        <w:tc>
          <w:tcPr>
            <w:tcW w:w="442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2560" w:type="dxa"/>
            <w:vAlign w:val="bottom"/>
            <w:gridSpan w:val="4"/>
          </w:tcPr>
          <w:p>
            <w:pPr>
              <w:ind w:left="60"/>
              <w:spacing w:after="0" w:line="121" w:lineRule="exact"/>
              <w:rPr>
                <w:sz w:val="20"/>
                <w:szCs w:val="20"/>
                <w:color w:val="auto"/>
              </w:rPr>
            </w:pPr>
            <w:r>
              <w:rPr>
                <w:rFonts w:ascii="Arial" w:cs="Arial" w:eastAsia="Arial" w:hAnsi="Arial"/>
                <w:sz w:val="13"/>
                <w:szCs w:val="13"/>
                <w:color w:val="auto"/>
                <w:w w:val="93"/>
              </w:rPr>
              <w:t>11/27/2023   Banking, Finance, Insurance and</w:t>
            </w:r>
          </w:p>
        </w:tc>
        <w:tc>
          <w:tcPr>
            <w:tcW w:w="9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14,484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28,002</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190,609</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Real Estate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149,617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420" w:type="dxa"/>
            <w:vAlign w:val="bottom"/>
            <w:gridSpan w:val="2"/>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2"/>
              </w:rPr>
              <w:t>Media: Advertising, Printing</w:t>
            </w:r>
          </w:p>
        </w:tc>
        <w:tc>
          <w:tcPr>
            <w:tcW w:w="9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15,179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56,895</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255,899</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2"/>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1,436,420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1,702,900</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394,561,175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388,535,383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Investments in Controlled, Affiliated Portfolio Companies—0.7%</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First Lien Secured Debt—0.7%</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 (12)</w:t>
            </w:r>
          </w:p>
        </w:tc>
        <w:tc>
          <w:tcPr>
            <w:tcW w:w="8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12/30/2016</w:t>
            </w: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Media: Broadcasting and</w:t>
            </w:r>
          </w:p>
        </w:tc>
        <w:tc>
          <w:tcPr>
            <w:tcW w:w="9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4.33%</w:t>
            </w:r>
          </w:p>
        </w:tc>
        <w:tc>
          <w:tcPr>
            <w:tcW w:w="8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3,702,009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2,777,132</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2,776,507</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Subscription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Investments—104.9%</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397,338,307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391,311,890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Equivalents—5.8%</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35" w:lineRule="exact"/>
              <w:rPr>
                <w:sz w:val="20"/>
                <w:szCs w:val="20"/>
                <w:color w:val="auto"/>
              </w:rPr>
            </w:pPr>
            <w:r>
              <w:rPr>
                <w:rFonts w:ascii="Arial" w:cs="Arial" w:eastAsia="Arial" w:hAnsi="Arial"/>
                <w:sz w:val="13"/>
                <w:szCs w:val="13"/>
                <w:color w:val="auto"/>
                <w:w w:val="99"/>
              </w:rPr>
              <w:t>BlackRock Liquidity Funds, Temp Cash and Temp Fund, Institutional Shares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Equivalents—110.7%</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5"/>
              </w:rPr>
              <w:t>418,766,821</w:t>
            </w: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412,740,404</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Assets—(10.7)%</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w w:val="84"/>
              </w:rPr>
              <w:t>(39,849,955)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372,890,449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3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1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3" w:lineRule="exact"/>
        <w:rPr>
          <w:sz w:val="20"/>
          <w:szCs w:val="20"/>
          <w:color w:val="auto"/>
        </w:rPr>
      </w:pPr>
    </w:p>
    <w:p>
      <w:pPr>
        <w:ind w:left="340" w:hanging="332"/>
        <w:spacing w:after="0" w:line="248" w:lineRule="auto"/>
        <w:tabs>
          <w:tab w:leader="none" w:pos="340" w:val="left"/>
        </w:tabs>
        <w:numPr>
          <w:ilvl w:val="0"/>
          <w:numId w:val="34"/>
        </w:numPr>
        <w:rPr>
          <w:rFonts w:ascii="Arial" w:cs="Arial" w:eastAsia="Arial" w:hAnsi="Arial"/>
          <w:sz w:val="11"/>
          <w:szCs w:val="11"/>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payment-in-kind, or PIK, interest and other fee rates, if any.</w:t>
      </w:r>
    </w:p>
    <w:p>
      <w:pPr>
        <w:ind w:left="34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Valued based on our accounting policy (see Note 2).</w:t>
      </w:r>
    </w:p>
    <w:p>
      <w:pPr>
        <w:ind w:left="340" w:right="180" w:hanging="332"/>
        <w:spacing w:after="0" w:line="238" w:lineRule="auto"/>
        <w:tabs>
          <w:tab w:leader="none" w:pos="340" w:val="left"/>
        </w:tabs>
        <w:numPr>
          <w:ilvl w:val="0"/>
          <w:numId w:val="34"/>
        </w:numPr>
        <w:rPr>
          <w:rFonts w:ascii="Arial" w:cs="Arial" w:eastAsia="Arial" w:hAnsi="Arial"/>
          <w:sz w:val="11"/>
          <w:szCs w:val="11"/>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0" w:hanging="332"/>
        <w:spacing w:after="0" w:line="238" w:lineRule="auto"/>
        <w:tabs>
          <w:tab w:leader="none" w:pos="340" w:val="left"/>
        </w:tabs>
        <w:numPr>
          <w:ilvl w:val="0"/>
          <w:numId w:val="34"/>
        </w:numPr>
        <w:rPr>
          <w:rFonts w:ascii="Arial" w:cs="Arial" w:eastAsia="Arial" w:hAnsi="Arial"/>
          <w:sz w:val="11"/>
          <w:szCs w:val="11"/>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40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 and held through Funding I.</w:t>
      </w:r>
    </w:p>
    <w:p>
      <w:pPr>
        <w:ind w:left="34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Coupon is not subject to a LIBOR or Prime rate floor.</w:t>
      </w:r>
    </w:p>
    <w:p>
      <w:pPr>
        <w:ind w:left="340" w:right="2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Represents the purchase of a security with delayed settlement or a revolving line of credit that is currently an unfunded investment. This security does not earn a basis point spread above an index while it is unfunded.</w:t>
      </w:r>
    </w:p>
    <w:p>
      <w:pPr>
        <w:ind w:left="340" w:right="40" w:hanging="332"/>
        <w:spacing w:after="0" w:line="221"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Became a controlled affiliate during the quarter ended September 30,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00"/>
          </w:cols>
          <w:pgMar w:left="32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8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84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Maturity</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Coupon</w:t>
            </w: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47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4"/>
              </w:rPr>
              <w:t xml:space="preserve">Investments in Non-Controlled, Non-Affiliated Portfolio Companies—162.4% </w:t>
            </w:r>
            <w:r>
              <w:rPr>
                <w:rFonts w:ascii="Arial" w:cs="Arial" w:eastAsia="Arial" w:hAnsi="Arial"/>
                <w:sz w:val="10"/>
                <w:szCs w:val="10"/>
                <w:b w:val="1"/>
                <w:bCs w:val="1"/>
                <w:color w:val="auto"/>
                <w:w w:val="94"/>
              </w:rPr>
              <w:t>(3), (4)</w:t>
            </w:r>
          </w:p>
        </w:tc>
        <w:tc>
          <w:tcPr>
            <w:tcW w:w="1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Debt—141.0%</w:t>
            </w:r>
          </w:p>
        </w:tc>
        <w:tc>
          <w:tcPr>
            <w:tcW w:w="14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04/02/2018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11.92%</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9,060,104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$ 8,865,835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9,167,028</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(10)</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04/02/2018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8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2,000,000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2,023,603</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02/28/2019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7,334,751</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7,289,756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7,261,403</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05/23/2018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2,764,276</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2,738,582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2,781,553</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Ancile Solutions,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07/16/2018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4,333,333</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4,299,220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4,327,917</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12/21/2020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L+825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1,389,500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1,351,463</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1,396,447</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Ascend Learning, LLC</w:t>
            </w:r>
          </w:p>
        </w:tc>
        <w:tc>
          <w:tcPr>
            <w:tcW w:w="14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07/31/2019</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L+500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3,476,244</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3,463,094</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3,479,720</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Aspen Dental Management,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10/06/2016</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2,917,500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2,900,680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2,902,912</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ATI Holdings,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12/20/2019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2,947,500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2,924,974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2,956,107</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11/15/2018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5,293,750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5,228,951</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5,240,812</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BBB Industries,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03/27/2019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3,023,140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3,004,531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3,005,515</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06/29/2020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4,927,548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09/17/2021</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L+625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8,000,000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7,880,197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7,970,000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07/02/2020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4,957,132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5,087,500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12/24/2019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4,477,500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4,416,233</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01/08/2019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L+600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4,975,000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4,928,906</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Creative Circle, LLC</w:t>
            </w:r>
          </w:p>
        </w:tc>
        <w:tc>
          <w:tcPr>
            <w:tcW w:w="14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06/25/2020</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L+450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5,900,000</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5,843,227</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5,811,500</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LLC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06/08/2020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1,995,000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1,947,166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1,963,419</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03/19/2018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3,253,740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3,218,698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3,172,396</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Edmentum, Inc.</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05/17/2018</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L+450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924,982</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924,982</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915,732</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eResearchTechnology,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05/02/2018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2,858,864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2,847,367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2,855,291</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e-Rewards,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10/29/2018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9,812,500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9,652,736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9,665,312</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01/09/2018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4,258,929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4,226,747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4,258,929</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Fishnet Security,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11/30/2017</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3,610,688</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3,591,818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3,592,634</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05/31/2019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3,970,000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3,934,577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3,840,975</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05/23/2018</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1,096,930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1,094,839</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1,094,188</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11/04/2020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6,947,500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6,888,768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6,912,762</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Help/Systems Holdings,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06/28/2019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4,950,000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4,909,380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4,894,312</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10/21/2020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1,182,000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1,182,000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12/13/2019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4,906,250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4,864,869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4,881,719</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08/05/2019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6,931,037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6,912,500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 (8)</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03/30/2017</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96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1,977,245</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2,167,500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05/01/2019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L+600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12,409,413</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12,270,960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11,788,942</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InfuSystem Holdings,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11/30/2016</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13.16%</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P+992</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1,500,000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1,535,715</w:t>
            </w: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4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03/28/2019</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L+450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5,453,617</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5,377,967</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5,453,617</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03/28/2019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L+1,100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4,436,038</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10/16/2017</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5,140,179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5,059,028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5,114,478</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08/19/2019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L+900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6,157,648</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6,048,214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6,064,275</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11/13/2020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1,985,004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1,977,359</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1,967,635</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11/30/2018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L+525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5,925,000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5,855,212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5,821,312</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Meritas Schools Holdings,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06/25/2019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2,505,285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2,484,597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2,506,864</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National Surgical Hospitals,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08/01/2019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L+425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8,130,872</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8,111,416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8,090,218</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07/31/2019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9,900,000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9,817,130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9,809,217</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11/27/2018</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12.50%</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L+1,150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13,293,846</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12,716,069</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13,426,785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w:t>
            </w: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06/28/2019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7,717,766</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7,653,621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7,669,530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11/01/2018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8,303,261</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8,187,838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8,220,228</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12/17/2018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L+650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4,962,500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4,921,444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4,970,787</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RCS Capital Corporation</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04/29/2019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4,937,500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4,891,688</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4,956,016</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14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06/18/2019</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86"/>
              </w:rPr>
              <w:t>Consumer Goods: Durable</w:t>
            </w:r>
          </w:p>
        </w:tc>
        <w:tc>
          <w:tcPr>
            <w:tcW w:w="88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L+750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3,294,118</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3,262,700</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3,288,278</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rPr>
                <w:sz w:val="20"/>
                <w:szCs w:val="20"/>
                <w:color w:val="auto"/>
              </w:rPr>
            </w:pPr>
            <w:r>
              <w:rPr>
                <w:rFonts w:ascii="Arial" w:cs="Arial" w:eastAsia="Arial" w:hAnsi="Arial"/>
                <w:sz w:val="13"/>
                <w:szCs w:val="13"/>
                <w:color w:val="auto"/>
              </w:rPr>
              <w:t>(f/k/a Fox US Bidco Corp.)</w:t>
            </w:r>
          </w:p>
        </w:tc>
        <w:tc>
          <w:tcPr>
            <w:tcW w:w="1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Robertshaw US Holding Corp.</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06/18/2019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Consumer Goods: Durable</w:t>
            </w:r>
          </w:p>
        </w:tc>
        <w:tc>
          <w:tcPr>
            <w:tcW w:w="88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705,882</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705,882</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704,631</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(10)</w:t>
            </w:r>
          </w:p>
        </w:tc>
        <w:tc>
          <w:tcPr>
            <w:tcW w:w="14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SCE Partners, LLC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08/14/2019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11,898,121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Securus Technologies Holdings,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04/30/2020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L+350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1,980,002</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1,963,277</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1,955,252</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04/21/2017</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6,643,409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6,382,042</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5,979,068</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08/09/2021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1,990,000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2,002,500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08/22/2018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3,375,000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3,347,830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3,366,563</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Sutherland Global Services, Inc.</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03/06/2019</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L+600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925,000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910,694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922,688</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10/18/2019</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5,955,000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5,931,546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5,910,338</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14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07/09/2021</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4,950,448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4,968,750</w:t>
            </w:r>
          </w:p>
        </w:tc>
        <w:tc>
          <w:tcPr>
            <w:tcW w:w="0" w:type="dxa"/>
            <w:vAlign w:val="bottom"/>
          </w:tcPr>
          <w:p>
            <w:pPr>
              <w:spacing w:after="0"/>
              <w:rPr>
                <w:sz w:val="1"/>
                <w:szCs w:val="1"/>
                <w:color w:val="auto"/>
              </w:rPr>
            </w:pP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3"/>
                <w:szCs w:val="13"/>
                <w:color w:val="auto"/>
              </w:rPr>
              <w:t>Therakos, Inc.</w:t>
            </w:r>
          </w:p>
        </w:tc>
        <w:tc>
          <w:tcPr>
            <w:tcW w:w="14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12/27/2017</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L+625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4,843,177</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4,775,215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4,861,339</w:t>
            </w:r>
          </w:p>
        </w:tc>
        <w:tc>
          <w:tcPr>
            <w:tcW w:w="0" w:type="dxa"/>
            <w:vAlign w:val="bottom"/>
          </w:tcPr>
          <w:p>
            <w:pPr>
              <w:spacing w:after="0"/>
              <w:rPr>
                <w:sz w:val="1"/>
                <w:szCs w:val="1"/>
                <w:color w:val="auto"/>
              </w:rPr>
            </w:pPr>
          </w:p>
        </w:tc>
      </w:tr>
      <w:tr>
        <w:trPr>
          <w:trHeight w:val="121"/>
        </w:trPr>
        <w:tc>
          <w:tcPr>
            <w:tcW w:w="3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4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04/15/2016</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88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12.25%</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L+1,125</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135,817</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135,817</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135,817</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7.25%)</w:t>
            </w: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20"/>
                <w:szCs w:val="20"/>
                <w:color w:val="auto"/>
              </w:rPr>
            </w:pPr>
            <w:r>
              <w:rPr>
                <w:rFonts w:ascii="Arial" w:cs="Arial" w:eastAsia="Arial" w:hAnsi="Arial"/>
                <w:sz w:val="13"/>
                <w:szCs w:val="13"/>
                <w:color w:val="auto"/>
              </w:rPr>
              <w:t>UniTek Global Services, Inc.</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04/16/2018</w:t>
            </w:r>
          </w:p>
        </w:tc>
        <w:tc>
          <w:tcPr>
            <w:tcW w:w="1920" w:type="dxa"/>
            <w:vAlign w:val="bottom"/>
          </w:tcPr>
          <w:p>
            <w:pPr>
              <w:jc w:val="center"/>
              <w:spacing w:after="0"/>
              <w:rPr>
                <w:sz w:val="20"/>
                <w:szCs w:val="20"/>
                <w:color w:val="auto"/>
              </w:rPr>
            </w:pPr>
            <w:r>
              <w:rPr>
                <w:rFonts w:ascii="Arial" w:cs="Arial" w:eastAsia="Arial" w:hAnsi="Arial"/>
                <w:sz w:val="13"/>
                <w:szCs w:val="13"/>
                <w:color w:val="auto"/>
                <w:w w:val="87"/>
              </w:rPr>
              <w:t>Telecommunications</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2,184,319</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2,150,875</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1,332,435</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Spread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ind w:left="580"/>
              <w:spacing w:after="0" w:line="135" w:lineRule="exact"/>
              <w:rPr>
                <w:sz w:val="20"/>
                <w:szCs w:val="20"/>
                <w:color w:val="auto"/>
              </w:rPr>
            </w:pPr>
            <w:r>
              <w:rPr>
                <w:rFonts w:ascii="Arial" w:cs="Arial" w:eastAsia="Arial" w:hAnsi="Arial"/>
                <w:sz w:val="13"/>
                <w:szCs w:val="13"/>
                <w:b w:val="1"/>
                <w:bCs w:val="1"/>
                <w:color w:val="auto"/>
              </w:rPr>
              <w:t>Industry</w:t>
            </w:r>
          </w:p>
        </w:tc>
        <w:tc>
          <w:tcPr>
            <w:tcW w:w="1000" w:type="dxa"/>
            <w:vAlign w:val="bottom"/>
            <w:gridSpan w:val="2"/>
          </w:tcPr>
          <w:p>
            <w:pPr>
              <w:jc w:val="right"/>
              <w:ind w:right="402"/>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Above</w:t>
            </w:r>
          </w:p>
        </w:tc>
        <w:tc>
          <w:tcPr>
            <w:tcW w:w="7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Par /</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continue"/>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Maturity</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2"/>
              <w:spacing w:after="0"/>
              <w:rPr>
                <w:sz w:val="20"/>
                <w:szCs w:val="20"/>
                <w:color w:val="auto"/>
              </w:rPr>
            </w:pPr>
            <w:r>
              <w:rPr>
                <w:rFonts w:ascii="Arial" w:cs="Arial" w:eastAsia="Arial" w:hAnsi="Arial"/>
                <w:sz w:val="13"/>
                <w:szCs w:val="13"/>
                <w:b w:val="1"/>
                <w:bCs w:val="1"/>
                <w:color w:val="auto"/>
              </w:rPr>
              <w:t>Coupon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(1)</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4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10"/>
                <w:szCs w:val="10"/>
                <w:color w:val="auto"/>
              </w:rPr>
              <w:t>(8)</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82"/>
              </w:rPr>
              <w:t>12/22/2016</w:t>
            </w:r>
          </w:p>
        </w:tc>
        <w:tc>
          <w:tcPr>
            <w:tcW w:w="26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4"/>
              </w:rPr>
              <w:t>Business Services</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7.26</w:t>
            </w:r>
          </w:p>
        </w:tc>
        <w:tc>
          <w:tcPr>
            <w:tcW w:w="380" w:type="dxa"/>
            <w:vAlign w:val="bottom"/>
            <w:tcBorders>
              <w:top w:val="single" w:sz="8" w:color="CCEEFF"/>
            </w:tcBorders>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w w:val="74"/>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L+550</w:t>
            </w: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2,925,663</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2,915,553</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2,157,677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Wilton Brands, LLC</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08/30/2018</w:t>
            </w:r>
          </w:p>
        </w:tc>
        <w:tc>
          <w:tcPr>
            <w:tcW w:w="148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Consumer Goods: Non-</w:t>
            </w:r>
          </w:p>
        </w:tc>
        <w:tc>
          <w:tcPr>
            <w:tcW w:w="1000" w:type="dxa"/>
            <w:vAlign w:val="bottom"/>
            <w:gridSpan w:val="2"/>
          </w:tcPr>
          <w:p>
            <w:pPr>
              <w:jc w:val="right"/>
              <w:ind w:right="222"/>
              <w:spacing w:after="0" w:line="121" w:lineRule="exact"/>
              <w:rPr>
                <w:sz w:val="20"/>
                <w:szCs w:val="20"/>
                <w:color w:val="auto"/>
              </w:rPr>
            </w:pPr>
            <w:r>
              <w:rPr>
                <w:rFonts w:ascii="Arial" w:cs="Arial" w:eastAsia="Arial" w:hAnsi="Arial"/>
                <w:sz w:val="13"/>
                <w:szCs w:val="13"/>
                <w:color w:val="auto"/>
              </w:rPr>
              <w:t>7.50%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L+625</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3,017,653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2,977,186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2,844,138</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YP LLC</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06/04/2018</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2"/>
              </w:rPr>
              <w:t>Media: Advertising,</w:t>
            </w:r>
          </w:p>
        </w:tc>
        <w:tc>
          <w:tcPr>
            <w:tcW w:w="100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8.00%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L+675</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3,224,845</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3,160,701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3,230,907</w:t>
            </w:r>
          </w:p>
        </w:tc>
        <w:tc>
          <w:tcPr>
            <w:tcW w:w="0" w:type="dxa"/>
            <w:vAlign w:val="bottom"/>
          </w:tcPr>
          <w:p>
            <w:pPr>
              <w:spacing w:after="0"/>
              <w:rPr>
                <w:sz w:val="1"/>
                <w:szCs w:val="1"/>
                <w:color w:val="auto"/>
              </w:rPr>
            </w:pPr>
          </w:p>
        </w:tc>
      </w:tr>
      <w:tr>
        <w:trPr>
          <w:trHeight w:val="135"/>
        </w:trPr>
        <w:tc>
          <w:tcPr>
            <w:tcW w:w="4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Printing and</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Zest Holdings, LLC</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08/17/2020</w:t>
            </w:r>
          </w:p>
        </w:tc>
        <w:tc>
          <w:tcPr>
            <w:tcW w:w="148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6"/>
              </w:rPr>
              <w:t>Healthcare and</w:t>
            </w:r>
          </w:p>
        </w:tc>
        <w:tc>
          <w:tcPr>
            <w:tcW w:w="1000" w:type="dxa"/>
            <w:vAlign w:val="bottom"/>
            <w:gridSpan w:val="2"/>
          </w:tcPr>
          <w:p>
            <w:pPr>
              <w:jc w:val="right"/>
              <w:ind w:right="222"/>
              <w:spacing w:after="0" w:line="121" w:lineRule="exact"/>
              <w:rPr>
                <w:sz w:val="20"/>
                <w:szCs w:val="20"/>
                <w:color w:val="auto"/>
              </w:rPr>
            </w:pPr>
            <w:r>
              <w:rPr>
                <w:rFonts w:ascii="Arial" w:cs="Arial" w:eastAsia="Arial" w:hAnsi="Arial"/>
                <w:sz w:val="13"/>
                <w:szCs w:val="13"/>
                <w:color w:val="auto"/>
              </w:rPr>
              <w:t>5.25%</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L+425</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8,910,169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8,910,169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8,910,169</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85"/>
              </w:rPr>
              <w:t>Pharmaceuticals</w:t>
            </w: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5"/>
              </w:rPr>
              <w:t>302,889,195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302,565,355</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Debt—17.0%</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8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09/01/2017</w:t>
            </w:r>
          </w:p>
        </w:tc>
        <w:tc>
          <w:tcPr>
            <w:tcW w:w="14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Metals and Mining</w:t>
            </w:r>
          </w:p>
        </w:tc>
        <w:tc>
          <w:tcPr>
            <w:tcW w:w="1000" w:type="dxa"/>
            <w:vAlign w:val="bottom"/>
            <w:gridSpan w:val="2"/>
            <w:shd w:val="clear" w:color="auto" w:fill="CCEEFF"/>
          </w:tcPr>
          <w:p>
            <w:pPr>
              <w:jc w:val="right"/>
              <w:ind w:right="222"/>
              <w:spacing w:after="0" w:line="135" w:lineRule="exact"/>
              <w:rPr>
                <w:sz w:val="20"/>
                <w:szCs w:val="20"/>
                <w:color w:val="auto"/>
              </w:rPr>
            </w:pPr>
            <w:r>
              <w:rPr>
                <w:rFonts w:ascii="Arial" w:cs="Arial" w:eastAsia="Arial" w:hAnsi="Arial"/>
                <w:sz w:val="13"/>
                <w:szCs w:val="13"/>
                <w:color w:val="auto"/>
              </w:rPr>
              <w:t>11.50%</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1,080,000</w:t>
            </w: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Cannery Casino Resorts, LLC </w:t>
            </w:r>
            <w:r>
              <w:rPr>
                <w:rFonts w:ascii="Arial" w:cs="Arial" w:eastAsia="Arial" w:hAnsi="Arial"/>
                <w:sz w:val="10"/>
                <w:szCs w:val="10"/>
                <w:color w:val="auto"/>
              </w:rPr>
              <w:t>(8)</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10/02/2019</w:t>
            </w:r>
          </w:p>
        </w:tc>
        <w:tc>
          <w:tcPr>
            <w:tcW w:w="148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8"/>
              </w:rPr>
              <w:t>Hotel, Gaming and</w:t>
            </w:r>
          </w:p>
        </w:tc>
        <w:tc>
          <w:tcPr>
            <w:tcW w:w="1000" w:type="dxa"/>
            <w:vAlign w:val="bottom"/>
            <w:gridSpan w:val="2"/>
          </w:tcPr>
          <w:p>
            <w:pPr>
              <w:jc w:val="right"/>
              <w:ind w:right="222"/>
              <w:spacing w:after="0" w:line="121"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L+875</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1,700,000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1,675,421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1,687,250</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Leisure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Carolina Beverage Group, LLC </w:t>
            </w:r>
            <w:r>
              <w:rPr>
                <w:rFonts w:ascii="Arial" w:cs="Arial" w:eastAsia="Arial" w:hAnsi="Arial"/>
                <w:sz w:val="10"/>
                <w:szCs w:val="10"/>
                <w:color w:val="auto"/>
              </w:rPr>
              <w:t>(5), (8)</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08/01/2018</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6"/>
              </w:rPr>
              <w:t>Beverage, Food and</w:t>
            </w:r>
          </w:p>
        </w:tc>
        <w:tc>
          <w:tcPr>
            <w:tcW w:w="100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10.63%</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3,500,000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3,613,750</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4"/>
              </w:rPr>
              <w:t>Tobacco</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07/31/2019</w:t>
            </w:r>
          </w:p>
        </w:tc>
        <w:tc>
          <w:tcPr>
            <w:tcW w:w="14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tcPr>
          <w:p>
            <w:pPr>
              <w:jc w:val="right"/>
              <w:ind w:right="222"/>
              <w:spacing w:after="0" w:line="121"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L+1,000</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4,000,000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3,926,394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4,059,524</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8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12/20/2016</w:t>
            </w:r>
          </w:p>
        </w:tc>
        <w:tc>
          <w:tcPr>
            <w:tcW w:w="14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1000" w:type="dxa"/>
            <w:vAlign w:val="bottom"/>
            <w:gridSpan w:val="2"/>
            <w:shd w:val="clear" w:color="auto" w:fill="CCEEFF"/>
          </w:tcPr>
          <w:p>
            <w:pPr>
              <w:jc w:val="right"/>
              <w:ind w:right="222"/>
              <w:spacing w:after="0" w:line="135" w:lineRule="exact"/>
              <w:rPr>
                <w:sz w:val="20"/>
                <w:szCs w:val="20"/>
                <w:color w:val="auto"/>
              </w:rPr>
            </w:pPr>
            <w:r>
              <w:rPr>
                <w:rFonts w:ascii="Arial" w:cs="Arial" w:eastAsia="Arial" w:hAnsi="Arial"/>
                <w:sz w:val="13"/>
                <w:szCs w:val="13"/>
                <w:color w:val="auto"/>
              </w:rPr>
              <w:t>10.50%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L+875</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7,100,000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7,026,077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7,023,107</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07/07/2021</w:t>
            </w: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11.75%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9"/>
              </w:rPr>
              <w:t>11,000,000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5"/>
              </w:rPr>
              <w:t>10,893,446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10,780,000</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10/02/2020</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Media: Diversified and</w:t>
            </w:r>
          </w:p>
        </w:tc>
        <w:tc>
          <w:tcPr>
            <w:tcW w:w="100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5,600,000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5,527,495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5,593,000</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6"/>
              </w:rPr>
              <w:t>Production</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w:t>
            </w:r>
          </w:p>
        </w:tc>
        <w:tc>
          <w:tcPr>
            <w:tcW w:w="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08/01/2017</w:t>
            </w: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Energy: Oil and Gas</w:t>
            </w:r>
          </w:p>
        </w:tc>
        <w:tc>
          <w:tcPr>
            <w:tcW w:w="1000" w:type="dxa"/>
            <w:vAlign w:val="bottom"/>
            <w:gridSpan w:val="2"/>
          </w:tcPr>
          <w:p>
            <w:pPr>
              <w:jc w:val="right"/>
              <w:ind w:right="222"/>
              <w:spacing w:after="0" w:line="135"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2,812,500</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2,645,114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2,638,153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36,193,947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36,474,784</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Notes—3.3% </w:t>
            </w:r>
            <w:r>
              <w:rPr>
                <w:rFonts w:ascii="Arial" w:cs="Arial" w:eastAsia="Arial" w:hAnsi="Arial"/>
                <w:sz w:val="10"/>
                <w:szCs w:val="10"/>
                <w:b w:val="1"/>
                <w:bCs w:val="1"/>
                <w:color w:val="auto"/>
              </w:rPr>
              <w:t>(8)</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09/14/2018</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14.50%</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4,161,233</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3,639,478</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3,537,048</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Durable</w:t>
            </w:r>
          </w:p>
        </w:tc>
        <w:tc>
          <w:tcPr>
            <w:tcW w:w="100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w w:val="95"/>
              </w:rPr>
              <w:t>(PIK 14.50%)</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08/15/2018</w:t>
            </w:r>
          </w:p>
        </w:tc>
        <w:tc>
          <w:tcPr>
            <w:tcW w:w="14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tcPr>
          <w:p>
            <w:pPr>
              <w:jc w:val="right"/>
              <w:ind w:right="222"/>
              <w:spacing w:after="0" w:line="121" w:lineRule="exact"/>
              <w:rPr>
                <w:sz w:val="20"/>
                <w:szCs w:val="20"/>
                <w:color w:val="auto"/>
              </w:rPr>
            </w:pPr>
            <w:r>
              <w:rPr>
                <w:rFonts w:ascii="Arial" w:cs="Arial" w:eastAsia="Arial" w:hAnsi="Arial"/>
                <w:sz w:val="13"/>
                <w:szCs w:val="13"/>
                <w:color w:val="auto"/>
              </w:rPr>
              <w:t>13.50%</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1,734,000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1,734,000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1,612,620</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10/26/2018</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shd w:val="clear" w:color="auto" w:fill="CCEEFF"/>
          </w:tcPr>
          <w:p>
            <w:pPr>
              <w:jc w:val="right"/>
              <w:ind w:right="222"/>
              <w:spacing w:after="0" w:line="121" w:lineRule="exact"/>
              <w:rPr>
                <w:sz w:val="20"/>
                <w:szCs w:val="20"/>
                <w:color w:val="auto"/>
              </w:rPr>
            </w:pPr>
            <w:r>
              <w:rPr>
                <w:rFonts w:ascii="Arial" w:cs="Arial" w:eastAsia="Arial" w:hAnsi="Arial"/>
                <w:sz w:val="13"/>
                <w:szCs w:val="13"/>
                <w:color w:val="auto"/>
              </w:rPr>
              <w:t>12.50%</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1,993,762</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1,961,974</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1,924,017</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rPr>
              <w:t>(PIK 1.25%)</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7,335,452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7,073,685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Equity—0.2% </w:t>
            </w:r>
            <w:r>
              <w:rPr>
                <w:rFonts w:ascii="Arial" w:cs="Arial" w:eastAsia="Arial" w:hAnsi="Arial"/>
                <w:sz w:val="10"/>
                <w:szCs w:val="10"/>
                <w:b w:val="1"/>
                <w:bCs w:val="1"/>
                <w:color w:val="auto"/>
              </w:rPr>
              <w:t>(7), (8)</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8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tcPr>
          <w:p>
            <w:pPr>
              <w:jc w:val="right"/>
              <w:ind w:right="222"/>
              <w:spacing w:after="0" w:line="121" w:lineRule="exact"/>
              <w:rPr>
                <w:sz w:val="20"/>
                <w:szCs w:val="20"/>
                <w:color w:val="auto"/>
              </w:rPr>
            </w:pPr>
            <w:r>
              <w:rPr>
                <w:rFonts w:ascii="Arial" w:cs="Arial" w:eastAsia="Arial" w:hAnsi="Arial"/>
                <w:sz w:val="13"/>
                <w:szCs w:val="13"/>
                <w:color w:val="auto"/>
              </w:rPr>
              <w:t>8.00%</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399,704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421,215</w:t>
            </w:r>
          </w:p>
        </w:tc>
        <w:tc>
          <w:tcPr>
            <w:tcW w:w="0" w:type="dxa"/>
            <w:vAlign w:val="bottom"/>
          </w:tcPr>
          <w:p>
            <w:pPr>
              <w:spacing w:after="0"/>
              <w:rPr>
                <w:sz w:val="1"/>
                <w:szCs w:val="1"/>
                <w:color w:val="auto"/>
              </w:rPr>
            </w:pPr>
          </w:p>
        </w:tc>
      </w:tr>
      <w:tr>
        <w:trPr>
          <w:trHeight w:val="156"/>
        </w:trPr>
        <w:tc>
          <w:tcPr>
            <w:tcW w:w="424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Equity/Warrants—0.9% </w:t>
            </w:r>
            <w:r>
              <w:rPr>
                <w:rFonts w:ascii="Arial" w:cs="Arial" w:eastAsia="Arial" w:hAnsi="Arial"/>
                <w:sz w:val="10"/>
                <w:szCs w:val="10"/>
                <w:b w:val="1"/>
                <w:bCs w:val="1"/>
                <w:color w:val="auto"/>
              </w:rPr>
              <w:t>(7), (8)</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Affinion Group Holdings, Inc., Series A (Warrants)</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12/12/2023</w:t>
            </w:r>
          </w:p>
        </w:tc>
        <w:tc>
          <w:tcPr>
            <w:tcW w:w="14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tcPr>
          <w:p>
            <w:pPr>
              <w:jc w:val="right"/>
              <w:ind w:right="38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554,715</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1,186,649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1,040,091</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B (Warrants)</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12/12/2023</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shd w:val="clear" w:color="auto" w:fill="CCEEFF"/>
          </w:tcPr>
          <w:p>
            <w:pPr>
              <w:jc w:val="right"/>
              <w:ind w:right="38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1,135,743</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40"/>
              <w:spacing w:after="0" w:line="12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8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5"/>
              </w:rPr>
              <w:t>Consumer Goods:</w:t>
            </w:r>
          </w:p>
        </w:tc>
        <w:tc>
          <w:tcPr>
            <w:tcW w:w="1000" w:type="dxa"/>
            <w:vAlign w:val="bottom"/>
            <w:gridSpan w:val="2"/>
          </w:tcPr>
          <w:p>
            <w:pPr>
              <w:jc w:val="right"/>
              <w:ind w:right="38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296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58,055</w:t>
            </w:r>
          </w:p>
        </w:tc>
        <w:tc>
          <w:tcPr>
            <w:tcW w:w="0" w:type="dxa"/>
            <w:vAlign w:val="bottom"/>
          </w:tcPr>
          <w:p>
            <w:pPr>
              <w:spacing w:after="0"/>
              <w:rPr>
                <w:sz w:val="1"/>
                <w:szCs w:val="1"/>
                <w:color w:val="auto"/>
              </w:rPr>
            </w:pPr>
          </w:p>
        </w:tc>
      </w:tr>
      <w:tr>
        <w:trPr>
          <w:trHeight w:val="149"/>
        </w:trPr>
        <w:tc>
          <w:tcPr>
            <w:tcW w:w="424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Durable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88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11/27/2023</w:t>
            </w:r>
          </w:p>
        </w:tc>
        <w:tc>
          <w:tcPr>
            <w:tcW w:w="148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8"/>
              </w:rPr>
              <w:t>Banking, Finance,</w:t>
            </w:r>
          </w:p>
        </w:tc>
        <w:tc>
          <w:tcPr>
            <w:tcW w:w="1000" w:type="dxa"/>
            <w:vAlign w:val="bottom"/>
            <w:gridSpan w:val="2"/>
            <w:shd w:val="clear" w:color="auto" w:fill="CCEEFF"/>
          </w:tcPr>
          <w:p>
            <w:pPr>
              <w:jc w:val="right"/>
              <w:ind w:right="38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7,403</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151,853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399,833</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(f/k/a Old Guard Risk Services, Inc.) (Warrants)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Insurance and</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6"/>
              </w:rPr>
              <w:t>Real Estate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 (Warrants)</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56,717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95,285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6,239</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2"/>
              </w:rPr>
              <w:t>Media: Advertising,</w:t>
            </w:r>
          </w:p>
        </w:tc>
        <w:tc>
          <w:tcPr>
            <w:tcW w:w="1000" w:type="dxa"/>
            <w:vAlign w:val="bottom"/>
            <w:gridSpan w:val="2"/>
            <w:shd w:val="clear" w:color="auto" w:fill="CCEEFF"/>
          </w:tcPr>
          <w:p>
            <w:pPr>
              <w:jc w:val="right"/>
              <w:ind w:right="38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15,179</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56,895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244,631</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(Vestcom International, Inc.)</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Printing and</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Z Wireless Holdings, Inc.</w:t>
            </w:r>
          </w:p>
        </w:tc>
        <w:tc>
          <w:tcPr>
            <w:tcW w:w="88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10/21/2021</w:t>
            </w:r>
          </w:p>
        </w:tc>
        <w:tc>
          <w:tcPr>
            <w:tcW w:w="14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Retail</w:t>
            </w:r>
          </w:p>
        </w:tc>
        <w:tc>
          <w:tcPr>
            <w:tcW w:w="1000" w:type="dxa"/>
            <w:vAlign w:val="bottom"/>
            <w:gridSpan w:val="2"/>
          </w:tcPr>
          <w:p>
            <w:pPr>
              <w:jc w:val="right"/>
              <w:ind w:right="38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463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45,019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121,889</w:t>
            </w:r>
          </w:p>
        </w:tc>
        <w:tc>
          <w:tcPr>
            <w:tcW w:w="0" w:type="dxa"/>
            <w:vAlign w:val="bottom"/>
          </w:tcPr>
          <w:p>
            <w:pPr>
              <w:spacing w:after="0"/>
              <w:rPr>
                <w:sz w:val="1"/>
                <w:szCs w:val="1"/>
                <w:color w:val="auto"/>
              </w:rPr>
            </w:pPr>
          </w:p>
        </w:tc>
      </w:tr>
      <w:tr>
        <w:trPr>
          <w:trHeight w:val="156"/>
        </w:trPr>
        <w:tc>
          <w:tcPr>
            <w:tcW w:w="4240" w:type="dxa"/>
            <w:vAlign w:val="bottom"/>
            <w:gridSpan w:val="2"/>
          </w:tcPr>
          <w:p>
            <w:pPr>
              <w:ind w:left="140"/>
              <w:spacing w:after="0"/>
              <w:rPr>
                <w:sz w:val="20"/>
                <w:szCs w:val="20"/>
                <w:color w:val="auto"/>
              </w:rPr>
            </w:pPr>
            <w:r>
              <w:rPr>
                <w:rFonts w:ascii="Arial" w:cs="Arial" w:eastAsia="Arial" w:hAnsi="Arial"/>
                <w:sz w:val="13"/>
                <w:szCs w:val="13"/>
                <w:color w:val="auto"/>
              </w:rPr>
              <w:t>(AKA Diversified Holdings, Inc.) (Warrants)</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1,535,997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1,893,453</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4"/>
              </w:rPr>
              <w:t>Total Investments in Non-Controlled, Non-Affiliated Portfolio Companies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348,354,295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348,428,492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Equivalents—6.1%</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w w:val="95"/>
              </w:rPr>
              <w:t>BlackRock Liquidity Funds, Temp Cash and Temp Fund, Institutional Shares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13,113,817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13,113,817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Equivalents—168.5%</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5"/>
              </w:rPr>
              <w:t>361,468,112</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361,542,309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Assets—(68.5)%</w:t>
            </w: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(147,014,599)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214,527,710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8" w:lineRule="exact"/>
        <w:rPr>
          <w:sz w:val="20"/>
          <w:szCs w:val="20"/>
          <w:color w:val="auto"/>
        </w:rPr>
      </w:pPr>
    </w:p>
    <w:p>
      <w:pPr>
        <w:ind w:left="340" w:right="80" w:hanging="332"/>
        <w:spacing w:after="0" w:line="224"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Valued based on our accounting policy (see Note 2).</w:t>
      </w:r>
    </w:p>
    <w:p>
      <w:pPr>
        <w:ind w:left="340" w:right="20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8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35"/>
        </w:numPr>
        <w:rPr>
          <w:rFonts w:ascii="Arial" w:cs="Arial" w:eastAsia="Arial" w:hAnsi="Arial"/>
          <w:sz w:val="9"/>
          <w:szCs w:val="9"/>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9"/>
          <w:szCs w:val="9"/>
          <w:color w:val="auto"/>
        </w:rPr>
      </w:pPr>
    </w:p>
    <w:p>
      <w:pPr>
        <w:ind w:left="34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Non-U.S. company or principal place of business outside the United States.</w:t>
      </w:r>
    </w:p>
    <w:p>
      <w:pPr>
        <w:ind w:left="34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Non-income producing securities.</w:t>
      </w:r>
    </w:p>
    <w:p>
      <w:pPr>
        <w:ind w:left="34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line="216"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35"/>
        </w:numPr>
        <w:rPr>
          <w:rFonts w:ascii="Arial" w:cs="Arial" w:eastAsia="Arial" w:hAnsi="Arial"/>
          <w:sz w:val="9"/>
          <w:szCs w:val="9"/>
          <w:color w:val="auto"/>
        </w:rPr>
      </w:pP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6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72" w:lineRule="exact"/>
        <w:rPr>
          <w:sz w:val="20"/>
          <w:szCs w:val="20"/>
          <w:color w:val="auto"/>
        </w:rPr>
      </w:pPr>
    </w:p>
    <w:p>
      <w:pPr>
        <w:ind w:right="820" w:firstLine="562"/>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66"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five-year Credit Facility allowed Funding I to borrow up to $290 million as of September 30, 2015 at LIBOR plus 200 basis points during the revolving period. The Credit Facility is secured by all of the assets held by Funding I. See Notes 10 and 13.</w:t>
      </w:r>
    </w:p>
    <w:p>
      <w:pPr>
        <w:spacing w:after="0" w:line="76" w:lineRule="exact"/>
        <w:rPr>
          <w:sz w:val="20"/>
          <w:szCs w:val="20"/>
          <w:color w:val="auto"/>
        </w:rPr>
      </w:pPr>
    </w:p>
    <w:p>
      <w:pPr>
        <w:ind w:right="260" w:firstLine="562"/>
        <w:spacing w:after="0" w:line="238" w:lineRule="auto"/>
        <w:rPr>
          <w:sz w:val="20"/>
          <w:szCs w:val="20"/>
          <w:color w:val="auto"/>
        </w:rPr>
      </w:pPr>
      <w:r>
        <w:rPr>
          <w:rFonts w:ascii="Arial" w:cs="Arial" w:eastAsia="Arial" w:hAnsi="Arial"/>
          <w:sz w:val="14"/>
          <w:szCs w:val="14"/>
          <w:color w:val="auto"/>
        </w:rPr>
        <w:t>On August 18,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 See Note 12.</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72"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448"/>
        <w:spacing w:after="0" w:line="253"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448"/>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448"/>
        <w:spacing w:after="0" w:line="264" w:lineRule="auto"/>
        <w:tabs>
          <w:tab w:leader="none" w:pos="7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jc w:val="both"/>
        <w:ind w:left="780" w:right="260" w:hanging="448"/>
        <w:spacing w:after="0" w:line="238"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448"/>
        <w:spacing w:after="0" w:line="253"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124" w:lineRule="exact"/>
        <w:rPr>
          <w:sz w:val="20"/>
          <w:szCs w:val="20"/>
          <w:color w:val="auto"/>
        </w:rPr>
      </w:pPr>
    </w:p>
    <w:p>
      <w:pPr>
        <w:jc w:val="both"/>
        <w:ind w:right="24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in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We have complied with the requirements of Subchapter M of the Code and have qualified to be subject to tax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do not anticipate paying any material level of federal income taxes in the future. Although we are not subject to federal income taxes as a RIC, we may elect to retain a portion of our calendar year income and have accrued an excise tax of $0.4 million, $0.5 million and less than $0.1 million for the years ended September 30, 2015, 2014 and 2013, respectively.</w:t>
      </w:r>
    </w:p>
    <w:p>
      <w:pPr>
        <w:spacing w:after="0" w:line="69"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 Consolidation</w:t>
      </w:r>
    </w:p>
    <w:p>
      <w:pPr>
        <w:spacing w:after="0" w:line="96"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96" w:lineRule="exact"/>
        <w:rPr>
          <w:sz w:val="20"/>
          <w:szCs w:val="20"/>
          <w:color w:val="auto"/>
        </w:rPr>
      </w:pPr>
    </w:p>
    <w:p>
      <w:pPr>
        <w:ind w:right="240" w:firstLine="562"/>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Interest—Imputation of Interest (Subtopic 835-30)— 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We have evaluated ASU 2015-03 and anticipate no impact on our consolidated financial statements and disclosures.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562"/>
        <w:spacing w:after="0" w:line="277" w:lineRule="auto"/>
        <w:rPr>
          <w:sz w:val="20"/>
          <w:szCs w:val="20"/>
          <w:color w:val="auto"/>
        </w:rPr>
      </w:pPr>
      <w:r>
        <w:rPr>
          <w:rFonts w:ascii="Arial" w:cs="Arial" w:eastAsia="Arial" w:hAnsi="Arial"/>
          <w:sz w:val="12"/>
          <w:szCs w:val="12"/>
          <w:color w:val="auto"/>
        </w:rPr>
        <w:t>The Investment Management Agreement with the Investment Adviser was reapproved by our board of directors, including a majority of our directors who are not interested persons of us or the Investment Advisers, in February 2015. Under the Investment Management Agreement, the Investment Adviser, subject to the overall supervision of our board of directors, manages the day-to-day operations of and provides investment advisory services to PennantPark Investment.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54"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2015, 2014 and 2013, the Investment Adviser earned a base management fee of $3.6 million, $3.7 million and $2.2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years ended September 30, 2015, 2014 and 2013, the Investment Adviser earned $2.2 million, $2.6 million and $1.5 million, respectively, in incentive fees on net investment income from us.</w:t>
      </w:r>
    </w:p>
    <w:p>
      <w:pPr>
        <w:spacing w:after="0" w:line="75" w:lineRule="exact"/>
        <w:rPr>
          <w:sz w:val="20"/>
          <w:szCs w:val="20"/>
          <w:color w:val="auto"/>
        </w:rPr>
      </w:pPr>
    </w:p>
    <w:p>
      <w:pPr>
        <w:jc w:val="both"/>
        <w:ind w:right="80" w:firstLine="562"/>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2015, 2014 and 2013 the Investment Adviser accrued an incentive fee on capital gains of approximately $(0.4) million, $0.8 million and zero, respectively, as calculated under the Investment Management Agreement (as described above).</w:t>
      </w:r>
    </w:p>
    <w:p>
      <w:pPr>
        <w:spacing w:after="0" w:line="7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2015, 2014 and 2013 was $(0.7) million, $0.1 million and $0.4 million, respectively.</w:t>
      </w:r>
    </w:p>
    <w:p>
      <w:pPr>
        <w:spacing w:after="0" w:line="78"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2015.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2015, 2014 and 2013, the Investment Adviser was reimbursed approximately $0.5 million, $0.5 million and $0.3 million, respectively, from us, including expenses the Investment Adviser incurred on behalf of the Administrator,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19"/>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Purchases of investments, including PIK, for the years ended September 30, 2015, 2014 and 2013 totaled $224.8 million, $248.8 million and $316.9 million, respectively. Sales and repayments of investments for the same periods totaled $195.0 million, $225.6 million and $174.9 million, respectively.</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40" w:type="dxa"/>
            <w:vAlign w:val="bottom"/>
          </w:tcPr>
          <w:p>
            <w:pPr>
              <w:ind w:left="80"/>
              <w:spacing w:after="0"/>
              <w:rPr>
                <w:sz w:val="20"/>
                <w:szCs w:val="20"/>
                <w:color w:val="auto"/>
              </w:rPr>
            </w:pPr>
            <w:r>
              <w:rPr>
                <w:rFonts w:ascii="Arial" w:cs="Arial" w:eastAsia="Arial" w:hAnsi="Arial"/>
                <w:sz w:val="14"/>
                <w:szCs w:val="14"/>
                <w:color w:val="auto"/>
              </w:rPr>
              <w:t>Investments and cash equivalents consisted of the following:</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 2015</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Cost</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Cost</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338,567,205</w:t>
            </w: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302,889,195</w:t>
            </w: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47,630,500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47,902,800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36,193,947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8,634,195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5,602,244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7,335,452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2,506,407</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2,849,505</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397,338,307</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391,311,890</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348,354,295</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4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418,766,821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412,740,404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361,468,112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361,542,309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w:t>
      </w:r>
    </w:p>
    <w:p>
      <w:pPr>
        <w:spacing w:after="0" w:line="75"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vMerge w:val="continue"/>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13%</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8</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Construction and Building</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5</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Wholesale</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Energy: Oil and Gas</w:t>
            </w:r>
          </w:p>
        </w:tc>
        <w:tc>
          <w:tcPr>
            <w:tcW w:w="426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426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3040" w:type="dxa"/>
            <w:vAlign w:val="bottom"/>
            <w:gridSpan w:val="2"/>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40" w:type="dxa"/>
            <w:vAlign w:val="bottom"/>
            <w:gridSpan w:val="2"/>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40" w:type="dxa"/>
            <w:vAlign w:val="bottom"/>
            <w:vMerge w:val="restart"/>
          </w:tcPr>
          <w:p>
            <w:pPr>
              <w:jc w:val="right"/>
              <w:ind w:right="1708"/>
              <w:spacing w:after="0"/>
              <w:rPr>
                <w:sz w:val="20"/>
                <w:szCs w:val="20"/>
                <w:color w:val="auto"/>
              </w:rPr>
            </w:pPr>
            <w:r>
              <w:rPr>
                <w:rFonts w:ascii="Arial" w:cs="Arial" w:eastAsia="Arial" w:hAnsi="Arial"/>
                <w:sz w:val="14"/>
                <w:szCs w:val="14"/>
                <w:color w:val="auto"/>
              </w:rPr>
              <w:t>60</w:t>
            </w: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3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920"/>
        <w:spacing w:after="0"/>
        <w:tabs>
          <w:tab w:leader="none" w:pos="16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660" w:right="1160" w:hanging="755"/>
        <w:spacing w:after="0" w:line="238" w:lineRule="auto"/>
        <w:tabs>
          <w:tab w:leader="none" w:pos="16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660" w:right="1120" w:hanging="755"/>
        <w:spacing w:after="0" w:line="253" w:lineRule="auto"/>
        <w:tabs>
          <w:tab w:leader="none" w:pos="16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6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7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two reclassifications from Level 2 to 3 and one reclassification from Level 3 to 2 during the year ended September 30, 2015 and no reclassification of assets between levels during the year ended September 30, 2014.</w:t>
      </w:r>
    </w:p>
    <w:p>
      <w:pPr>
        <w:spacing w:after="0" w:line="7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77"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6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259,566,475</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128,895,910</w:t>
            </w:r>
          </w:p>
        </w:tc>
        <w:tc>
          <w:tcPr>
            <w:tcW w:w="28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5.5% – 34.7% (10.6%)</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313,941</w:t>
            </w: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6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2,344,955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6.0x – 10.5x (7.6x)</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391,121,281</w:t>
            </w: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line="20" w:lineRule="exact"/>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Fair Value as of</w:t>
            </w:r>
          </w:p>
        </w:tc>
        <w:tc>
          <w:tcPr>
            <w:tcW w:w="280" w:type="dxa"/>
            <w:vAlign w:val="bottom"/>
          </w:tcPr>
          <w:p>
            <w:pPr>
              <w:spacing w:after="0"/>
              <w:rPr>
                <w:sz w:val="14"/>
                <w:szCs w:val="14"/>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5"/>
        </w:trPr>
        <w:tc>
          <w:tcPr>
            <w:tcW w:w="5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2014</w:t>
            </w:r>
          </w:p>
        </w:tc>
        <w:tc>
          <w:tcPr>
            <w:tcW w:w="2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282,659,683</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58,304,473</w:t>
            </w:r>
          </w:p>
        </w:tc>
        <w:tc>
          <w:tcPr>
            <w:tcW w:w="28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6.5% – 14.1% (11.6%)</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1,062,806</w:t>
            </w:r>
          </w:p>
        </w:tc>
        <w:tc>
          <w:tcPr>
            <w:tcW w:w="2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6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1,245,623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5.0x – 9.5x (7.6x)</w:t>
            </w:r>
          </w:p>
        </w:tc>
        <w:tc>
          <w:tcPr>
            <w:tcW w:w="0" w:type="dxa"/>
            <w:vAlign w:val="bottom"/>
          </w:tcPr>
          <w:p>
            <w:pPr>
              <w:spacing w:after="0"/>
              <w:rPr>
                <w:sz w:val="1"/>
                <w:szCs w:val="1"/>
                <w:color w:val="auto"/>
              </w:rPr>
            </w:pPr>
          </w:p>
        </w:tc>
      </w:tr>
      <w:tr>
        <w:trPr>
          <w:trHeight w:val="148"/>
        </w:trPr>
        <w:tc>
          <w:tcPr>
            <w:tcW w:w="51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343,272,585</w:t>
            </w: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line="20" w:lineRule="exact"/>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Fair Value at September 30, 2015</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3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47,902,800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47,902,800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5,602,244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5,602,244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2,849,505</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320"/>
              <w:spacing w:after="0" w:line="149" w:lineRule="exact"/>
              <w:rPr>
                <w:sz w:val="20"/>
                <w:szCs w:val="20"/>
                <w:color w:val="auto"/>
              </w:rPr>
            </w:pPr>
            <w:r>
              <w:rPr>
                <w:rFonts w:ascii="Arial" w:cs="Arial" w:eastAsia="Arial" w:hAnsi="Arial"/>
                <w:sz w:val="14"/>
                <w:szCs w:val="14"/>
                <w:color w:val="auto"/>
                <w:w w:val="90"/>
              </w:rPr>
              <w:t>190,609</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2,658,896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391,311,890</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w w:val="90"/>
              </w:rPr>
              <w:t>190,609</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391,121,281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18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w w:val="91"/>
              </w:rPr>
              <w:t>21,428,514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and cash equivalents</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412,740,404</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1"/>
              </w:rPr>
              <w:t>21,428,514</w:t>
            </w:r>
          </w:p>
        </w:tc>
        <w:tc>
          <w:tcPr>
            <w:tcW w:w="5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0"/>
              </w:rPr>
              <w:t>190,609</w:t>
            </w: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391,121,281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4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ind w:left="620"/>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ind w:left="580"/>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3"/>
              </w:rPr>
              <w:t>Fair Value at September 30, 2014</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Fair Value</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38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302,565,355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5,149,668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1,924,017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6,239</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2,308,429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348,428,492</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5,155,907</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2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13,113,817</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8"/>
              </w:rPr>
              <w:t>13,113,817</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and cash equivalents</w:t>
            </w:r>
          </w:p>
        </w:tc>
        <w:tc>
          <w:tcPr>
            <w:tcW w:w="460" w:type="dxa"/>
            <w:vAlign w:val="bottom"/>
            <w:gridSpan w:val="3"/>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361,542,309</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13,113,817</w:t>
            </w:r>
          </w:p>
        </w:tc>
        <w:tc>
          <w:tcPr>
            <w:tcW w:w="5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5,155,907</w:t>
            </w: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146,949,000</w:t>
            </w:r>
          </w:p>
        </w:tc>
        <w:tc>
          <w:tcPr>
            <w:tcW w:w="4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ind w:left="620"/>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7"/>
              </w:rPr>
              <w:t>146,949,000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820" w:type="dxa"/>
            <w:vAlign w:val="bottom"/>
          </w:tcPr>
          <w:p>
            <w:pPr>
              <w:spacing w:after="0"/>
              <w:rPr>
                <w:sz w:val="24"/>
                <w:szCs w:val="24"/>
                <w:color w:val="auto"/>
              </w:rPr>
            </w:pPr>
          </w:p>
        </w:tc>
        <w:tc>
          <w:tcPr>
            <w:tcW w:w="460" w:type="dxa"/>
            <w:vAlign w:val="bottom"/>
            <w:gridSpan w:val="3"/>
          </w:tcPr>
          <w:p>
            <w:pPr>
              <w:jc w:val="right"/>
              <w:ind w:right="14"/>
              <w:spacing w:after="0"/>
              <w:rPr>
                <w:sz w:val="20"/>
                <w:szCs w:val="20"/>
                <w:color w:val="auto"/>
              </w:rPr>
            </w:pPr>
            <w:r>
              <w:rPr>
                <w:rFonts w:ascii="Arial" w:cs="Arial" w:eastAsia="Arial" w:hAnsi="Arial"/>
                <w:sz w:val="14"/>
                <w:szCs w:val="14"/>
                <w:color w:val="auto"/>
              </w:rPr>
              <w:t>62</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 2015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First Lien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6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equity investments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3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Net realized (losses) gains</w:t>
            </w:r>
          </w:p>
        </w:tc>
        <w:tc>
          <w:tcPr>
            <w:tcW w:w="18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(175,862)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667,008</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491,146</w:t>
            </w: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Net unrealized depreciation</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(3,286,024)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(2,397,090)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(5,683,114)</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 xml:space="preserve">Purchases, PIK, net discount accretion and non-cash exchanges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215,410,313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27,790,325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243,200,638</w:t>
            </w: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repayments and exchanges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(179,556,441)</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(15,493,137)</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(195,049,578)</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Transfers in and/or out of Level 3</w:t>
            </w:r>
          </w:p>
        </w:tc>
        <w:tc>
          <w:tcPr>
            <w:tcW w:w="18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4,889,604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4,889,604</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6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334,957,341</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56,163,940</w:t>
            </w:r>
          </w:p>
        </w:tc>
        <w:tc>
          <w:tcPr>
            <w:tcW w:w="2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appreciation 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spacing w:after="0" w:line="149" w:lineRule="exact"/>
              <w:rPr>
                <w:sz w:val="20"/>
                <w:szCs w:val="20"/>
                <w:color w:val="auto"/>
              </w:rPr>
            </w:pPr>
            <w:r>
              <w:rPr>
                <w:rFonts w:ascii="Arial" w:cs="Arial" w:eastAsia="Arial" w:hAnsi="Arial"/>
                <w:sz w:val="14"/>
                <w:szCs w:val="14"/>
                <w:color w:val="auto"/>
                <w:w w:val="98"/>
              </w:rPr>
              <w:t>investments in our Consolidated Statement of Operations attributable to our Level 3 assets still held at the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6480" w:type="dxa"/>
            <w:vAlign w:val="bottom"/>
            <w:gridSpan w:val="3"/>
          </w:tcPr>
          <w:p>
            <w:pPr>
              <w:spacing w:after="0"/>
              <w:rPr>
                <w:sz w:val="20"/>
                <w:szCs w:val="20"/>
                <w:color w:val="auto"/>
              </w:rPr>
            </w:pPr>
            <w:r>
              <w:rPr>
                <w:rFonts w:ascii="Arial" w:cs="Arial" w:eastAsia="Arial" w:hAnsi="Arial"/>
                <w:sz w:val="14"/>
                <w:szCs w:val="14"/>
                <w:color w:val="auto"/>
              </w:rPr>
              <w:t>reporting date.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(3,449,989)</w:t>
            </w:r>
          </w:p>
        </w:tc>
        <w:tc>
          <w:tcPr>
            <w:tcW w:w="4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(2,257,945)</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(5,707,934)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6480" w:type="dxa"/>
            <w:vAlign w:val="bottom"/>
            <w:gridSpan w:val="3"/>
          </w:tcPr>
          <w:p>
            <w:pPr>
              <w:ind w:left="200"/>
              <w:spacing w:after="0"/>
              <w:rPr>
                <w:sz w:val="20"/>
                <w:szCs w:val="20"/>
                <w:color w:val="auto"/>
              </w:rPr>
            </w:pPr>
            <w:r>
              <w:rPr>
                <w:rFonts w:ascii="Arial" w:cs="Arial" w:eastAsia="Arial" w:hAnsi="Arial"/>
                <w:sz w:val="14"/>
                <w:szCs w:val="14"/>
                <w:color w:val="auto"/>
              </w:rPr>
              <w:t>Includes assets acquired from MCG.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 2014</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First Lien</w:t>
            </w:r>
          </w:p>
        </w:tc>
        <w:tc>
          <w:tcPr>
            <w:tcW w:w="30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subordinated debt and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6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equity investments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32,698,220</w:t>
            </w:r>
          </w:p>
        </w:tc>
        <w:tc>
          <w:tcPr>
            <w:tcW w:w="3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313,744,468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Net realized gains</w:t>
            </w:r>
          </w:p>
        </w:tc>
        <w:tc>
          <w:tcPr>
            <w:tcW w:w="1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2,097,241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774,948</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2,872,189</w:t>
            </w: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Net unrealized (depreciation) appreciation</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(109,909)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567,020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457,111</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1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221,495,119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28,675,897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250,171,016</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repayments and exchanges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(201,963,344)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(22,008,855)</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(223,972,199)</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64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Transfers in and/or out of Level 3</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302,565,355</w:t>
            </w:r>
          </w:p>
        </w:tc>
        <w:tc>
          <w:tcPr>
            <w:tcW w:w="4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40,707,230</w:t>
            </w:r>
          </w:p>
        </w:tc>
        <w:tc>
          <w:tcPr>
            <w:tcW w:w="2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343,272,585</w:t>
            </w: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w w:val="97"/>
              </w:rPr>
              <w:t>Net change in unrealized (depreciation) appreciation reported within the net change in unrealized appreciation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480" w:type="dxa"/>
            <w:vAlign w:val="bottom"/>
            <w:gridSpan w:val="3"/>
          </w:tcPr>
          <w:p>
            <w:pPr>
              <w:spacing w:after="0" w:line="149" w:lineRule="exact"/>
              <w:rPr>
                <w:sz w:val="20"/>
                <w:szCs w:val="20"/>
                <w:color w:val="auto"/>
              </w:rPr>
            </w:pPr>
            <w:r>
              <w:rPr>
                <w:rFonts w:ascii="Arial" w:cs="Arial" w:eastAsia="Arial" w:hAnsi="Arial"/>
                <w:sz w:val="14"/>
                <w:szCs w:val="14"/>
                <w:color w:val="auto"/>
                <w:w w:val="99"/>
              </w:rPr>
              <w:t>on investments in our Consolidated Statement of Operations attributable to our Level 3 assets still held at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6480" w:type="dxa"/>
            <w:vAlign w:val="bottom"/>
            <w:gridSpan w:val="3"/>
          </w:tcPr>
          <w:p>
            <w:pPr>
              <w:spacing w:after="0"/>
              <w:rPr>
                <w:sz w:val="20"/>
                <w:szCs w:val="20"/>
                <w:color w:val="auto"/>
              </w:rPr>
            </w:pPr>
            <w:r>
              <w:rPr>
                <w:rFonts w:ascii="Arial" w:cs="Arial" w:eastAsia="Arial" w:hAnsi="Arial"/>
                <w:sz w:val="14"/>
                <w:szCs w:val="14"/>
                <w:color w:val="auto"/>
              </w:rPr>
              <w:t>the reporting date.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(327,255)</w:t>
            </w:r>
          </w:p>
        </w:tc>
        <w:tc>
          <w:tcPr>
            <w:tcW w:w="4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4"/>
                <w:szCs w:val="14"/>
                <w:color w:val="auto"/>
              </w:rPr>
              <w:t>523,666</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196,411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200" w:type="dxa"/>
            <w:vAlign w:val="bottom"/>
            <w:gridSpan w:val="2"/>
            <w:vMerge w:val="restart"/>
          </w:tcPr>
          <w:p>
            <w:pPr>
              <w:ind w:left="5400"/>
              <w:spacing w:after="0"/>
              <w:rPr>
                <w:sz w:val="20"/>
                <w:szCs w:val="20"/>
                <w:color w:val="auto"/>
              </w:rPr>
            </w:pPr>
            <w:r>
              <w:rPr>
                <w:rFonts w:ascii="Arial" w:cs="Arial" w:eastAsia="Arial" w:hAnsi="Arial"/>
                <w:sz w:val="14"/>
                <w:szCs w:val="14"/>
                <w:color w:val="auto"/>
              </w:rPr>
              <w:t>63</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60" w:type="dxa"/>
            <w:vAlign w:val="bottom"/>
          </w:tcPr>
          <w:p>
            <w:pPr>
              <w:spacing w:after="0"/>
              <w:rPr>
                <w:sz w:val="24"/>
                <w:szCs w:val="24"/>
                <w:color w:val="auto"/>
              </w:rPr>
            </w:pPr>
          </w:p>
        </w:tc>
        <w:tc>
          <w:tcPr>
            <w:tcW w:w="62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2015</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Year Ended September 30,</w:t>
            </w:r>
          </w:p>
        </w:tc>
        <w:tc>
          <w:tcPr>
            <w:tcW w:w="0" w:type="dxa"/>
            <w:vAlign w:val="bottom"/>
          </w:tcPr>
          <w:p>
            <w:pPr>
              <w:spacing w:after="0"/>
              <w:rPr>
                <w:sz w:val="1"/>
                <w:szCs w:val="1"/>
                <w:color w:val="auto"/>
              </w:rPr>
            </w:pPr>
          </w:p>
        </w:tc>
      </w:tr>
      <w:tr>
        <w:trPr>
          <w:trHeight w:val="142"/>
        </w:trPr>
        <w:tc>
          <w:tcPr>
            <w:tcW w:w="7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$146,400,000 and $99,600,000, respectively)</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146,949,000</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99,600,000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Total unrealized appreciation included in earnings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(549,000)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549,000</w:t>
            </w:r>
          </w:p>
        </w:tc>
        <w:tc>
          <w:tcPr>
            <w:tcW w:w="0" w:type="dxa"/>
            <w:vAlign w:val="bottom"/>
          </w:tcPr>
          <w:p>
            <w:pPr>
              <w:spacing w:after="0"/>
              <w:rPr>
                <w:sz w:val="1"/>
                <w:szCs w:val="1"/>
                <w:color w:val="auto"/>
              </w:rPr>
            </w:pPr>
          </w:p>
        </w:tc>
      </w:tr>
      <w:tr>
        <w:trPr>
          <w:trHeight w:val="148"/>
        </w:trPr>
        <w:tc>
          <w:tcPr>
            <w:tcW w:w="72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130,700,000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148,200,000</w:t>
            </w:r>
          </w:p>
        </w:tc>
        <w:tc>
          <w:tcPr>
            <w:tcW w:w="0" w:type="dxa"/>
            <w:vAlign w:val="bottom"/>
          </w:tcPr>
          <w:p>
            <w:pPr>
              <w:spacing w:after="0"/>
              <w:rPr>
                <w:sz w:val="1"/>
                <w:szCs w:val="1"/>
                <w:color w:val="auto"/>
              </w:rPr>
            </w:pPr>
          </w:p>
        </w:tc>
      </w:tr>
      <w:tr>
        <w:trPr>
          <w:trHeight w:val="148"/>
        </w:trPr>
        <w:tc>
          <w:tcPr>
            <w:tcW w:w="72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Repayments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1"/>
              </w:rPr>
              <w:t>(247,500,000)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(101,400,000)</w:t>
            </w:r>
          </w:p>
        </w:tc>
        <w:tc>
          <w:tcPr>
            <w:tcW w:w="0" w:type="dxa"/>
            <w:vAlign w:val="bottom"/>
          </w:tcPr>
          <w:p>
            <w:pPr>
              <w:spacing w:after="0"/>
              <w:rPr>
                <w:sz w:val="1"/>
                <w:szCs w:val="1"/>
                <w:color w:val="auto"/>
              </w:rPr>
            </w:pPr>
          </w:p>
        </w:tc>
      </w:tr>
      <w:tr>
        <w:trPr>
          <w:trHeight w:val="148"/>
        </w:trPr>
        <w:tc>
          <w:tcPr>
            <w:tcW w:w="72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26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$29,600,000 and $146,400,000, respectively)</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29,600,000</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146,949,000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$2.3 million, $0.7 million and $0.4 million relating to amendment fees on the Credit Facility during the years ended September 30, 2015, 2014 and 2013,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2015 and 2014, our Credit Facility had a net change in unrealized depreciation (appreciation) of $0.5 million and $(0.5) million, respectively. As of September 30, 2015 and 2014, the net unrealized appreciation on our Credit Facility totaled zero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4"/>
                <w:szCs w:val="14"/>
                <w:b w:val="1"/>
                <w:bCs w:val="1"/>
                <w:color w:val="auto"/>
              </w:rPr>
              <w:t>Year Ended 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42"/>
        </w:trPr>
        <w:tc>
          <w:tcPr>
            <w:tcW w:w="4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12,504,245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20,513,971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11,984,818</w:t>
            </w:r>
          </w:p>
        </w:tc>
        <w:tc>
          <w:tcPr>
            <w:tcW w:w="80" w:type="dxa"/>
            <w:vAlign w:val="bottom"/>
            <w:shd w:val="clear" w:color="auto" w:fill="CCEEFF"/>
          </w:tcPr>
          <w:p>
            <w:pPr>
              <w:spacing w:after="0"/>
              <w:rPr>
                <w:sz w:val="12"/>
                <w:szCs w:val="12"/>
                <w:color w:val="auto"/>
              </w:rPr>
            </w:pP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4"/>
              </w:rPr>
              <w:t>16,291,965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14,898,056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9,587,877</w:t>
            </w:r>
          </w:p>
        </w:tc>
        <w:tc>
          <w:tcPr>
            <w:tcW w:w="80" w:type="dxa"/>
            <w:vAlign w:val="bottom"/>
          </w:tcPr>
          <w:p>
            <w:pPr>
              <w:spacing w:after="0"/>
              <w:rPr>
                <w:sz w:val="12"/>
                <w:szCs w:val="12"/>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Basic and diluted net increase in net assets per share resulting from operations</w:t>
            </w:r>
          </w:p>
        </w:tc>
        <w:tc>
          <w:tcPr>
            <w:tcW w:w="24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0.77</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r>
      <w:tr>
        <w:trPr>
          <w:trHeight w:val="312"/>
        </w:trPr>
        <w:tc>
          <w:tcPr>
            <w:tcW w:w="4800" w:type="dxa"/>
            <w:vAlign w:val="bottom"/>
          </w:tcPr>
          <w:p>
            <w:pPr>
              <w:spacing w:after="0"/>
              <w:rPr>
                <w:sz w:val="24"/>
                <w:szCs w:val="24"/>
                <w:color w:val="auto"/>
              </w:rPr>
            </w:pPr>
          </w:p>
        </w:tc>
        <w:tc>
          <w:tcPr>
            <w:tcW w:w="2280" w:type="dxa"/>
            <w:vAlign w:val="bottom"/>
          </w:tcPr>
          <w:p>
            <w:pPr>
              <w:jc w:val="right"/>
              <w:ind w:right="176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100"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Distributions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67" w:lineRule="exact"/>
        <w:rPr>
          <w:sz w:val="20"/>
          <w:szCs w:val="20"/>
          <w:color w:val="auto"/>
        </w:rPr>
      </w:pPr>
    </w:p>
    <w:p>
      <w:pPr>
        <w:ind w:right="480" w:firstLine="562"/>
        <w:spacing w:after="0" w:line="253" w:lineRule="auto"/>
        <w:rPr>
          <w:sz w:val="20"/>
          <w:szCs w:val="20"/>
          <w:color w:val="auto"/>
        </w:rPr>
      </w:pPr>
      <w:r>
        <w:rPr>
          <w:rFonts w:ascii="Arial" w:cs="Arial" w:eastAsia="Arial" w:hAnsi="Arial"/>
          <w:sz w:val="14"/>
          <w:szCs w:val="14"/>
          <w:color w:val="auto"/>
        </w:rPr>
        <w:t>As of September 30, 2015 and 2014, the cost of investments for federal income tax purposes was $399.6 million and $348.4 million, respectively, resulting in a gross unrealized appreciation of $3.3 million and $3.8 million, respectively, and depreciation of $11.6 million and $3.7 million, respectively.</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6060" w:type="dxa"/>
            <w:vAlign w:val="bottom"/>
          </w:tcPr>
          <w:p>
            <w:pPr>
              <w:ind w:left="100"/>
              <w:spacing w:after="0"/>
              <w:rPr>
                <w:sz w:val="20"/>
                <w:szCs w:val="20"/>
                <w:color w:val="auto"/>
              </w:rPr>
            </w:pPr>
            <w:r>
              <w:rPr>
                <w:rFonts w:ascii="Arial" w:cs="Arial" w:eastAsia="Arial" w:hAnsi="Arial"/>
                <w:sz w:val="14"/>
                <w:szCs w:val="14"/>
                <w:color w:val="auto"/>
              </w:rPr>
              <w:t>The following amounts were reclassified for tax purposes: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5"/>
        </w:trPr>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September 30,</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(429,892)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(254,753)</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(81,503)</w:t>
            </w:r>
          </w:p>
        </w:tc>
        <w:tc>
          <w:tcPr>
            <w:tcW w:w="100" w:type="dxa"/>
            <w:vAlign w:val="bottom"/>
            <w:shd w:val="clear" w:color="auto" w:fill="CCEEFF"/>
          </w:tcPr>
          <w:p>
            <w:pPr>
              <w:spacing w:after="0"/>
              <w:rPr>
                <w:sz w:val="12"/>
                <w:szCs w:val="12"/>
                <w:color w:val="auto"/>
              </w:rPr>
            </w:pPr>
          </w:p>
        </w:tc>
      </w:tr>
      <w:tr>
        <w:trPr>
          <w:trHeight w:val="149"/>
        </w:trPr>
        <w:tc>
          <w:tcPr>
            <w:tcW w:w="606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240" w:type="dxa"/>
            <w:vAlign w:val="bottom"/>
          </w:tcPr>
          <w:p>
            <w:pPr>
              <w:spacing w:after="0"/>
              <w:rPr>
                <w:sz w:val="12"/>
                <w:szCs w:val="12"/>
                <w:color w:val="auto"/>
              </w:rPr>
            </w:pPr>
          </w:p>
        </w:tc>
        <w:tc>
          <w:tcPr>
            <w:tcW w:w="10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9,384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(1,223,913)</w:t>
            </w:r>
          </w:p>
        </w:tc>
      </w:tr>
      <w:tr>
        <w:trPr>
          <w:trHeight w:val="148"/>
        </w:trPr>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undistributed net investment income</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429,892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245,369</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1,305,416</w:t>
            </w:r>
          </w:p>
        </w:tc>
        <w:tc>
          <w:tcPr>
            <w:tcW w:w="100" w:type="dxa"/>
            <w:vAlign w:val="bottom"/>
            <w:shd w:val="clear" w:color="auto" w:fill="CCEEFF"/>
          </w:tcPr>
          <w:p>
            <w:pPr>
              <w:spacing w:after="0"/>
              <w:rPr>
                <w:sz w:val="12"/>
                <w:szCs w:val="12"/>
                <w:color w:val="auto"/>
              </w:rPr>
            </w:pPr>
          </w:p>
        </w:tc>
      </w:tr>
      <w:tr>
        <w:trPr>
          <w:trHeight w:val="271"/>
        </w:trPr>
        <w:tc>
          <w:tcPr>
            <w:tcW w:w="6060" w:type="dxa"/>
            <w:vAlign w:val="bottom"/>
          </w:tcPr>
          <w:p>
            <w:pPr>
              <w:ind w:left="10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7"/>
              </w:rPr>
              <w:t>Year Ended September 30,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12,504,245</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20,513,971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Net change in unrealized depreciation (appreciation) on investments and Credit Facility</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5,551,614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(1,004,771)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2,113,465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5,788</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(505,752)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(380,461)</w:t>
            </w:r>
          </w:p>
        </w:tc>
      </w:tr>
      <w:tr>
        <w:trPr>
          <w:trHeight w:val="155"/>
        </w:trPr>
        <w:tc>
          <w:tcPr>
            <w:tcW w:w="20" w:type="dxa"/>
            <w:vAlign w:val="bottom"/>
          </w:tcPr>
          <w:p>
            <w:pPr>
              <w:spacing w:after="0"/>
              <w:rPr>
                <w:sz w:val="13"/>
                <w:szCs w:val="13"/>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440,000</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1,251,555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917,665</w:t>
            </w: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income before deductions for distribution</w:t>
            </w: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18,501,647</w:t>
            </w:r>
          </w:p>
        </w:tc>
        <w:tc>
          <w:tcPr>
            <w:tcW w:w="6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20,255,003</w:t>
            </w: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14,635,487</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surplus on a book basis are as follows:</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130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jc w:val="right"/>
              <w:ind w:right="135"/>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12,591,089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10,097,482</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4,931,935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gain</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1,652,842</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2,578,795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payable and other book to tax differences</w:t>
            </w:r>
          </w:p>
        </w:tc>
        <w:tc>
          <w:tcPr>
            <w:tcW w:w="130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(5,203,754)</w:t>
            </w:r>
          </w:p>
        </w:tc>
        <w:tc>
          <w:tcPr>
            <w:tcW w:w="2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(3,989,324)</w:t>
            </w: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(3,461,027)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(6,026,417)</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(474,803)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(1,479,574)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surplus – book basis</w:t>
            </w:r>
          </w:p>
        </w:tc>
        <w:tc>
          <w:tcPr>
            <w:tcW w:w="156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1,360,918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7,286,197</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2,570,129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7280" w:type="dxa"/>
            <w:vAlign w:val="bottom"/>
            <w:gridSpan w:val="6"/>
          </w:tcPr>
          <w:p>
            <w:pPr>
              <w:ind w:left="80"/>
              <w:spacing w:after="0"/>
              <w:rPr>
                <w:sz w:val="20"/>
                <w:szCs w:val="20"/>
                <w:color w:val="auto"/>
              </w:rPr>
            </w:pPr>
            <w:r>
              <w:rPr>
                <w:rFonts w:ascii="Arial" w:cs="Arial" w:eastAsia="Arial" w:hAnsi="Arial"/>
                <w:sz w:val="14"/>
                <w:szCs w:val="14"/>
                <w:color w:val="auto"/>
                <w:w w:val="99"/>
              </w:rPr>
              <w:t>The tax characteristics of distributions declared, in accordance with Section 19(a) under the 1940 Act, are as follows:</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3"/>
              </w:rPr>
              <w:t>Year Ended September 30,</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130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jc w:val="right"/>
              <w:ind w:right="95"/>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17,206,311</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13,473,860</w:t>
            </w:r>
          </w:p>
        </w:tc>
        <w:tc>
          <w:tcPr>
            <w:tcW w:w="2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37"/>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9,937,113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1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1,653,105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2,578,795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103,884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1560" w:type="dxa"/>
            <w:vAlign w:val="bottom"/>
            <w:gridSpan w:val="2"/>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18,859,416</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16,052,655</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10,040,997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Borders>
              <w:bottom w:val="single" w:sz="8" w:color="auto"/>
            </w:tcBorders>
          </w:tcPr>
          <w:p>
            <w:pPr>
              <w:jc w:val="right"/>
              <w:ind w:right="95"/>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color w:val="auto"/>
              </w:rPr>
              <w:t>1.16</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color w:val="auto"/>
              </w:rPr>
              <w:t>1.08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00" w:type="dxa"/>
            <w:vAlign w:val="bottom"/>
            <w:vMerge w:val="restart"/>
          </w:tcPr>
          <w:p>
            <w:pPr>
              <w:jc w:val="right"/>
              <w:ind w:right="748"/>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2015 and 2014, cash equivalents consisted of money market funds in the amounts of $21.4 million and $13.1 million,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560"/>
              <w:spacing w:after="0"/>
              <w:rPr>
                <w:sz w:val="20"/>
                <w:szCs w:val="20"/>
                <w:color w:val="auto"/>
              </w:rPr>
            </w:pPr>
            <w:r>
              <w:rPr>
                <w:rFonts w:ascii="Arial" w:cs="Arial" w:eastAsia="Arial" w:hAnsi="Arial"/>
                <w:sz w:val="14"/>
                <w:szCs w:val="14"/>
                <w:color w:val="auto"/>
              </w:rPr>
              <w:t>Below are the financial highlights:</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March 4, 2011</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w w:val="94"/>
              </w:rPr>
              <w:t>For the years ended 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operations)</w:t>
            </w: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gridSpan w:val="7"/>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38"/>
        </w:trPr>
        <w:tc>
          <w:tcPr>
            <w:tcW w:w="5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1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14.10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8"/>
        </w:trPr>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0.26</w:t>
            </w:r>
          </w:p>
        </w:tc>
        <w:tc>
          <w:tcPr>
            <w:tcW w:w="1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0.83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8"/>
        </w:trPr>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Distribution of net investment income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(0.84)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300"/>
              <w:spacing w:after="0" w:line="149" w:lineRule="exact"/>
              <w:rPr>
                <w:sz w:val="20"/>
                <w:szCs w:val="20"/>
                <w:color w:val="auto"/>
              </w:rPr>
            </w:pPr>
            <w:r>
              <w:rPr>
                <w:rFonts w:ascii="Arial" w:cs="Arial" w:eastAsia="Arial" w:hAnsi="Arial"/>
                <w:sz w:val="14"/>
                <w:szCs w:val="14"/>
                <w:color w:val="auto"/>
              </w:rPr>
              <w:t>Distribution of realized gains</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(0.24)</w:t>
            </w: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distributions to stockholders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8"/>
        </w:trPr>
        <w:tc>
          <w:tcPr>
            <w:tcW w:w="5120" w:type="dxa"/>
            <w:vAlign w:val="bottom"/>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1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Effect of acquisition of MCG and offering costs </w:t>
            </w: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56"/>
        </w:trPr>
        <w:tc>
          <w:tcPr>
            <w:tcW w:w="5120" w:type="dxa"/>
            <w:vAlign w:val="bottom"/>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14.40</w:t>
            </w: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11.94</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13.78</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12.67</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(6.01)%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8.05%</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17.17%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29.43%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26,730,074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14,898,056</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14,898,056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6,850,667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55"/>
        </w:trPr>
        <w:tc>
          <w:tcPr>
            <w:tcW w:w="5120" w:type="dxa"/>
            <w:vAlign w:val="bottom"/>
          </w:tcPr>
          <w:p>
            <w:pPr>
              <w:spacing w:after="0" w:line="155" w:lineRule="exact"/>
              <w:rPr>
                <w:sz w:val="20"/>
                <w:szCs w:val="20"/>
                <w:color w:val="auto"/>
              </w:rPr>
            </w:pPr>
            <w:r>
              <w:rPr>
                <w:rFonts w:ascii="Arial" w:cs="Arial" w:eastAsia="Arial" w:hAnsi="Arial"/>
                <w:sz w:val="14"/>
                <w:szCs w:val="14"/>
                <w:b w:val="1"/>
                <w:bCs w:val="1"/>
                <w:color w:val="auto"/>
              </w:rPr>
              <w:t>Ratios*/ Supplemental Data:</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8"/>
        </w:trPr>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7.77%</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372,890,449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214,527,710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210,066,394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95,743,877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62"/>
        </w:trPr>
        <w:tc>
          <w:tcPr>
            <w:tcW w:w="5120" w:type="dxa"/>
            <w:vAlign w:val="bottom"/>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123,924,384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147,599,452</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71,678,836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46,133,607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7,550,877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8"/>
        </w:trPr>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13,598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2,460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4,735</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62.74%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4"/>
          <w:szCs w:val="14"/>
          <w:color w:val="auto"/>
        </w:rPr>
        <w:t>Not annualized for periods less than one year.</w:t>
      </w:r>
    </w:p>
    <w:p>
      <w:pPr>
        <w:ind w:left="340" w:hanging="332"/>
        <w:spacing w:after="0" w:line="221"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380" w:hanging="332"/>
        <w:spacing w:after="0" w:line="221"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Excludes Credit Facility related costs, if any.</w:t>
      </w:r>
    </w:p>
    <w:p>
      <w:pPr>
        <w:ind w:left="340" w:hanging="332"/>
        <w:spacing w:after="0" w:line="221"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40" w:right="120" w:hanging="332"/>
        <w:spacing w:after="0" w:line="271"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00"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Funding I’s multi-currency Credit Facility with the Lenders was $290 million as of September 30, 2015,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2015 and 2014, Funding I had $29.6 million and $146.4 million of outstanding borrowings under the Credit Facility, respectively. The Credit Facility has an interest rate of 2.20% and 2.16%, respectively, excluding the undrawn commitment fees as of September 30, 2015 and 2014. The annualized weighted average cost of debt for the years ended September 30, 2015, 2014 and 2013, inclusive of the fee on the undrawn commitment on the Credit Facility but excluding amendment costs, was 2.62%, 2.35% and 2.59%, respectively.</w:t>
      </w:r>
    </w:p>
    <w:p>
      <w:pPr>
        <w:spacing w:after="0" w:line="42"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20"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2015, we were in compliance with the covenants relating to our Credit Facility.</w:t>
      </w:r>
    </w:p>
    <w:p>
      <w:pPr>
        <w:spacing w:after="0" w:line="2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48"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59"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 of Investments. As of September 30, 2015 and 2014, we had $4.8 million and $2.7 million, respectively, in commitments to fund investments.</w:t>
      </w:r>
    </w:p>
    <w:p>
      <w:pPr>
        <w:spacing w:after="0" w:line="3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3"/>
          <w:szCs w:val="13"/>
          <w:color w:val="auto"/>
        </w:rPr>
        <w:t>Between May 6, 2015, and May 18, 2015, a number of putative class action lawsuits were filed by former stockholders of MCG challenging our acquisition of MCG in the Delaware Court of Chancery. The consolidated complaint alleged that MCG’s directors violated their fiduciary duties by, among other things, not protecting against their supposed conflicts of interest and failing to take steps to maximize the consideration to be received by MCG’s former stockholders in our acquisition of MCG. The consolidated complaint also alleged that the Company and the Investment Adviser aided and abetted the MCG directors’ purported breach of fiduciary duties. We believe that the consolidated complaint is without merit. On July 30, 2015, the parties entered into a memorandum of understanding setting forth an agreement in principle to settle the class action complaint. The parties plan to file a stipulation of settlement with the court, which provides for, among other things, settlement of the class action complaint. There can be no assurance that the settlement will be finalized or that the court will approve the settlement.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ACQUISITION OF MC CAPITAL CORPORTION</w:t>
      </w:r>
    </w:p>
    <w:p>
      <w:pPr>
        <w:spacing w:after="0" w:line="73" w:lineRule="exact"/>
        <w:rPr>
          <w:sz w:val="20"/>
          <w:szCs w:val="20"/>
          <w:color w:val="auto"/>
        </w:rPr>
      </w:pPr>
    </w:p>
    <w:p>
      <w:pPr>
        <w:ind w:right="480" w:firstLine="562"/>
        <w:spacing w:after="0" w:line="253" w:lineRule="auto"/>
        <w:rPr>
          <w:sz w:val="20"/>
          <w:szCs w:val="20"/>
          <w:color w:val="auto"/>
        </w:rPr>
      </w:pPr>
      <w:r>
        <w:rPr>
          <w:rFonts w:ascii="Arial" w:cs="Arial" w:eastAsia="Arial" w:hAnsi="Arial"/>
          <w:sz w:val="14"/>
          <w:szCs w:val="14"/>
          <w:color w:val="auto"/>
        </w:rPr>
        <w:t>We entered into the Merger Agreement with MCG on April 28, 2015 to improve our scale to be more important to borrowers, to increase our market capitalization, to reduce our expense ratio and to increase diversification.</w:t>
      </w:r>
    </w:p>
    <w:p>
      <w:pPr>
        <w:spacing w:after="0" w:line="25"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On August 18,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36"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accounted for the merger with MCG under the asset acquisition method of accounting in accordance with ASC 805-50, Business Combinations—Related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On October 15, 2015, the Company increased the size of its Credit Facility from $290 million to $350 million. All other terms remain unchanged.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7,104</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3,639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4,097</w:t>
            </w: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4,456</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5,468</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(2,424)</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630</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1,668</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w:t>
            </w: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1,215</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4,727</w:t>
            </w: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6,124</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438</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per common share </w:t>
            </w:r>
            <w:r>
              <w:rPr>
                <w:rFonts w:ascii="Arial" w:cs="Arial" w:eastAsia="Arial" w:hAnsi="Arial"/>
                <w:sz w:val="12"/>
                <w:szCs w:val="12"/>
                <w:color w:val="auto"/>
              </w:rPr>
              <w:t>*</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0.06</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0.32</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0.41</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0.03</w:t>
            </w: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13.95</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14.33</w:t>
            </w: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14.30</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14.16</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11.94</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13.88</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14.03</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8,221</w:t>
            </w: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7,623</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5,320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4,363</w:t>
            </w: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3,725</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3,228</w:t>
            </w: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(3,043)</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579</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3,513</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2,829</w:t>
            </w: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2,278</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4,942</w:t>
            </w: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7,237</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6,057</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per common share </w:t>
            </w:r>
            <w:r>
              <w:rPr>
                <w:rFonts w:ascii="Arial" w:cs="Arial" w:eastAsia="Arial" w:hAnsi="Arial"/>
                <w:sz w:val="12"/>
                <w:szCs w:val="12"/>
                <w:color w:val="auto"/>
              </w:rPr>
              <w:t>*</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0.15</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0.33</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0.49</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0.41</w:t>
            </w: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14.40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14.46</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14.24</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13.78</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14.29</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13.82</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6,095</w:t>
            </w: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4,670</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4,140</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3,581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3,217</w:t>
            </w: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1,666</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2,059</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1,866</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(1,650)</w:t>
            </w:r>
          </w:p>
        </w:tc>
        <w:tc>
          <w:tcPr>
            <w:tcW w:w="6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1,540</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(294)</w:t>
            </w: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5,447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1,567</w:t>
            </w: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3,206</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1,765</w:t>
            </w: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per common share </w:t>
            </w:r>
            <w:r>
              <w:rPr>
                <w:rFonts w:ascii="Arial" w:cs="Arial" w:eastAsia="Arial" w:hAnsi="Arial"/>
                <w:sz w:val="12"/>
                <w:szCs w:val="12"/>
                <w:color w:val="auto"/>
              </w:rPr>
              <w:t>*</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0.39</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0.15</w:t>
            </w:r>
          </w:p>
        </w:tc>
        <w:tc>
          <w:tcPr>
            <w:tcW w:w="6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0.45</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0.26</w:t>
            </w: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14.10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13.98</w:t>
            </w: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14.10</w:t>
            </w:r>
          </w:p>
        </w:tc>
        <w:tc>
          <w:tcPr>
            <w:tcW w:w="4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13.99</w:t>
            </w: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13.78</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14.14</w:t>
            </w:r>
          </w:p>
        </w:tc>
        <w:tc>
          <w:tcPr>
            <w:tcW w:w="6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13.96</w:t>
            </w:r>
          </w:p>
        </w:tc>
        <w:tc>
          <w:tcPr>
            <w:tcW w:w="4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As of September 30, 2015,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Management’s Report on Internal Control Over Financial Reporting, which appears on page 44 of this Report, is incorporated by reference herein.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180"/>
          </w:cols>
          <w:pgMar w:left="32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100"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will file a definitive Proxy Statement for our 2016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2016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2016 Annual Meeting of Stockholders, to be filed with the Securities and Exchange Commission within 120 days following the end of our fiscal year.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10760" w:type="dxa"/>
            <w:vAlign w:val="bottom"/>
            <w:gridSpan w:val="2"/>
          </w:tcPr>
          <w:p>
            <w:pPr>
              <w:ind w:left="100"/>
              <w:spacing w:after="0"/>
              <w:rPr>
                <w:sz w:val="20"/>
                <w:szCs w:val="20"/>
                <w:color w:val="auto"/>
              </w:rPr>
            </w:pPr>
            <w:r>
              <w:rPr>
                <w:rFonts w:ascii="Arial" w:cs="Arial" w:eastAsia="Arial" w:hAnsi="Arial"/>
                <w:sz w:val="14"/>
                <w:szCs w:val="14"/>
                <w:color w:val="auto"/>
              </w:rPr>
              <w:t>The following documents are filed as part of this Annual Report:</w:t>
            </w:r>
          </w:p>
        </w:tc>
      </w:tr>
      <w:tr>
        <w:trPr>
          <w:trHeight w:val="270"/>
        </w:trPr>
        <w:tc>
          <w:tcPr>
            <w:tcW w:w="460" w:type="dxa"/>
            <w:vAlign w:val="bottom"/>
          </w:tcPr>
          <w:p>
            <w:pPr>
              <w:spacing w:after="0"/>
              <w:rPr>
                <w:sz w:val="23"/>
                <w:szCs w:val="23"/>
                <w:color w:val="auto"/>
              </w:rPr>
            </w:pPr>
          </w:p>
        </w:tc>
        <w:tc>
          <w:tcPr>
            <w:tcW w:w="10760" w:type="dxa"/>
            <w:vAlign w:val="bottom"/>
            <w:gridSpan w:val="2"/>
          </w:tcPr>
          <w:p>
            <w:pPr>
              <w:ind w:left="340"/>
              <w:spacing w:after="0"/>
              <w:rPr>
                <w:sz w:val="20"/>
                <w:szCs w:val="20"/>
                <w:color w:val="auto"/>
              </w:rPr>
            </w:pPr>
            <w:r>
              <w:rPr>
                <w:rFonts w:ascii="Arial" w:cs="Arial" w:eastAsia="Arial" w:hAnsi="Arial"/>
                <w:sz w:val="14"/>
                <w:szCs w:val="14"/>
                <w:color w:val="auto"/>
              </w:rPr>
              <w:t>(1)  Index to Financial Statements—Refer to Item 8 starting on page 43.</w:t>
            </w:r>
          </w:p>
        </w:tc>
      </w:tr>
      <w:tr>
        <w:trPr>
          <w:trHeight w:val="270"/>
        </w:trPr>
        <w:tc>
          <w:tcPr>
            <w:tcW w:w="46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4"/>
                <w:szCs w:val="14"/>
                <w:color w:val="auto"/>
              </w:rPr>
              <w:t>(2)</w:t>
            </w:r>
          </w:p>
        </w:tc>
        <w:tc>
          <w:tcPr>
            <w:tcW w:w="10180" w:type="dxa"/>
            <w:vAlign w:val="bottom"/>
          </w:tcPr>
          <w:p>
            <w:pPr>
              <w:ind w:left="80"/>
              <w:spacing w:after="0"/>
              <w:rPr>
                <w:sz w:val="20"/>
                <w:szCs w:val="20"/>
                <w:color w:val="auto"/>
              </w:rPr>
            </w:pPr>
            <w:r>
              <w:rPr>
                <w:rFonts w:ascii="Arial" w:cs="Arial" w:eastAsia="Arial" w:hAnsi="Arial"/>
                <w:sz w:val="14"/>
                <w:szCs w:val="14"/>
                <w:color w:val="auto"/>
              </w:rPr>
              <w:t>Financial Statement Schedules—None.</w:t>
            </w:r>
          </w:p>
        </w:tc>
      </w:tr>
      <w:tr>
        <w:trPr>
          <w:trHeight w:val="270"/>
        </w:trPr>
        <w:tc>
          <w:tcPr>
            <w:tcW w:w="46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4"/>
                <w:szCs w:val="14"/>
                <w:color w:val="auto"/>
              </w:rPr>
              <w:t>(3)</w:t>
            </w:r>
          </w:p>
        </w:tc>
        <w:tc>
          <w:tcPr>
            <w:tcW w:w="10180" w:type="dxa"/>
            <w:vAlign w:val="bottom"/>
          </w:tcPr>
          <w:p>
            <w:pPr>
              <w:ind w:left="80"/>
              <w:spacing w:after="0"/>
              <w:rPr>
                <w:sz w:val="20"/>
                <w:szCs w:val="20"/>
                <w:color w:val="auto"/>
              </w:rPr>
            </w:pPr>
            <w:r>
              <w:rPr>
                <w:rFonts w:ascii="Arial" w:cs="Arial" w:eastAsia="Arial" w:hAnsi="Arial"/>
                <w:sz w:val="14"/>
                <w:szCs w:val="14"/>
                <w:color w:val="auto"/>
              </w:rPr>
              <w:t>Exhibits</w:t>
            </w:r>
          </w:p>
        </w:tc>
      </w:tr>
      <w:tr>
        <w:trPr>
          <w:trHeight w:val="378"/>
        </w:trPr>
        <w:tc>
          <w:tcPr>
            <w:tcW w:w="46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Agreement and Plan of Merger (Incorporated by reference to the Registrant’s Current Report on Form 8-K (File No. 814-00891), filed on April 29, 2015).</w:t>
            </w:r>
          </w:p>
        </w:tc>
      </w:tr>
      <w:tr>
        <w:trPr>
          <w:trHeight w:val="223"/>
        </w:trPr>
        <w:tc>
          <w:tcPr>
            <w:tcW w:w="46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3"/>
              </w:rPr>
              <w:t>Articles of Amendment and Restatement of the Registrant (Incorporated by reference to the Registrant’s Pre-Effective Amendment No. 3 to the Registration Statement on Form N-2</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(File No. 333-170243), filed on March 29, 2011).</w:t>
            </w:r>
          </w:p>
        </w:tc>
      </w:tr>
      <w:tr>
        <w:trPr>
          <w:trHeight w:val="257"/>
        </w:trPr>
        <w:tc>
          <w:tcPr>
            <w:tcW w:w="4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5"/>
              </w:rPr>
              <w:t>Amended and Restated Bylaws of the Registrant (Incorporated by reference to the Registrant’s Annual Report on Form 10-K (File No. 814-00891), filed on November 14, 2013).</w:t>
            </w:r>
          </w:p>
        </w:tc>
      </w:tr>
      <w:tr>
        <w:trPr>
          <w:trHeight w:val="223"/>
        </w:trPr>
        <w:tc>
          <w:tcPr>
            <w:tcW w:w="460" w:type="dxa"/>
            <w:vAlign w:val="bottom"/>
          </w:tcPr>
          <w:p>
            <w:pPr>
              <w:jc w:val="right"/>
              <w:ind w:right="128"/>
              <w:spacing w:after="0"/>
              <w:rPr>
                <w:sz w:val="20"/>
                <w:szCs w:val="20"/>
                <w:color w:val="auto"/>
              </w:rPr>
            </w:pPr>
            <w:r>
              <w:rPr>
                <w:rFonts w:ascii="Arial" w:cs="Arial" w:eastAsia="Arial" w:hAnsi="Arial"/>
                <w:sz w:val="14"/>
                <w:szCs w:val="14"/>
                <w:color w:val="auto"/>
              </w:rPr>
              <w:t>4.1</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4"/>
              </w:rPr>
              <w:t>Form of Share Certificate (Incorporated by reference to the Registrant’s Pre-Effective Amendment No. 5 to the Registration Statement on Form N-2 (File No. 333-170243), filed on</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April 5, 2011).</w:t>
            </w:r>
          </w:p>
        </w:tc>
      </w:tr>
      <w:tr>
        <w:trPr>
          <w:trHeight w:val="223"/>
        </w:trPr>
        <w:tc>
          <w:tcPr>
            <w:tcW w:w="460" w:type="dxa"/>
            <w:vAlign w:val="bottom"/>
          </w:tcPr>
          <w:p>
            <w:pPr>
              <w:jc w:val="right"/>
              <w:ind w:right="48"/>
              <w:spacing w:after="0"/>
              <w:rPr>
                <w:sz w:val="20"/>
                <w:szCs w:val="20"/>
                <w:color w:val="auto"/>
              </w:rPr>
            </w:pPr>
            <w:r>
              <w:rPr>
                <w:rFonts w:ascii="Arial" w:cs="Arial" w:eastAsia="Arial" w:hAnsi="Arial"/>
                <w:sz w:val="14"/>
                <w:szCs w:val="14"/>
                <w:color w:val="auto"/>
                <w:w w:val="97"/>
              </w:rPr>
              <w:t>10.1*</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5"/>
              </w:rPr>
              <w:t>First Amendment to Third Amended and Restated Revolving Credit and Security Agreement, dated as of August 26, 2015, among PennantPark Floating Rate Funding I, LLC, as</w:t>
            </w:r>
          </w:p>
        </w:tc>
      </w:tr>
      <w:tr>
        <w:trPr>
          <w:trHeight w:val="148"/>
        </w:trPr>
        <w:tc>
          <w:tcPr>
            <w:tcW w:w="460" w:type="dxa"/>
            <w:vAlign w:val="bottom"/>
          </w:tcPr>
          <w:p>
            <w:pPr>
              <w:spacing w:after="0"/>
              <w:rPr>
                <w:sz w:val="12"/>
                <w:szCs w:val="12"/>
                <w:color w:val="auto"/>
              </w:rPr>
            </w:pPr>
          </w:p>
        </w:tc>
        <w:tc>
          <w:tcPr>
            <w:tcW w:w="107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6"/>
              </w:rPr>
              <w:t>borrower, PennantPark Investment Advisers, LLC, as collateral manager, the lenders from time to time parties thereto, SunTrust Bank, as administrative agent, and U.S. Bank</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National Association, as collateral agent, as backup collateral manager, and as custodian.</w:t>
            </w:r>
          </w:p>
        </w:tc>
      </w:tr>
      <w:tr>
        <w:trPr>
          <w:trHeight w:val="223"/>
        </w:trPr>
        <w:tc>
          <w:tcPr>
            <w:tcW w:w="460" w:type="dxa"/>
            <w:vAlign w:val="bottom"/>
          </w:tcPr>
          <w:p>
            <w:pPr>
              <w:jc w:val="right"/>
              <w:ind w:right="128"/>
              <w:spacing w:after="0"/>
              <w:rPr>
                <w:sz w:val="20"/>
                <w:szCs w:val="20"/>
                <w:color w:val="auto"/>
              </w:rPr>
            </w:pPr>
            <w:r>
              <w:rPr>
                <w:rFonts w:ascii="Arial" w:cs="Arial" w:eastAsia="Arial" w:hAnsi="Arial"/>
                <w:sz w:val="14"/>
                <w:szCs w:val="14"/>
                <w:color w:val="auto"/>
                <w:w w:val="87"/>
              </w:rPr>
              <w:t>10.2</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2"/>
              </w:rPr>
              <w:t>Purchase and Contribution Agreement, dated as of June 23, 2011, among PennantPark Floating Rate Capital Ltd., as the seller, and PennantPark Floating Rate Funding I, LLC, as the</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buyer (Incorporated by reference to Exhibit 10.2 to the Registrant’s Periodic Report on Form 8-K, filed on June 29, 2011).</w:t>
            </w:r>
          </w:p>
        </w:tc>
      </w:tr>
      <w:tr>
        <w:trPr>
          <w:trHeight w:val="223"/>
        </w:trPr>
        <w:tc>
          <w:tcPr>
            <w:tcW w:w="460" w:type="dxa"/>
            <w:vAlign w:val="bottom"/>
          </w:tcPr>
          <w:p>
            <w:pPr>
              <w:jc w:val="right"/>
              <w:ind w:right="128"/>
              <w:spacing w:after="0"/>
              <w:rPr>
                <w:sz w:val="20"/>
                <w:szCs w:val="20"/>
                <w:color w:val="auto"/>
              </w:rPr>
            </w:pPr>
            <w:r>
              <w:rPr>
                <w:rFonts w:ascii="Arial" w:cs="Arial" w:eastAsia="Arial" w:hAnsi="Arial"/>
                <w:sz w:val="14"/>
                <w:szCs w:val="14"/>
                <w:color w:val="auto"/>
                <w:w w:val="87"/>
              </w:rPr>
              <w:t>10.3</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4"/>
              </w:rPr>
              <w:t>Form of Administration Agreement between the Registrant and PennantPark Investment Administration, LLC (Incorporated by reference to Exhibit 99(k)(2) to the Registrant’s Pre-</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Effective Amendment No. 3 to the Registration Statement on Form N-2 (File No. 333-170243), filed on March 29, 2011).</w:t>
            </w:r>
          </w:p>
        </w:tc>
      </w:tr>
      <w:tr>
        <w:trPr>
          <w:trHeight w:val="223"/>
        </w:trPr>
        <w:tc>
          <w:tcPr>
            <w:tcW w:w="460" w:type="dxa"/>
            <w:vAlign w:val="bottom"/>
          </w:tcPr>
          <w:p>
            <w:pPr>
              <w:jc w:val="right"/>
              <w:ind w:right="128"/>
              <w:spacing w:after="0"/>
              <w:rPr>
                <w:sz w:val="20"/>
                <w:szCs w:val="20"/>
                <w:color w:val="auto"/>
              </w:rPr>
            </w:pPr>
            <w:r>
              <w:rPr>
                <w:rFonts w:ascii="Arial" w:cs="Arial" w:eastAsia="Arial" w:hAnsi="Arial"/>
                <w:sz w:val="14"/>
                <w:szCs w:val="14"/>
                <w:color w:val="auto"/>
                <w:w w:val="87"/>
              </w:rPr>
              <w:t>10.4</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6"/>
              </w:rPr>
              <w:t>Dividend Reinvestment Plan (Incorporated by reference to Exhibit 99(e) to the Registrant’s Pre-Effective Amendment No. 3 to the Registration Statement on Form N-2 (File No.</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333-170243), filed on March 29, 2011).</w:t>
            </w:r>
          </w:p>
        </w:tc>
      </w:tr>
      <w:tr>
        <w:trPr>
          <w:trHeight w:val="223"/>
        </w:trPr>
        <w:tc>
          <w:tcPr>
            <w:tcW w:w="460" w:type="dxa"/>
            <w:vAlign w:val="bottom"/>
          </w:tcPr>
          <w:p>
            <w:pPr>
              <w:jc w:val="right"/>
              <w:ind w:right="128"/>
              <w:spacing w:after="0"/>
              <w:rPr>
                <w:sz w:val="20"/>
                <w:szCs w:val="20"/>
                <w:color w:val="auto"/>
              </w:rPr>
            </w:pPr>
            <w:r>
              <w:rPr>
                <w:rFonts w:ascii="Arial" w:cs="Arial" w:eastAsia="Arial" w:hAnsi="Arial"/>
                <w:sz w:val="14"/>
                <w:szCs w:val="14"/>
                <w:color w:val="auto"/>
                <w:w w:val="87"/>
              </w:rPr>
              <w:t>10.5</w:t>
            </w: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w w:val="94"/>
              </w:rPr>
              <w:t>Amended and Restated Investment Advisory Agreement, dated as of August 7, 2012, between PennantPark Floating Rate Capital Ltd. and PennantPark Investment Advisers, LLC</w:t>
            </w:r>
          </w:p>
        </w:tc>
      </w:tr>
      <w:tr>
        <w:trPr>
          <w:trHeight w:val="182"/>
        </w:trPr>
        <w:tc>
          <w:tcPr>
            <w:tcW w:w="460" w:type="dxa"/>
            <w:vAlign w:val="bottom"/>
          </w:tcPr>
          <w:p>
            <w:pPr>
              <w:spacing w:after="0"/>
              <w:rPr>
                <w:sz w:val="15"/>
                <w:szCs w:val="15"/>
                <w:color w:val="auto"/>
              </w:rPr>
            </w:pPr>
          </w:p>
        </w:tc>
        <w:tc>
          <w:tcPr>
            <w:tcW w:w="10760" w:type="dxa"/>
            <w:vAlign w:val="bottom"/>
            <w:gridSpan w:val="2"/>
          </w:tcPr>
          <w:p>
            <w:pPr>
              <w:ind w:left="300"/>
              <w:spacing w:after="0"/>
              <w:rPr>
                <w:sz w:val="20"/>
                <w:szCs w:val="20"/>
                <w:color w:val="auto"/>
              </w:rPr>
            </w:pPr>
            <w:r>
              <w:rPr>
                <w:rFonts w:ascii="Arial" w:cs="Arial" w:eastAsia="Arial" w:hAnsi="Arial"/>
                <w:sz w:val="14"/>
                <w:szCs w:val="14"/>
                <w:color w:val="auto"/>
              </w:rPr>
              <w:t>(Incorporated by reference to the Registrant’s Quarterly Report on Form 10-Q (File No. 814-00891), filed on August 9, 2012).</w:t>
            </w:r>
          </w:p>
        </w:tc>
      </w:tr>
    </w:tbl>
    <w:p>
      <w:pPr>
        <w:spacing w:after="0" w:line="74"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14.1*</w:t>
      </w:r>
      <w:r>
        <w:rPr>
          <w:rFonts w:ascii="Arial" w:cs="Arial" w:eastAsia="Arial" w:hAnsi="Arial"/>
          <w:sz w:val="13"/>
          <w:szCs w:val="13"/>
          <w:color w:val="auto"/>
        </w:rPr>
        <w:t>Joint Code of Ethics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21.1*</w:t>
      </w:r>
      <w:r>
        <w:rPr>
          <w:rFonts w:ascii="Arial" w:cs="Arial" w:eastAsia="Arial" w:hAnsi="Arial"/>
          <w:sz w:val="13"/>
          <w:szCs w:val="13"/>
          <w:color w:val="auto"/>
        </w:rPr>
        <w:t>Subsidiaries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3"/>
          <w:szCs w:val="13"/>
          <w:color w:val="auto"/>
        </w:rPr>
        <w:t>Certification of Chief Financial Officer pursuant to section 906 of the Sarbanes-Oxley Act of 2002.</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Privacy Policy of the Registrant. (Incorporated by reference to the Registrant’s Annual Report on Form 10-K (File No. 814-00891), filed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1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100"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3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86"/>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 of Directors</w:t>
            </w:r>
          </w:p>
        </w:tc>
      </w:tr>
    </w:tbl>
    <w:p>
      <w:pPr>
        <w:spacing w:after="0" w:line="74"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20"/>
          </w:cols>
          <w:pgMar w:left="320" w:top="459" w:right="45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6"/>
              </w:rPr>
              <w:t>Signature</w:t>
            </w:r>
          </w:p>
        </w:tc>
        <w:tc>
          <w:tcPr>
            <w:tcW w:w="1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gridSpan w:val="2"/>
          </w:tcPr>
          <w:p>
            <w:pPr>
              <w:jc w:val="center"/>
              <w:ind w:right="2340"/>
              <w:spacing w:after="0"/>
              <w:rPr>
                <w:sz w:val="20"/>
                <w:szCs w:val="20"/>
                <w:color w:val="auto"/>
              </w:rPr>
            </w:pPr>
            <w:r>
              <w:rPr>
                <w:rFonts w:ascii="Arial" w:cs="Arial" w:eastAsia="Arial" w:hAnsi="Arial"/>
                <w:sz w:val="13"/>
                <w:szCs w:val="13"/>
                <w:b w:val="1"/>
                <w:bCs w:val="1"/>
                <w:color w:val="auto"/>
                <w:w w:val="89"/>
              </w:rPr>
              <w:t>Title</w:t>
            </w:r>
          </w:p>
        </w:tc>
      </w:tr>
      <w:tr>
        <w:trPr>
          <w:trHeight w:val="20"/>
        </w:trPr>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1"/>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ARTHUR H. PENN</w:t>
            </w: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5080" w:type="dxa"/>
            <w:vAlign w:val="bottom"/>
            <w:gridSpan w:val="3"/>
          </w:tcPr>
          <w:p>
            <w:pPr>
              <w:jc w:val="center"/>
              <w:ind w:left="88"/>
              <w:spacing w:after="0"/>
              <w:rPr>
                <w:sz w:val="20"/>
                <w:szCs w:val="20"/>
                <w:color w:val="auto"/>
              </w:rPr>
            </w:pPr>
            <w:r>
              <w:rPr>
                <w:rFonts w:ascii="Arial" w:cs="Arial" w:eastAsia="Arial" w:hAnsi="Arial"/>
                <w:sz w:val="14"/>
                <w:szCs w:val="14"/>
                <w:color w:val="auto"/>
                <w:w w:val="95"/>
              </w:rPr>
              <w:t>Chief Executive Officer and Chairman of the Board of Directors (Principal Executive</w:t>
            </w:r>
          </w:p>
        </w:tc>
      </w:tr>
      <w:tr>
        <w:trPr>
          <w:trHeight w:val="186"/>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Arthur H. Penn</w:t>
            </w:r>
          </w:p>
        </w:tc>
        <w:tc>
          <w:tcPr>
            <w:tcW w:w="1820" w:type="dxa"/>
            <w:vAlign w:val="bottom"/>
          </w:tcPr>
          <w:p>
            <w:pPr>
              <w:spacing w:after="0"/>
              <w:rPr>
                <w:sz w:val="16"/>
                <w:szCs w:val="16"/>
                <w:color w:val="auto"/>
              </w:rPr>
            </w:pPr>
          </w:p>
        </w:tc>
        <w:tc>
          <w:tcPr>
            <w:tcW w:w="5080" w:type="dxa"/>
            <w:vAlign w:val="bottom"/>
            <w:gridSpan w:val="3"/>
          </w:tcPr>
          <w:p>
            <w:pPr>
              <w:jc w:val="center"/>
              <w:ind w:left="68"/>
              <w:spacing w:after="0" w:line="150" w:lineRule="exact"/>
              <w:rPr>
                <w:sz w:val="20"/>
                <w:szCs w:val="20"/>
                <w:color w:val="auto"/>
              </w:rPr>
            </w:pPr>
            <w:r>
              <w:rPr>
                <w:rFonts w:ascii="Arial" w:cs="Arial" w:eastAsia="Arial" w:hAnsi="Arial"/>
                <w:sz w:val="14"/>
                <w:szCs w:val="14"/>
                <w:color w:val="auto"/>
              </w:rPr>
              <w:t>Officer)</w:t>
            </w:r>
          </w:p>
        </w:tc>
      </w:tr>
      <w:tr>
        <w:trPr>
          <w:trHeight w:val="22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AVIV EFRAT</w:t>
            </w:r>
          </w:p>
        </w:tc>
        <w:tc>
          <w:tcPr>
            <w:tcW w:w="1820" w:type="dxa"/>
            <w:vAlign w:val="bottom"/>
            <w:tcBorders>
              <w:bottom w:val="single" w:sz="8" w:color="auto"/>
            </w:tcBorders>
          </w:tcPr>
          <w:p>
            <w:pPr>
              <w:spacing w:after="0"/>
              <w:rPr>
                <w:sz w:val="19"/>
                <w:szCs w:val="19"/>
                <w:color w:val="auto"/>
              </w:rPr>
            </w:pPr>
          </w:p>
        </w:tc>
        <w:tc>
          <w:tcPr>
            <w:tcW w:w="5080" w:type="dxa"/>
            <w:vAlign w:val="bottom"/>
            <w:gridSpan w:val="3"/>
          </w:tcPr>
          <w:p>
            <w:pPr>
              <w:jc w:val="center"/>
              <w:ind w:left="88"/>
              <w:spacing w:after="0"/>
              <w:rPr>
                <w:sz w:val="20"/>
                <w:szCs w:val="20"/>
                <w:color w:val="auto"/>
              </w:rPr>
            </w:pPr>
            <w:r>
              <w:rPr>
                <w:rFonts w:ascii="Arial" w:cs="Arial" w:eastAsia="Arial" w:hAnsi="Arial"/>
                <w:sz w:val="14"/>
                <w:szCs w:val="14"/>
                <w:color w:val="auto"/>
                <w:w w:val="94"/>
              </w:rPr>
              <w:t>Chief Financial Officer and Treasurer</w:t>
            </w:r>
          </w:p>
        </w:tc>
      </w:tr>
      <w:tr>
        <w:trPr>
          <w:trHeight w:val="186"/>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Aviv Efrat</w:t>
            </w:r>
          </w:p>
        </w:tc>
        <w:tc>
          <w:tcPr>
            <w:tcW w:w="1820" w:type="dxa"/>
            <w:vAlign w:val="bottom"/>
          </w:tcPr>
          <w:p>
            <w:pPr>
              <w:spacing w:after="0"/>
              <w:rPr>
                <w:sz w:val="16"/>
                <w:szCs w:val="16"/>
                <w:color w:val="auto"/>
              </w:rPr>
            </w:pPr>
          </w:p>
        </w:tc>
        <w:tc>
          <w:tcPr>
            <w:tcW w:w="5080" w:type="dxa"/>
            <w:vAlign w:val="bottom"/>
            <w:gridSpan w:val="3"/>
          </w:tcPr>
          <w:p>
            <w:pPr>
              <w:jc w:val="center"/>
              <w:ind w:left="88"/>
              <w:spacing w:after="0" w:line="150" w:lineRule="exact"/>
              <w:rPr>
                <w:sz w:val="20"/>
                <w:szCs w:val="20"/>
                <w:color w:val="auto"/>
              </w:rPr>
            </w:pPr>
            <w:r>
              <w:rPr>
                <w:rFonts w:ascii="Arial" w:cs="Arial" w:eastAsia="Arial" w:hAnsi="Arial"/>
                <w:sz w:val="14"/>
                <w:szCs w:val="14"/>
                <w:color w:val="auto"/>
                <w:w w:val="96"/>
              </w:rPr>
              <w:t>(Principal Financial and Accounting Officer)</w:t>
            </w: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ADAM K. BERNSTEIN</w:t>
            </w:r>
          </w:p>
        </w:tc>
        <w:tc>
          <w:tcPr>
            <w:tcW w:w="1820" w:type="dxa"/>
            <w:vAlign w:val="bottom"/>
            <w:tcBorders>
              <w:bottom w:val="single" w:sz="8" w:color="auto"/>
            </w:tcBorders>
          </w:tcPr>
          <w:p>
            <w:pPr>
              <w:spacing w:after="0"/>
              <w:rPr>
                <w:sz w:val="20"/>
                <w:szCs w:val="20"/>
                <w:color w:val="auto"/>
              </w:rPr>
            </w:pPr>
          </w:p>
        </w:tc>
        <w:tc>
          <w:tcPr>
            <w:tcW w:w="5080" w:type="dxa"/>
            <w:vAlign w:val="bottom"/>
            <w:gridSpan w:val="3"/>
          </w:tcPr>
          <w:p>
            <w:pPr>
              <w:jc w:val="center"/>
              <w:ind w:left="88"/>
              <w:spacing w:after="0"/>
              <w:rPr>
                <w:sz w:val="20"/>
                <w:szCs w:val="20"/>
                <w:color w:val="auto"/>
              </w:rPr>
            </w:pPr>
            <w:r>
              <w:rPr>
                <w:rFonts w:ascii="Arial" w:cs="Arial" w:eastAsia="Arial" w:hAnsi="Arial"/>
                <w:sz w:val="14"/>
                <w:szCs w:val="14"/>
                <w:color w:val="auto"/>
                <w:w w:val="97"/>
              </w:rPr>
              <w:t>Director</w:t>
            </w:r>
          </w:p>
        </w:tc>
      </w:tr>
      <w:tr>
        <w:trPr>
          <w:trHeight w:val="180"/>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Adam K. Bernstein</w:t>
            </w: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JEFFREY FLUG</w:t>
            </w:r>
          </w:p>
        </w:tc>
        <w:tc>
          <w:tcPr>
            <w:tcW w:w="1820" w:type="dxa"/>
            <w:vAlign w:val="bottom"/>
            <w:tcBorders>
              <w:bottom w:val="single" w:sz="8" w:color="auto"/>
            </w:tcBorders>
          </w:tcPr>
          <w:p>
            <w:pPr>
              <w:spacing w:after="0"/>
              <w:rPr>
                <w:sz w:val="20"/>
                <w:szCs w:val="20"/>
                <w:color w:val="auto"/>
              </w:rPr>
            </w:pPr>
          </w:p>
        </w:tc>
        <w:tc>
          <w:tcPr>
            <w:tcW w:w="5080" w:type="dxa"/>
            <w:vAlign w:val="bottom"/>
            <w:gridSpan w:val="3"/>
          </w:tcPr>
          <w:p>
            <w:pPr>
              <w:jc w:val="center"/>
              <w:ind w:left="88"/>
              <w:spacing w:after="0"/>
              <w:rPr>
                <w:sz w:val="20"/>
                <w:szCs w:val="20"/>
                <w:color w:val="auto"/>
              </w:rPr>
            </w:pPr>
            <w:r>
              <w:rPr>
                <w:rFonts w:ascii="Arial" w:cs="Arial" w:eastAsia="Arial" w:hAnsi="Arial"/>
                <w:sz w:val="14"/>
                <w:szCs w:val="14"/>
                <w:color w:val="auto"/>
                <w:w w:val="97"/>
              </w:rPr>
              <w:t>Director</w:t>
            </w:r>
          </w:p>
        </w:tc>
      </w:tr>
      <w:tr>
        <w:trPr>
          <w:trHeight w:val="180"/>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Jeffrey Flug</w:t>
            </w: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MARSHALL BROZOST</w:t>
            </w:r>
          </w:p>
        </w:tc>
        <w:tc>
          <w:tcPr>
            <w:tcW w:w="1820" w:type="dxa"/>
            <w:vAlign w:val="bottom"/>
            <w:tcBorders>
              <w:bottom w:val="single" w:sz="8" w:color="auto"/>
            </w:tcBorders>
          </w:tcPr>
          <w:p>
            <w:pPr>
              <w:spacing w:after="0"/>
              <w:rPr>
                <w:sz w:val="20"/>
                <w:szCs w:val="20"/>
                <w:color w:val="auto"/>
              </w:rPr>
            </w:pPr>
          </w:p>
        </w:tc>
        <w:tc>
          <w:tcPr>
            <w:tcW w:w="5080" w:type="dxa"/>
            <w:vAlign w:val="bottom"/>
            <w:gridSpan w:val="3"/>
          </w:tcPr>
          <w:p>
            <w:pPr>
              <w:jc w:val="center"/>
              <w:ind w:left="88"/>
              <w:spacing w:after="0"/>
              <w:rPr>
                <w:sz w:val="20"/>
                <w:szCs w:val="20"/>
                <w:color w:val="auto"/>
              </w:rPr>
            </w:pPr>
            <w:r>
              <w:rPr>
                <w:rFonts w:ascii="Arial" w:cs="Arial" w:eastAsia="Arial" w:hAnsi="Arial"/>
                <w:sz w:val="14"/>
                <w:szCs w:val="14"/>
                <w:color w:val="auto"/>
                <w:w w:val="97"/>
              </w:rPr>
              <w:t>Director</w:t>
            </w:r>
          </w:p>
        </w:tc>
      </w:tr>
      <w:tr>
        <w:trPr>
          <w:trHeight w:val="180"/>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Marshall Brozost</w:t>
            </w: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SAMUEL L. KATZ</w:t>
            </w:r>
          </w:p>
        </w:tc>
        <w:tc>
          <w:tcPr>
            <w:tcW w:w="1820" w:type="dxa"/>
            <w:vAlign w:val="bottom"/>
            <w:tcBorders>
              <w:bottom w:val="single" w:sz="8" w:color="auto"/>
            </w:tcBorders>
          </w:tcPr>
          <w:p>
            <w:pPr>
              <w:spacing w:after="0"/>
              <w:rPr>
                <w:sz w:val="20"/>
                <w:szCs w:val="20"/>
                <w:color w:val="auto"/>
              </w:rPr>
            </w:pPr>
          </w:p>
        </w:tc>
        <w:tc>
          <w:tcPr>
            <w:tcW w:w="5080" w:type="dxa"/>
            <w:vAlign w:val="bottom"/>
            <w:gridSpan w:val="3"/>
          </w:tcPr>
          <w:p>
            <w:pPr>
              <w:jc w:val="center"/>
              <w:ind w:left="88"/>
              <w:spacing w:after="0"/>
              <w:rPr>
                <w:sz w:val="20"/>
                <w:szCs w:val="20"/>
                <w:color w:val="auto"/>
              </w:rPr>
            </w:pPr>
            <w:r>
              <w:rPr>
                <w:rFonts w:ascii="Arial" w:cs="Arial" w:eastAsia="Arial" w:hAnsi="Arial"/>
                <w:sz w:val="14"/>
                <w:szCs w:val="14"/>
                <w:color w:val="auto"/>
                <w:w w:val="97"/>
              </w:rPr>
              <w:t>Director</w:t>
            </w:r>
          </w:p>
        </w:tc>
      </w:tr>
      <w:tr>
        <w:trPr>
          <w:trHeight w:val="180"/>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Samuel L. Katz</w:t>
            </w: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88"/>
        </w:trPr>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20" w:type="dxa"/>
            <w:vAlign w:val="bottom"/>
            <w:gridSpan w:val="2"/>
          </w:tcPr>
          <w:p>
            <w:pPr>
              <w:jc w:val="right"/>
              <w:ind w:right="928"/>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3"/>
          <w:szCs w:val="13"/>
          <w:b w:val="1"/>
          <w:bCs w:val="1"/>
          <w:u w:val="single" w:color="auto"/>
          <w:color w:val="auto"/>
        </w:rPr>
        <w:t>Date</w:t>
      </w: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2015</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November 12, 2015</w:t>
      </w:r>
    </w:p>
    <w:p>
      <w:pPr>
        <w:sectPr>
          <w:pgSz w:w="11900" w:h="16838" w:orient="portrait"/>
          <w:cols w:equalWidth="0" w:num="2">
            <w:col w:w="9280" w:space="540"/>
            <w:col w:w="1300"/>
          </w:cols>
          <w:pgMar w:left="320" w:top="459" w:right="45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10.1</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XECUTION</w:t>
      </w:r>
      <w:r>
        <w:rPr>
          <w:rFonts w:ascii="Arial" w:cs="Arial" w:eastAsia="Arial" w:hAnsi="Arial"/>
          <w:sz w:val="14"/>
          <w:szCs w:val="14"/>
          <w:color w:val="auto"/>
        </w:rPr>
        <w:t xml:space="preserve"> C</w:t>
      </w:r>
      <w:r>
        <w:rPr>
          <w:rFonts w:ascii="Arial" w:cs="Arial" w:eastAsia="Arial" w:hAnsi="Arial"/>
          <w:sz w:val="11"/>
          <w:szCs w:val="11"/>
          <w:color w:val="auto"/>
        </w:rPr>
        <w:t>OPY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IRST</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HIRD</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MENDED AND</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ESTATED</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EVOLVING</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REDIT AND</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ECURITY</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GREEMENT</w:t>
      </w:r>
    </w:p>
    <w:p>
      <w:pPr>
        <w:spacing w:after="0" w:line="84" w:lineRule="exact"/>
        <w:rPr>
          <w:sz w:val="20"/>
          <w:szCs w:val="20"/>
          <w:color w:val="auto"/>
        </w:rPr>
      </w:pPr>
    </w:p>
    <w:p>
      <w:pPr>
        <w:jc w:val="both"/>
        <w:ind w:firstLine="562"/>
        <w:spacing w:after="0" w:line="226" w:lineRule="auto"/>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HIS</w:t>
      </w:r>
      <w:r>
        <w:rPr>
          <w:rFonts w:ascii="Arial" w:cs="Arial" w:eastAsia="Arial" w:hAnsi="Arial"/>
          <w:sz w:val="14"/>
          <w:szCs w:val="14"/>
          <w:color w:val="auto"/>
        </w:rPr>
        <w:t xml:space="preserve"> F</w:t>
      </w:r>
      <w:r>
        <w:rPr>
          <w:rFonts w:ascii="Arial" w:cs="Arial" w:eastAsia="Arial" w:hAnsi="Arial"/>
          <w:sz w:val="11"/>
          <w:szCs w:val="11"/>
          <w:color w:val="auto"/>
        </w:rPr>
        <w:t>IRST</w:t>
      </w:r>
      <w:r>
        <w:rPr>
          <w:rFonts w:ascii="Arial" w:cs="Arial" w:eastAsia="Arial" w:hAnsi="Arial"/>
          <w:sz w:val="14"/>
          <w:szCs w:val="14"/>
          <w:color w:val="auto"/>
        </w:rPr>
        <w:t xml:space="preserve"> A</w:t>
      </w:r>
      <w:r>
        <w:rPr>
          <w:rFonts w:ascii="Arial" w:cs="Arial" w:eastAsia="Arial" w:hAnsi="Arial"/>
          <w:sz w:val="11"/>
          <w:szCs w:val="11"/>
          <w:color w:val="auto"/>
        </w:rPr>
        <w:t>MENDMENT TO</w:t>
      </w:r>
      <w:r>
        <w:rPr>
          <w:rFonts w:ascii="Arial" w:cs="Arial" w:eastAsia="Arial" w:hAnsi="Arial"/>
          <w:sz w:val="14"/>
          <w:szCs w:val="14"/>
          <w:color w:val="auto"/>
        </w:rPr>
        <w:t xml:space="preserve"> T</w:t>
      </w:r>
      <w:r>
        <w:rPr>
          <w:rFonts w:ascii="Arial" w:cs="Arial" w:eastAsia="Arial" w:hAnsi="Arial"/>
          <w:sz w:val="11"/>
          <w:szCs w:val="11"/>
          <w:color w:val="auto"/>
        </w:rPr>
        <w:t>HIRD</w:t>
      </w:r>
      <w:r>
        <w:rPr>
          <w:rFonts w:ascii="Arial" w:cs="Arial" w:eastAsia="Arial" w:hAnsi="Arial"/>
          <w:sz w:val="14"/>
          <w:szCs w:val="14"/>
          <w:color w:val="auto"/>
        </w:rPr>
        <w:t xml:space="preserve"> A</w:t>
      </w:r>
      <w:r>
        <w:rPr>
          <w:rFonts w:ascii="Arial" w:cs="Arial" w:eastAsia="Arial" w:hAnsi="Arial"/>
          <w:sz w:val="11"/>
          <w:szCs w:val="11"/>
          <w:color w:val="auto"/>
        </w:rPr>
        <w:t>MENDED AND</w:t>
      </w:r>
      <w:r>
        <w:rPr>
          <w:rFonts w:ascii="Arial" w:cs="Arial" w:eastAsia="Arial" w:hAnsi="Arial"/>
          <w:sz w:val="14"/>
          <w:szCs w:val="14"/>
          <w:color w:val="auto"/>
        </w:rPr>
        <w:t xml:space="preserve"> R</w:t>
      </w:r>
      <w:r>
        <w:rPr>
          <w:rFonts w:ascii="Arial" w:cs="Arial" w:eastAsia="Arial" w:hAnsi="Arial"/>
          <w:sz w:val="11"/>
          <w:szCs w:val="11"/>
          <w:color w:val="auto"/>
        </w:rPr>
        <w:t>ESTATED</w:t>
      </w:r>
      <w:r>
        <w:rPr>
          <w:rFonts w:ascii="Arial" w:cs="Arial" w:eastAsia="Arial" w:hAnsi="Arial"/>
          <w:sz w:val="14"/>
          <w:szCs w:val="14"/>
          <w:color w:val="auto"/>
        </w:rPr>
        <w:t xml:space="preserve"> R</w:t>
      </w:r>
      <w:r>
        <w:rPr>
          <w:rFonts w:ascii="Arial" w:cs="Arial" w:eastAsia="Arial" w:hAnsi="Arial"/>
          <w:sz w:val="11"/>
          <w:szCs w:val="11"/>
          <w:color w:val="auto"/>
        </w:rPr>
        <w:t>EVOLVING</w:t>
      </w:r>
      <w:r>
        <w:rPr>
          <w:rFonts w:ascii="Arial" w:cs="Arial" w:eastAsia="Arial" w:hAnsi="Arial"/>
          <w:sz w:val="14"/>
          <w:szCs w:val="14"/>
          <w:color w:val="auto"/>
        </w:rPr>
        <w:t xml:space="preserve"> C</w:t>
      </w:r>
      <w:r>
        <w:rPr>
          <w:rFonts w:ascii="Arial" w:cs="Arial" w:eastAsia="Arial" w:hAnsi="Arial"/>
          <w:sz w:val="11"/>
          <w:szCs w:val="11"/>
          <w:color w:val="auto"/>
        </w:rPr>
        <w:t>REDIT AND</w:t>
      </w:r>
      <w:r>
        <w:rPr>
          <w:rFonts w:ascii="Arial" w:cs="Arial" w:eastAsia="Arial" w:hAnsi="Arial"/>
          <w:sz w:val="14"/>
          <w:szCs w:val="14"/>
          <w:color w:val="auto"/>
        </w:rPr>
        <w:t xml:space="preserve"> S</w:t>
      </w:r>
      <w:r>
        <w:rPr>
          <w:rFonts w:ascii="Arial" w:cs="Arial" w:eastAsia="Arial" w:hAnsi="Arial"/>
          <w:sz w:val="11"/>
          <w:szCs w:val="11"/>
          <w:color w:val="auto"/>
        </w:rPr>
        <w:t>ECURITY</w:t>
      </w:r>
      <w:r>
        <w:rPr>
          <w:rFonts w:ascii="Arial" w:cs="Arial" w:eastAsia="Arial" w:hAnsi="Arial"/>
          <w:sz w:val="14"/>
          <w:szCs w:val="14"/>
          <w:color w:val="auto"/>
        </w:rPr>
        <w:t xml:space="preserve"> A</w:t>
      </w:r>
      <w:r>
        <w:rPr>
          <w:rFonts w:ascii="Arial" w:cs="Arial" w:eastAsia="Arial" w:hAnsi="Arial"/>
          <w:sz w:val="11"/>
          <w:szCs w:val="11"/>
          <w:color w:val="auto"/>
        </w:rPr>
        <w:t>GREEMENT</w:t>
      </w:r>
      <w:r>
        <w:rPr>
          <w:rFonts w:ascii="Arial" w:cs="Arial" w:eastAsia="Arial" w:hAnsi="Arial"/>
          <w:sz w:val="14"/>
          <w:szCs w:val="14"/>
          <w:color w:val="auto"/>
        </w:rPr>
        <w:t xml:space="preserve">, dated as of August 26, 2015 (the </w:t>
      </w:r>
      <w:r>
        <w:rPr>
          <w:rFonts w:ascii="Arial" w:cs="Arial" w:eastAsia="Arial" w:hAnsi="Arial"/>
          <w:sz w:val="14"/>
          <w:szCs w:val="14"/>
          <w:i w:val="1"/>
          <w:iCs w:val="1"/>
          <w:color w:val="auto"/>
        </w:rPr>
        <w:t>“Amendment”</w:t>
      </w:r>
      <w:r>
        <w:rPr>
          <w:rFonts w:ascii="Arial" w:cs="Arial" w:eastAsia="Arial" w:hAnsi="Arial"/>
          <w:sz w:val="14"/>
          <w:szCs w:val="14"/>
          <w:color w:val="auto"/>
        </w:rPr>
        <w:t xml:space="preserve">), is made pursuant to that certain Third Amended and Restated Revolving Credit and Security Agreement dated as of May 22, 2015 (as amended, restated, modified or supplemented from time to time, the </w:t>
      </w:r>
      <w:r>
        <w:rPr>
          <w:rFonts w:ascii="Arial" w:cs="Arial" w:eastAsia="Arial" w:hAnsi="Arial"/>
          <w:sz w:val="14"/>
          <w:szCs w:val="14"/>
          <w:i w:val="1"/>
          <w:iCs w:val="1"/>
          <w:color w:val="auto"/>
        </w:rPr>
        <w:t>“Agreement”</w:t>
      </w:r>
      <w:r>
        <w:rPr>
          <w:rFonts w:ascii="Arial" w:cs="Arial" w:eastAsia="Arial" w:hAnsi="Arial"/>
          <w:sz w:val="14"/>
          <w:szCs w:val="14"/>
          <w:color w:val="auto"/>
        </w:rPr>
        <w:t>), by and among P</w:t>
      </w:r>
      <w:r>
        <w:rPr>
          <w:rFonts w:ascii="Arial" w:cs="Arial" w:eastAsia="Arial" w:hAnsi="Arial"/>
          <w:sz w:val="11"/>
          <w:szCs w:val="11"/>
          <w:color w:val="auto"/>
        </w:rPr>
        <w:t>ENNANTPARK</w:t>
      </w:r>
      <w:r>
        <w:rPr>
          <w:rFonts w:ascii="Arial" w:cs="Arial" w:eastAsia="Arial" w:hAnsi="Arial"/>
          <w:sz w:val="14"/>
          <w:szCs w:val="14"/>
          <w:i w:val="1"/>
          <w:iCs w:val="1"/>
          <w:color w:val="auto"/>
        </w:rPr>
        <w:t xml:space="preserve"> </w:t>
      </w:r>
      <w:r>
        <w:rPr>
          <w:rFonts w:ascii="Arial" w:cs="Arial" w:eastAsia="Arial" w:hAnsi="Arial"/>
          <w:sz w:val="14"/>
          <w:szCs w:val="14"/>
          <w:color w:val="auto"/>
        </w:rPr>
        <w:t>F</w:t>
      </w:r>
      <w:r>
        <w:rPr>
          <w:rFonts w:ascii="Arial" w:cs="Arial" w:eastAsia="Arial" w:hAnsi="Arial"/>
          <w:sz w:val="11"/>
          <w:szCs w:val="11"/>
          <w:color w:val="auto"/>
        </w:rPr>
        <w:t>LOATING</w:t>
      </w:r>
      <w:r>
        <w:rPr>
          <w:rFonts w:ascii="Arial" w:cs="Arial" w:eastAsia="Arial" w:hAnsi="Arial"/>
          <w:sz w:val="14"/>
          <w:szCs w:val="14"/>
          <w:i w:val="1"/>
          <w:iCs w:val="1"/>
          <w:color w:val="auto"/>
        </w:rPr>
        <w:t xml:space="preserve"> </w:t>
      </w:r>
      <w:r>
        <w:rPr>
          <w:rFonts w:ascii="Arial" w:cs="Arial" w:eastAsia="Arial" w:hAnsi="Arial"/>
          <w:sz w:val="14"/>
          <w:szCs w:val="14"/>
          <w:color w:val="auto"/>
        </w:rPr>
        <w:t>R</w:t>
      </w:r>
      <w:r>
        <w:rPr>
          <w:rFonts w:ascii="Arial" w:cs="Arial" w:eastAsia="Arial" w:hAnsi="Arial"/>
          <w:sz w:val="11"/>
          <w:szCs w:val="11"/>
          <w:color w:val="auto"/>
        </w:rPr>
        <w:t>ATE</w:t>
      </w:r>
      <w:r>
        <w:rPr>
          <w:rFonts w:ascii="Arial" w:cs="Arial" w:eastAsia="Arial" w:hAnsi="Arial"/>
          <w:sz w:val="14"/>
          <w:szCs w:val="14"/>
          <w:i w:val="1"/>
          <w:iCs w:val="1"/>
          <w:color w:val="auto"/>
        </w:rPr>
        <w:t xml:space="preserve"> </w:t>
      </w:r>
      <w:r>
        <w:rPr>
          <w:rFonts w:ascii="Arial" w:cs="Arial" w:eastAsia="Arial" w:hAnsi="Arial"/>
          <w:sz w:val="14"/>
          <w:szCs w:val="14"/>
          <w:color w:val="auto"/>
        </w:rPr>
        <w:t>F</w:t>
      </w:r>
      <w:r>
        <w:rPr>
          <w:rFonts w:ascii="Arial" w:cs="Arial" w:eastAsia="Arial" w:hAnsi="Arial"/>
          <w:sz w:val="11"/>
          <w:szCs w:val="11"/>
          <w:color w:val="auto"/>
        </w:rPr>
        <w:t>UNDING</w:t>
      </w:r>
      <w:r>
        <w:rPr>
          <w:rFonts w:ascii="Arial" w:cs="Arial" w:eastAsia="Arial" w:hAnsi="Arial"/>
          <w:sz w:val="14"/>
          <w:szCs w:val="14"/>
          <w:i w:val="1"/>
          <w:iCs w:val="1"/>
          <w:color w:val="auto"/>
        </w:rPr>
        <w:t xml:space="preserve"> </w:t>
      </w:r>
      <w:r>
        <w:rPr>
          <w:rFonts w:ascii="Arial" w:cs="Arial" w:eastAsia="Arial" w:hAnsi="Arial"/>
          <w:sz w:val="14"/>
          <w:szCs w:val="14"/>
          <w:color w:val="auto"/>
        </w:rPr>
        <w:t>I, LLC, a Delaware limited liability company, as borrower (together with its permitted successors and assigns, the</w:t>
      </w:r>
      <w:r>
        <w:rPr>
          <w:rFonts w:ascii="Arial" w:cs="Arial" w:eastAsia="Arial" w:hAnsi="Arial"/>
          <w:sz w:val="14"/>
          <w:szCs w:val="14"/>
          <w:i w:val="1"/>
          <w:iCs w:val="1"/>
          <w:color w:val="auto"/>
        </w:rPr>
        <w:t xml:space="preserve"> “Borrower”</w:t>
      </w:r>
      <w:r>
        <w:rPr>
          <w:rFonts w:ascii="Arial" w:cs="Arial" w:eastAsia="Arial" w:hAnsi="Arial"/>
          <w:sz w:val="14"/>
          <w:szCs w:val="14"/>
          <w:color w:val="auto"/>
        </w:rPr>
        <w:t>); P</w:t>
      </w:r>
      <w:r>
        <w:rPr>
          <w:rFonts w:ascii="Arial" w:cs="Arial" w:eastAsia="Arial" w:hAnsi="Arial"/>
          <w:sz w:val="11"/>
          <w:szCs w:val="11"/>
          <w:color w:val="auto"/>
        </w:rPr>
        <w:t>ENNANTPARK</w:t>
      </w:r>
      <w:r>
        <w:rPr>
          <w:rFonts w:ascii="Arial" w:cs="Arial" w:eastAsia="Arial" w:hAnsi="Arial"/>
          <w:sz w:val="14"/>
          <w:szCs w:val="14"/>
          <w:i w:val="1"/>
          <w:iCs w:val="1"/>
          <w:color w:val="auto"/>
        </w:rPr>
        <w:t xml:space="preserve"> </w:t>
      </w:r>
      <w:r>
        <w:rPr>
          <w:rFonts w:ascii="Arial" w:cs="Arial" w:eastAsia="Arial" w:hAnsi="Arial"/>
          <w:sz w:val="14"/>
          <w:szCs w:val="14"/>
          <w:color w:val="auto"/>
        </w:rPr>
        <w:t>I</w:t>
      </w:r>
      <w:r>
        <w:rPr>
          <w:rFonts w:ascii="Arial" w:cs="Arial" w:eastAsia="Arial" w:hAnsi="Arial"/>
          <w:sz w:val="11"/>
          <w:szCs w:val="11"/>
          <w:color w:val="auto"/>
        </w:rPr>
        <w:t>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A</w:t>
      </w:r>
      <w:r>
        <w:rPr>
          <w:rFonts w:ascii="Arial" w:cs="Arial" w:eastAsia="Arial" w:hAnsi="Arial"/>
          <w:sz w:val="11"/>
          <w:szCs w:val="11"/>
          <w:color w:val="auto"/>
        </w:rPr>
        <w:t>DVISERS</w:t>
      </w:r>
      <w:r>
        <w:rPr>
          <w:rFonts w:ascii="Arial" w:cs="Arial" w:eastAsia="Arial" w:hAnsi="Arial"/>
          <w:sz w:val="14"/>
          <w:szCs w:val="14"/>
          <w:color w:val="auto"/>
        </w:rPr>
        <w:t>, LLC, a Delaware limited liability company, as the collateral manager (together with its permitted successors and assigns, the</w:t>
      </w:r>
      <w:r>
        <w:rPr>
          <w:rFonts w:ascii="Arial" w:cs="Arial" w:eastAsia="Arial" w:hAnsi="Arial"/>
          <w:sz w:val="14"/>
          <w:szCs w:val="14"/>
          <w:i w:val="1"/>
          <w:iCs w:val="1"/>
          <w:color w:val="auto"/>
        </w:rPr>
        <w:t xml:space="preserve"> “Collateral Manager”</w:t>
      </w:r>
      <w:r>
        <w:rPr>
          <w:rFonts w:ascii="Arial" w:cs="Arial" w:eastAsia="Arial" w:hAnsi="Arial"/>
          <w:sz w:val="14"/>
          <w:szCs w:val="14"/>
          <w:color w:val="auto"/>
        </w:rPr>
        <w:t>); the L</w:t>
      </w:r>
      <w:r>
        <w:rPr>
          <w:rFonts w:ascii="Arial" w:cs="Arial" w:eastAsia="Arial" w:hAnsi="Arial"/>
          <w:sz w:val="11"/>
          <w:szCs w:val="11"/>
          <w:color w:val="auto"/>
        </w:rPr>
        <w:t>ENDERS</w:t>
      </w:r>
      <w:r>
        <w:rPr>
          <w:rFonts w:ascii="Arial" w:cs="Arial" w:eastAsia="Arial" w:hAnsi="Arial"/>
          <w:sz w:val="14"/>
          <w:szCs w:val="14"/>
          <w:i w:val="1"/>
          <w:iCs w:val="1"/>
          <w:color w:val="auto"/>
        </w:rPr>
        <w:t xml:space="preserve"> </w:t>
      </w:r>
      <w:r>
        <w:rPr>
          <w:rFonts w:ascii="Arial" w:cs="Arial" w:eastAsia="Arial" w:hAnsi="Arial"/>
          <w:sz w:val="14"/>
          <w:szCs w:val="14"/>
          <w:color w:val="auto"/>
        </w:rPr>
        <w:t>from time to time party thereto; S</w:t>
      </w:r>
      <w:r>
        <w:rPr>
          <w:rFonts w:ascii="Arial" w:cs="Arial" w:eastAsia="Arial" w:hAnsi="Arial"/>
          <w:sz w:val="11"/>
          <w:szCs w:val="11"/>
          <w:color w:val="auto"/>
        </w:rPr>
        <w:t>UNTRUST</w:t>
      </w:r>
      <w:r>
        <w:rPr>
          <w:rFonts w:ascii="Arial" w:cs="Arial" w:eastAsia="Arial" w:hAnsi="Arial"/>
          <w:sz w:val="14"/>
          <w:szCs w:val="14"/>
          <w:i w:val="1"/>
          <w:iCs w:val="1"/>
          <w:color w:val="auto"/>
        </w:rPr>
        <w:t xml:space="preserve"> </w:t>
      </w:r>
      <w:r>
        <w:rPr>
          <w:rFonts w:ascii="Arial" w:cs="Arial" w:eastAsia="Arial" w:hAnsi="Arial"/>
          <w:sz w:val="14"/>
          <w:szCs w:val="14"/>
          <w:color w:val="auto"/>
        </w:rPr>
        <w:t>B</w:t>
      </w:r>
      <w:r>
        <w:rPr>
          <w:rFonts w:ascii="Arial" w:cs="Arial" w:eastAsia="Arial" w:hAnsi="Arial"/>
          <w:sz w:val="11"/>
          <w:szCs w:val="11"/>
          <w:color w:val="auto"/>
        </w:rPr>
        <w:t>ANK</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“SunTrust Bank”</w:t>
      </w:r>
      <w:r>
        <w:rPr>
          <w:rFonts w:ascii="Arial" w:cs="Arial" w:eastAsia="Arial" w:hAnsi="Arial"/>
          <w:sz w:val="14"/>
          <w:szCs w:val="14"/>
          <w:color w:val="auto"/>
        </w:rPr>
        <w:t>), as administrative agent for the Secured Parties (in such capacity, together with its successors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assigns, the </w:t>
      </w:r>
      <w:r>
        <w:rPr>
          <w:rFonts w:ascii="Arial" w:cs="Arial" w:eastAsia="Arial" w:hAnsi="Arial"/>
          <w:sz w:val="14"/>
          <w:szCs w:val="14"/>
          <w:i w:val="1"/>
          <w:iCs w:val="1"/>
          <w:color w:val="auto"/>
        </w:rPr>
        <w:t>“Administrative Agent”</w:t>
      </w:r>
      <w:r>
        <w:rPr>
          <w:rFonts w:ascii="Arial" w:cs="Arial" w:eastAsia="Arial" w:hAnsi="Arial"/>
          <w:sz w:val="14"/>
          <w:szCs w:val="14"/>
          <w:color w:val="auto"/>
        </w:rPr>
        <w:t>), U.S. B</w:t>
      </w:r>
      <w:r>
        <w:rPr>
          <w:rFonts w:ascii="Arial" w:cs="Arial" w:eastAsia="Arial" w:hAnsi="Arial"/>
          <w:sz w:val="11"/>
          <w:szCs w:val="11"/>
          <w:color w:val="auto"/>
        </w:rPr>
        <w:t>ANK</w:t>
      </w:r>
      <w:r>
        <w:rPr>
          <w:rFonts w:ascii="Arial" w:cs="Arial" w:eastAsia="Arial" w:hAnsi="Arial"/>
          <w:sz w:val="14"/>
          <w:szCs w:val="14"/>
          <w:color w:val="auto"/>
        </w:rPr>
        <w:t xml:space="preserve"> N</w:t>
      </w:r>
      <w:r>
        <w:rPr>
          <w:rFonts w:ascii="Arial" w:cs="Arial" w:eastAsia="Arial" w:hAnsi="Arial"/>
          <w:sz w:val="11"/>
          <w:szCs w:val="11"/>
          <w:color w:val="auto"/>
        </w:rPr>
        <w:t>ATIONAL</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xml:space="preserve">, as collateral agent for the Secured Parties (in such capacity, together with its successors and assigns, the </w:t>
      </w:r>
      <w:r>
        <w:rPr>
          <w:rFonts w:ascii="Arial" w:cs="Arial" w:eastAsia="Arial" w:hAnsi="Arial"/>
          <w:sz w:val="14"/>
          <w:szCs w:val="14"/>
          <w:i w:val="1"/>
          <w:iCs w:val="1"/>
          <w:color w:val="auto"/>
        </w:rPr>
        <w:t>“Collateral</w:t>
      </w:r>
      <w:r>
        <w:rPr>
          <w:rFonts w:ascii="Arial" w:cs="Arial" w:eastAsia="Arial" w:hAnsi="Arial"/>
          <w:sz w:val="14"/>
          <w:szCs w:val="14"/>
          <w:color w:val="auto"/>
        </w:rPr>
        <w:t xml:space="preserve"> </w:t>
      </w:r>
      <w:r>
        <w:rPr>
          <w:rFonts w:ascii="Arial" w:cs="Arial" w:eastAsia="Arial" w:hAnsi="Arial"/>
          <w:sz w:val="14"/>
          <w:szCs w:val="14"/>
          <w:i w:val="1"/>
          <w:iCs w:val="1"/>
          <w:color w:val="auto"/>
        </w:rPr>
        <w:t>Agent”</w:t>
      </w:r>
      <w:r>
        <w:rPr>
          <w:rFonts w:ascii="Arial" w:cs="Arial" w:eastAsia="Arial" w:hAnsi="Arial"/>
          <w:sz w:val="14"/>
          <w:szCs w:val="14"/>
          <w:color w:val="auto"/>
        </w:rPr>
        <w:t>); U.S. B</w:t>
      </w:r>
      <w:r>
        <w:rPr>
          <w:rFonts w:ascii="Arial" w:cs="Arial" w:eastAsia="Arial" w:hAnsi="Arial"/>
          <w:sz w:val="11"/>
          <w:szCs w:val="11"/>
          <w:color w:val="auto"/>
        </w:rPr>
        <w:t>ANK</w:t>
      </w:r>
      <w:r>
        <w:rPr>
          <w:rFonts w:ascii="Arial" w:cs="Arial" w:eastAsia="Arial" w:hAnsi="Arial"/>
          <w:sz w:val="14"/>
          <w:szCs w:val="14"/>
          <w:i w:val="1"/>
          <w:iCs w:val="1"/>
          <w:color w:val="auto"/>
        </w:rPr>
        <w:t xml:space="preserve"> </w:t>
      </w: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w:t>
      </w:r>
      <w:r>
        <w:rPr>
          <w:rFonts w:ascii="Arial" w:cs="Arial" w:eastAsia="Arial" w:hAnsi="Arial"/>
          <w:sz w:val="11"/>
          <w:szCs w:val="11"/>
          <w:color w:val="auto"/>
        </w:rPr>
        <w:t>SSOCIATION</w:t>
      </w:r>
      <w:r>
        <w:rPr>
          <w:rFonts w:ascii="Arial" w:cs="Arial" w:eastAsia="Arial" w:hAnsi="Arial"/>
          <w:sz w:val="14"/>
          <w:szCs w:val="14"/>
          <w:color w:val="auto"/>
        </w:rPr>
        <w:t>, as custodian (in such capacity, together with its successors and assigns, the</w:t>
      </w:r>
      <w:r>
        <w:rPr>
          <w:rFonts w:ascii="Arial" w:cs="Arial" w:eastAsia="Arial" w:hAnsi="Arial"/>
          <w:sz w:val="14"/>
          <w:szCs w:val="14"/>
          <w:i w:val="1"/>
          <w:iCs w:val="1"/>
          <w:color w:val="auto"/>
        </w:rPr>
        <w:t xml:space="preserve"> “Custodian”</w:t>
      </w:r>
      <w:r>
        <w:rPr>
          <w:rFonts w:ascii="Arial" w:cs="Arial" w:eastAsia="Arial" w:hAnsi="Arial"/>
          <w:sz w:val="14"/>
          <w:szCs w:val="14"/>
          <w:color w:val="auto"/>
        </w:rPr>
        <w:t>); U.S. B</w:t>
      </w:r>
      <w:r>
        <w:rPr>
          <w:rFonts w:ascii="Arial" w:cs="Arial" w:eastAsia="Arial" w:hAnsi="Arial"/>
          <w:sz w:val="11"/>
          <w:szCs w:val="11"/>
          <w:color w:val="auto"/>
        </w:rPr>
        <w:t>ANK</w:t>
      </w:r>
      <w:r>
        <w:rPr>
          <w:rFonts w:ascii="Arial" w:cs="Arial" w:eastAsia="Arial" w:hAnsi="Arial"/>
          <w:sz w:val="14"/>
          <w:szCs w:val="14"/>
          <w:i w:val="1"/>
          <w:iCs w:val="1"/>
          <w:color w:val="auto"/>
        </w:rPr>
        <w:t xml:space="preserve"> </w:t>
      </w: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w:t>
      </w:r>
      <w:r>
        <w:rPr>
          <w:rFonts w:ascii="Arial" w:cs="Arial" w:eastAsia="Arial" w:hAnsi="Arial"/>
          <w:sz w:val="11"/>
          <w:szCs w:val="11"/>
          <w:color w:val="auto"/>
        </w:rPr>
        <w:t>SSOCIATION</w:t>
      </w:r>
      <w:r>
        <w:rPr>
          <w:rFonts w:ascii="Arial" w:cs="Arial" w:eastAsia="Arial" w:hAnsi="Arial"/>
          <w:sz w:val="14"/>
          <w:szCs w:val="14"/>
          <w:color w:val="auto"/>
        </w:rPr>
        <w:t>, as collateral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administrator (in such capacity, together with its successors and assigns, the </w:t>
      </w:r>
      <w:r>
        <w:rPr>
          <w:rFonts w:ascii="Arial" w:cs="Arial" w:eastAsia="Arial" w:hAnsi="Arial"/>
          <w:sz w:val="14"/>
          <w:szCs w:val="14"/>
          <w:i w:val="1"/>
          <w:iCs w:val="1"/>
          <w:color w:val="auto"/>
        </w:rPr>
        <w:t>“Collateral Administrator”</w:t>
      </w:r>
      <w:r>
        <w:rPr>
          <w:rFonts w:ascii="Arial" w:cs="Arial" w:eastAsia="Arial" w:hAnsi="Arial"/>
          <w:sz w:val="14"/>
          <w:szCs w:val="14"/>
          <w:color w:val="auto"/>
        </w:rPr>
        <w:t>); and U.S. B</w:t>
      </w:r>
      <w:r>
        <w:rPr>
          <w:rFonts w:ascii="Arial" w:cs="Arial" w:eastAsia="Arial" w:hAnsi="Arial"/>
          <w:sz w:val="11"/>
          <w:szCs w:val="11"/>
          <w:color w:val="auto"/>
        </w:rPr>
        <w:t>ANK</w:t>
      </w:r>
      <w:r>
        <w:rPr>
          <w:rFonts w:ascii="Arial" w:cs="Arial" w:eastAsia="Arial" w:hAnsi="Arial"/>
          <w:sz w:val="14"/>
          <w:szCs w:val="14"/>
          <w:color w:val="auto"/>
        </w:rPr>
        <w:t xml:space="preserve"> N</w:t>
      </w:r>
      <w:r>
        <w:rPr>
          <w:rFonts w:ascii="Arial" w:cs="Arial" w:eastAsia="Arial" w:hAnsi="Arial"/>
          <w:sz w:val="11"/>
          <w:szCs w:val="11"/>
          <w:color w:val="auto"/>
        </w:rPr>
        <w:t>ATIONAL</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xml:space="preserve">, as backup collateral manager (in such capacity, together with its successors and assigns, the </w:t>
      </w:r>
      <w:r>
        <w:rPr>
          <w:rFonts w:ascii="Arial" w:cs="Arial" w:eastAsia="Arial" w:hAnsi="Arial"/>
          <w:sz w:val="14"/>
          <w:szCs w:val="14"/>
          <w:i w:val="1"/>
          <w:iCs w:val="1"/>
          <w:color w:val="auto"/>
        </w:rPr>
        <w:t>“Backup Collateral Manager”</w:t>
      </w:r>
      <w:r>
        <w:rPr>
          <w:rFonts w:ascii="Arial" w:cs="Arial" w:eastAsia="Arial" w:hAnsi="Arial"/>
          <w:sz w:val="14"/>
          <w:szCs w:val="14"/>
          <w:color w:val="auto"/>
        </w:rPr>
        <w: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11"/>
          <w:szCs w:val="11"/>
          <w:b w:val="1"/>
          <w:bCs w:val="1"/>
          <w:color w:val="auto"/>
        </w:rPr>
        <w:t>ITNESSETH</w:t>
      </w:r>
      <w:r>
        <w:rPr>
          <w:rFonts w:ascii="Arial" w:cs="Arial" w:eastAsia="Arial" w:hAnsi="Arial"/>
          <w:sz w:val="14"/>
          <w:szCs w:val="14"/>
          <w:b w:val="1"/>
          <w:bCs w:val="1"/>
          <w:color w:val="auto"/>
        </w:rPr>
        <w:t>:</w:t>
      </w:r>
    </w:p>
    <w:p>
      <w:pPr>
        <w:spacing w:after="0" w:line="100"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HEREAS</w:t>
      </w:r>
      <w:r>
        <w:rPr>
          <w:rFonts w:ascii="Arial" w:cs="Arial" w:eastAsia="Arial" w:hAnsi="Arial"/>
          <w:sz w:val="14"/>
          <w:szCs w:val="14"/>
          <w:color w:val="auto"/>
        </w:rPr>
        <w:t>, the Borrower, the Collateral Manager, the Lenders, the Collateral Agent, the Backup Collateral Manager, the Custodian, the Collateral Administrator and the Administrative Agent have previously entered into and are currently party to the Agreement;</w:t>
      </w:r>
    </w:p>
    <w:p>
      <w:pPr>
        <w:spacing w:after="0" w:line="66"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HEREAS</w:t>
      </w:r>
      <w:r>
        <w:rPr>
          <w:rFonts w:ascii="Arial" w:cs="Arial" w:eastAsia="Arial" w:hAnsi="Arial"/>
          <w:sz w:val="14"/>
          <w:szCs w:val="14"/>
          <w:color w:val="auto"/>
        </w:rPr>
        <w:t>, the Borrower has requested that the Lenders increase the Facility Amount and make certain other amendments to the Agreement, and the Lenders are willing to do so under the terms and conditions set forth in this Amendment.</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w:t>
      </w:r>
      <w:r>
        <w:rPr>
          <w:rFonts w:ascii="Arial" w:cs="Arial" w:eastAsia="Arial" w:hAnsi="Arial"/>
          <w:sz w:val="10"/>
          <w:szCs w:val="10"/>
          <w:color w:val="auto"/>
        </w:rPr>
        <w:t>OW</w:t>
      </w:r>
      <w:r>
        <w:rPr>
          <w:rFonts w:ascii="Arial" w:cs="Arial" w:eastAsia="Arial" w:hAnsi="Arial"/>
          <w:sz w:val="13"/>
          <w:szCs w:val="13"/>
          <w:color w:val="auto"/>
        </w:rPr>
        <w:t>, T</w:t>
      </w:r>
      <w:r>
        <w:rPr>
          <w:rFonts w:ascii="Arial" w:cs="Arial" w:eastAsia="Arial" w:hAnsi="Arial"/>
          <w:sz w:val="10"/>
          <w:szCs w:val="10"/>
          <w:color w:val="auto"/>
        </w:rPr>
        <w:t>HEREFORE</w:t>
      </w:r>
      <w:r>
        <w:rPr>
          <w:rFonts w:ascii="Arial" w:cs="Arial" w:eastAsia="Arial" w:hAnsi="Arial"/>
          <w:sz w:val="13"/>
          <w:szCs w:val="13"/>
          <w:color w:val="auto"/>
        </w:rPr>
        <w:t>, for good and valuable consideration, the receipt and sufficiency of which are hereby acknowledged, the parties hereto, intending to be legally bound, agree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 xml:space="preserve">Section 1. Defined Terms. </w:t>
      </w:r>
      <w:r>
        <w:rPr>
          <w:rFonts w:ascii="Arial" w:cs="Arial" w:eastAsia="Arial" w:hAnsi="Arial"/>
          <w:sz w:val="14"/>
          <w:szCs w:val="14"/>
          <w:color w:val="auto"/>
        </w:rPr>
        <w:t>Unless otherwise amended by the terms of this Amendment, terms used in this Amendment shall have the meanings assigned in the Agreement.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Section 2. Amendments.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2.1. Section 1.01 of the Agreement shall be amended by amending and restated the following defined terms in their entirety, respectively, such defined terms to read as follows:</w:t>
      </w:r>
    </w:p>
    <w:p>
      <w:pPr>
        <w:spacing w:after="0" w:line="107" w:lineRule="exact"/>
        <w:rPr>
          <w:sz w:val="20"/>
          <w:szCs w:val="20"/>
          <w:color w:val="auto"/>
        </w:rPr>
      </w:pPr>
    </w:p>
    <w:p>
      <w:pPr>
        <w:ind w:left="1200"/>
        <w:spacing w:after="0"/>
        <w:rPr>
          <w:sz w:val="20"/>
          <w:szCs w:val="20"/>
          <w:color w:val="auto"/>
        </w:rPr>
      </w:pPr>
      <w:r>
        <w:rPr>
          <w:rFonts w:ascii="Arial" w:cs="Arial" w:eastAsia="Arial" w:hAnsi="Arial"/>
          <w:sz w:val="14"/>
          <w:szCs w:val="14"/>
          <w:i w:val="1"/>
          <w:iCs w:val="1"/>
          <w:color w:val="auto"/>
        </w:rPr>
        <w:t xml:space="preserve">“Administrative Agent Fee Letter” </w:t>
      </w:r>
      <w:r>
        <w:rPr>
          <w:rFonts w:ascii="Arial" w:cs="Arial" w:eastAsia="Arial" w:hAnsi="Arial"/>
          <w:sz w:val="14"/>
          <w:szCs w:val="14"/>
          <w:color w:val="auto"/>
        </w:rPr>
        <w:t>means that certain Amended and Restated Administrative Agent Fee Letter, dated as</w:t>
      </w:r>
    </w:p>
    <w:p>
      <w:pPr>
        <w:sectPr>
          <w:pgSz w:w="11900" w:h="16838" w:orient="portrait"/>
          <w:cols w:equalWidth="0" w:num="1">
            <w:col w:w="11240"/>
          </w:cols>
          <w:pgMar w:left="320" w:top="118" w:right="339" w:bottom="1440" w:gutter="0" w:footer="0" w:header="0"/>
        </w:sectPr>
      </w:pPr>
    </w:p>
    <w:bookmarkStart w:id="75" w:name="page76"/>
    <w:bookmarkEnd w:id="75"/>
    <w:p>
      <w:pPr>
        <w:ind w:left="5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August 26, 2015, by and among the Administrative Agent and the Borrower, as the same may be amended or amended and restated from time to time.</w:t>
      </w:r>
    </w:p>
    <w:p>
      <w:pPr>
        <w:spacing w:after="0" w:line="96" w:lineRule="exact"/>
        <w:rPr>
          <w:sz w:val="20"/>
          <w:szCs w:val="20"/>
          <w:color w:val="auto"/>
        </w:rPr>
      </w:pPr>
    </w:p>
    <w:p>
      <w:pPr>
        <w:jc w:val="both"/>
        <w:ind w:left="560" w:firstLine="640"/>
        <w:spacing w:after="0" w:line="238" w:lineRule="auto"/>
        <w:rPr>
          <w:sz w:val="20"/>
          <w:szCs w:val="20"/>
          <w:color w:val="auto"/>
        </w:rPr>
      </w:pPr>
      <w:r>
        <w:rPr>
          <w:rFonts w:ascii="Arial" w:cs="Arial" w:eastAsia="Arial" w:hAnsi="Arial"/>
          <w:sz w:val="14"/>
          <w:szCs w:val="14"/>
          <w:i w:val="1"/>
          <w:iCs w:val="1"/>
          <w:color w:val="auto"/>
        </w:rPr>
        <w:t xml:space="preserve">“Lender Fee Letter” </w:t>
      </w:r>
      <w:r>
        <w:rPr>
          <w:rFonts w:ascii="Arial" w:cs="Arial" w:eastAsia="Arial" w:hAnsi="Arial"/>
          <w:sz w:val="14"/>
          <w:szCs w:val="14"/>
          <w:color w:val="auto"/>
        </w:rPr>
        <w:t>means, collectively, (i) that certain Sixth Amended and Restated Lender Fee Letter, dated as of the First Amendment Effective Date, by and among the</w:t>
      </w:r>
      <w:r>
        <w:rPr>
          <w:rFonts w:ascii="Arial" w:cs="Arial" w:eastAsia="Arial" w:hAnsi="Arial"/>
          <w:sz w:val="14"/>
          <w:szCs w:val="14"/>
          <w:i w:val="1"/>
          <w:iCs w:val="1"/>
          <w:color w:val="auto"/>
        </w:rPr>
        <w:t xml:space="preserve"> </w:t>
      </w:r>
      <w:r>
        <w:rPr>
          <w:rFonts w:ascii="Arial" w:cs="Arial" w:eastAsia="Arial" w:hAnsi="Arial"/>
          <w:sz w:val="14"/>
          <w:szCs w:val="14"/>
          <w:color w:val="auto"/>
        </w:rPr>
        <w:t>Lenders, the Borrower and the Administrative Agent, as the same may be amended or amended and restated from time to time, and (ii) any upfront fee letters entered into by and among any Lender and the Borrower.</w:t>
      </w:r>
    </w:p>
    <w:p>
      <w:pPr>
        <w:spacing w:after="0" w:line="75" w:lineRule="exact"/>
        <w:rPr>
          <w:sz w:val="20"/>
          <w:szCs w:val="20"/>
          <w:color w:val="auto"/>
        </w:rPr>
      </w:pPr>
    </w:p>
    <w:p>
      <w:pPr>
        <w:jc w:val="both"/>
        <w:ind w:left="560" w:firstLine="640"/>
        <w:spacing w:after="0" w:line="253" w:lineRule="auto"/>
        <w:rPr>
          <w:sz w:val="20"/>
          <w:szCs w:val="20"/>
          <w:color w:val="auto"/>
        </w:rPr>
      </w:pPr>
      <w:r>
        <w:rPr>
          <w:rFonts w:ascii="Arial" w:cs="Arial" w:eastAsia="Arial" w:hAnsi="Arial"/>
          <w:sz w:val="14"/>
          <w:szCs w:val="14"/>
          <w:i w:val="1"/>
          <w:iCs w:val="1"/>
          <w:color w:val="auto"/>
        </w:rPr>
        <w:t xml:space="preserve">“Reinvestment Period” </w:t>
      </w:r>
      <w:r>
        <w:rPr>
          <w:rFonts w:ascii="Arial" w:cs="Arial" w:eastAsia="Arial" w:hAnsi="Arial"/>
          <w:sz w:val="14"/>
          <w:szCs w:val="14"/>
          <w:color w:val="auto"/>
        </w:rPr>
        <w:t>means the period from and including the Closing Date to and including the earlier of (a) August 26, 2018 (or such later date as may be agreed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Borrower and each of the Lenders and notified in writing to the Agents) or (b) the date of the termination of the Commitments pursuant to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6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Section 1.01 of the Agreement shall be further amended by inserting the following defined term in alphabetical order, such defined term to read as follows:</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4"/>
          <w:szCs w:val="14"/>
          <w:i w:val="1"/>
          <w:iCs w:val="1"/>
          <w:color w:val="auto"/>
        </w:rPr>
        <w:t xml:space="preserve">“First Amendment Effective Date” </w:t>
      </w:r>
      <w:r>
        <w:rPr>
          <w:rFonts w:ascii="Arial" w:cs="Arial" w:eastAsia="Arial" w:hAnsi="Arial"/>
          <w:sz w:val="14"/>
          <w:szCs w:val="14"/>
          <w:color w:val="auto"/>
        </w:rPr>
        <w:t>means August 26, 2015.</w:t>
      </w:r>
    </w:p>
    <w:p>
      <w:pPr>
        <w:spacing w:after="0" w:line="9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Schedule 1 to the Agreement (</w:t>
      </w:r>
      <w:r>
        <w:rPr>
          <w:rFonts w:ascii="Arial" w:cs="Arial" w:eastAsia="Arial" w:hAnsi="Arial"/>
          <w:sz w:val="12"/>
          <w:szCs w:val="12"/>
          <w:i w:val="1"/>
          <w:iCs w:val="1"/>
          <w:color w:val="auto"/>
        </w:rPr>
        <w:t>Commitments</w:t>
      </w:r>
      <w:r>
        <w:rPr>
          <w:rFonts w:ascii="Arial" w:cs="Arial" w:eastAsia="Arial" w:hAnsi="Arial"/>
          <w:sz w:val="12"/>
          <w:szCs w:val="12"/>
          <w:color w:val="auto"/>
        </w:rPr>
        <w:t>) is hereby amended and restated in its entirety to read as set forth on Annex A attached hereto and made a part hereof.</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 xml:space="preserve">Section 3. Conditions Precedent. </w:t>
      </w:r>
      <w:r>
        <w:rPr>
          <w:rFonts w:ascii="Arial" w:cs="Arial" w:eastAsia="Arial" w:hAnsi="Arial"/>
          <w:sz w:val="14"/>
          <w:szCs w:val="14"/>
          <w:color w:val="auto"/>
        </w:rPr>
        <w:t>The effectiveness of this Amendment is subject to the satisfaction of all of the following conditions precedent:</w:t>
      </w:r>
    </w:p>
    <w:p>
      <w:pPr>
        <w:spacing w:after="0" w:line="9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The Administrative Agent, the Borrower, the Collateral Manager, and the Lenders shall have executed and delivered this Amendment.</w:t>
      </w:r>
    </w:p>
    <w:p>
      <w:pPr>
        <w:spacing w:after="0" w:line="96"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3.2. The Administrative Agent shall have received all fees due and payable under the Amended and Restated Administrative Agent Fee Letter dated as of the First Amendment Effective Date, by and between the Borrower and the Administrative Agent.</w:t>
      </w:r>
    </w:p>
    <w:p>
      <w:pPr>
        <w:spacing w:after="0" w:line="6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3.3. The Administrative Agent and each Lender shall have received all fees due and payable under the Sixth Amended and Restated Lender Fee Letter dated as of the First Amendment Effective Date, by and among the Administrative Agent, each Lender and the Borrower.</w:t>
      </w:r>
    </w:p>
    <w:p>
      <w:pPr>
        <w:spacing w:after="0" w:line="6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3.4. The Administrative Agent shall have received a resolutions and other corporate authority documentation as well as a favorable written opinion of counsel to the Borrower, in form and substance satisfactory to the Administrative Agent.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69" w:right="339" w:bottom="1440" w:gutter="0" w:footer="0" w:header="0"/>
        </w:sectPr>
      </w:pPr>
    </w:p>
    <w:bookmarkStart w:id="76" w:name="page77"/>
    <w:bookmarkEnd w:id="76"/>
    <w:p>
      <w:pPr>
        <w:ind w:left="560"/>
        <w:spacing w:after="0"/>
        <w:tabs>
          <w:tab w:leader="none" w:pos="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3.5.</w:t>
      </w:r>
      <w:r>
        <w:rPr>
          <w:sz w:val="20"/>
          <w:szCs w:val="20"/>
          <w:color w:val="auto"/>
        </w:rPr>
        <w:tab/>
      </w:r>
      <w:r>
        <w:rPr>
          <w:rFonts w:ascii="Arial" w:cs="Arial" w:eastAsia="Arial" w:hAnsi="Arial"/>
          <w:sz w:val="13"/>
          <w:szCs w:val="13"/>
          <w:color w:val="auto"/>
        </w:rPr>
        <w:t>Legal matters incident to the execution and delivery of this Amendment shall be satisfactory to the Administrative Agent and its counsel.</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 xml:space="preserve">Section 4. Representations of the Borrower and Collateral Manager. </w:t>
      </w:r>
      <w:r>
        <w:rPr>
          <w:rFonts w:ascii="Arial" w:cs="Arial" w:eastAsia="Arial" w:hAnsi="Arial"/>
          <w:sz w:val="13"/>
          <w:szCs w:val="13"/>
          <w:color w:val="auto"/>
        </w:rPr>
        <w:t>Each of Borrower and Collateral Manager hereby represent and warrant to the parties hereto that as of the date hereof</w:t>
      </w:r>
    </w:p>
    <w:p>
      <w:pPr>
        <w:spacing w:after="0" w:line="11" w:lineRule="exact"/>
        <w:rPr>
          <w:sz w:val="20"/>
          <w:szCs w:val="20"/>
          <w:color w:val="auto"/>
        </w:rPr>
      </w:pPr>
    </w:p>
    <w:p>
      <w:pPr>
        <w:jc w:val="both"/>
        <w:ind w:firstLine="8"/>
        <w:spacing w:after="0" w:line="232" w:lineRule="auto"/>
        <w:tabs>
          <w:tab w:leader="none" w:pos="205"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of their respective representations and warranties contained in Article IV of the Agreement and any other Facility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 and (b) no Default or Event of Default has occurred and is continuing under the Agreement.</w:t>
      </w:r>
    </w:p>
    <w:p>
      <w:pPr>
        <w:spacing w:after="0" w:line="75" w:lineRule="exact"/>
        <w:rPr>
          <w:sz w:val="20"/>
          <w:szCs w:val="20"/>
          <w:color w:val="auto"/>
        </w:rPr>
      </w:pPr>
    </w:p>
    <w:p>
      <w:pPr>
        <w:jc w:val="both"/>
        <w:ind w:firstLine="337"/>
        <w:spacing w:after="0" w:line="229" w:lineRule="auto"/>
        <w:rPr>
          <w:sz w:val="20"/>
          <w:szCs w:val="20"/>
          <w:color w:val="auto"/>
        </w:rPr>
      </w:pPr>
      <w:r>
        <w:rPr>
          <w:rFonts w:ascii="Arial" w:cs="Arial" w:eastAsia="Arial" w:hAnsi="Arial"/>
          <w:sz w:val="14"/>
          <w:szCs w:val="14"/>
          <w:i w:val="1"/>
          <w:iCs w:val="1"/>
          <w:color w:val="auto"/>
        </w:rPr>
        <w:t xml:space="preserve">Section 5. Agreement in Full Force and Effect. </w:t>
      </w:r>
      <w:r>
        <w:rPr>
          <w:rFonts w:ascii="Arial" w:cs="Arial" w:eastAsia="Arial" w:hAnsi="Arial"/>
          <w:sz w:val="14"/>
          <w:szCs w:val="14"/>
          <w:color w:val="auto"/>
        </w:rPr>
        <w:t>Except as specifically amended herein, the Agreement shall continue in full force and effect in accordance with its original terms. Reference</w:t>
      </w:r>
      <w:r>
        <w:rPr>
          <w:rFonts w:ascii="Arial" w:cs="Arial" w:eastAsia="Arial" w:hAnsi="Arial"/>
          <w:sz w:val="14"/>
          <w:szCs w:val="14"/>
          <w:i w:val="1"/>
          <w:iCs w:val="1"/>
          <w:color w:val="auto"/>
        </w:rPr>
        <w:t xml:space="preserve"> </w:t>
      </w:r>
      <w:r>
        <w:rPr>
          <w:rFonts w:ascii="Arial" w:cs="Arial" w:eastAsia="Arial" w:hAnsi="Arial"/>
          <w:sz w:val="14"/>
          <w:szCs w:val="14"/>
          <w:color w:val="auto"/>
        </w:rPr>
        <w:t>to this specific Amendment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On and after the effectiveness of this Amendment, this Amendment shall for all purposes constitute a Loan Document.</w:t>
      </w:r>
    </w:p>
    <w:p>
      <w:pPr>
        <w:spacing w:after="0" w:line="77" w:lineRule="exact"/>
        <w:rPr>
          <w:sz w:val="20"/>
          <w:szCs w:val="20"/>
          <w:color w:val="auto"/>
        </w:rPr>
      </w:pPr>
    </w:p>
    <w:p>
      <w:pPr>
        <w:jc w:val="both"/>
        <w:ind w:firstLine="337"/>
        <w:spacing w:after="0" w:line="233" w:lineRule="auto"/>
        <w:rPr>
          <w:sz w:val="20"/>
          <w:szCs w:val="20"/>
          <w:color w:val="auto"/>
        </w:rPr>
      </w:pPr>
      <w:r>
        <w:rPr>
          <w:rFonts w:ascii="Arial" w:cs="Arial" w:eastAsia="Arial" w:hAnsi="Arial"/>
          <w:sz w:val="14"/>
          <w:szCs w:val="14"/>
          <w:i w:val="1"/>
          <w:iCs w:val="1"/>
          <w:color w:val="auto"/>
        </w:rPr>
        <w:t xml:space="preserve">Section 6. Execution in Counterparts. </w:t>
      </w:r>
      <w:r>
        <w:rPr>
          <w:rFonts w:ascii="Arial" w:cs="Arial" w:eastAsia="Arial" w:hAnsi="Arial"/>
          <w:sz w:val="14"/>
          <w:szCs w:val="14"/>
          <w:color w:val="auto"/>
        </w:rPr>
        <w:t>This Amendment may be executed in any number of counterparts, and by the different parties on different counterpart signature pages, all of which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an </w:t>
      </w:r>
      <w:r>
        <w:rPr>
          <w:rFonts w:ascii="Arial" w:cs="Arial" w:eastAsia="Arial" w:hAnsi="Arial"/>
          <w:sz w:val="14"/>
          <w:szCs w:val="14"/>
          <w:i w:val="1"/>
          <w:iCs w:val="1"/>
          <w:color w:val="auto"/>
        </w:rPr>
        <w:t>“PDF”</w:t>
      </w:r>
      <w:r>
        <w:rPr>
          <w:rFonts w:ascii="Arial" w:cs="Arial" w:eastAsia="Arial" w:hAnsi="Arial"/>
          <w:sz w:val="14"/>
          <w:szCs w:val="14"/>
          <w:color w:val="auto"/>
        </w:rPr>
        <w:t xml:space="preserve"> file) shall be effective as delivery of a manually executed counterpart hereof.</w:t>
      </w:r>
    </w:p>
    <w:p>
      <w:pPr>
        <w:spacing w:after="0" w:line="77" w:lineRule="exact"/>
        <w:rPr>
          <w:sz w:val="20"/>
          <w:szCs w:val="20"/>
          <w:color w:val="auto"/>
        </w:rPr>
      </w:pPr>
    </w:p>
    <w:p>
      <w:pPr>
        <w:jc w:val="both"/>
        <w:ind w:firstLine="337"/>
        <w:spacing w:after="0"/>
        <w:rPr>
          <w:sz w:val="20"/>
          <w:szCs w:val="20"/>
          <w:color w:val="auto"/>
        </w:rPr>
      </w:pPr>
      <w:r>
        <w:rPr>
          <w:rFonts w:ascii="Arial" w:cs="Arial" w:eastAsia="Arial" w:hAnsi="Arial"/>
          <w:sz w:val="14"/>
          <w:szCs w:val="14"/>
          <w:i w:val="1"/>
          <w:iCs w:val="1"/>
          <w:color w:val="auto"/>
        </w:rPr>
        <w:t xml:space="preserve">Section 7 Governing Law. </w:t>
      </w:r>
      <w:r>
        <w:rPr>
          <w:rFonts w:ascii="Arial" w:cs="Arial" w:eastAsia="Arial" w:hAnsi="Arial"/>
          <w:sz w:val="14"/>
          <w:szCs w:val="14"/>
          <w:color w:val="auto"/>
        </w:rPr>
        <w:t>T</w:t>
      </w:r>
      <w:r>
        <w:rPr>
          <w:rFonts w:ascii="Arial" w:cs="Arial" w:eastAsia="Arial" w:hAnsi="Arial"/>
          <w:sz w:val="11"/>
          <w:szCs w:val="11"/>
          <w:color w:val="auto"/>
        </w:rPr>
        <w:t>HIS</w:t>
      </w:r>
      <w:r>
        <w:rPr>
          <w:rFonts w:ascii="Arial" w:cs="Arial" w:eastAsia="Arial" w:hAnsi="Arial"/>
          <w:sz w:val="14"/>
          <w:szCs w:val="14"/>
          <w:i w:val="1"/>
          <w:iCs w:val="1"/>
          <w:color w:val="auto"/>
        </w:rPr>
        <w:t xml:space="preserve"> </w:t>
      </w:r>
      <w:r>
        <w:rPr>
          <w:rFonts w:ascii="Arial" w:cs="Arial" w:eastAsia="Arial" w:hAnsi="Arial"/>
          <w:sz w:val="14"/>
          <w:szCs w:val="14"/>
          <w:color w:val="auto"/>
        </w:rPr>
        <w:t>A</w:t>
      </w:r>
      <w:r>
        <w:rPr>
          <w:rFonts w:ascii="Arial" w:cs="Arial" w:eastAsia="Arial" w:hAnsi="Arial"/>
          <w:sz w:val="11"/>
          <w:szCs w:val="11"/>
          <w:color w:val="auto"/>
        </w:rPr>
        <w:t>MENDMENT SHALL BE CONSTRUED IN ACCORDANCE WITH THE INTERNAL LAWS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S</w:t>
      </w:r>
      <w:r>
        <w:rPr>
          <w:rFonts w:ascii="Arial" w:cs="Arial" w:eastAsia="Arial" w:hAnsi="Arial"/>
          <w:sz w:val="11"/>
          <w:szCs w:val="11"/>
          <w:color w:val="auto"/>
        </w:rPr>
        <w:t>TATE OF</w:t>
      </w:r>
      <w:r>
        <w:rPr>
          <w:rFonts w:ascii="Arial" w:cs="Arial" w:eastAsia="Arial" w:hAnsi="Arial"/>
          <w:sz w:val="14"/>
          <w:szCs w:val="14"/>
          <w:i w:val="1"/>
          <w:iCs w:val="1"/>
          <w:color w:val="auto"/>
        </w:rPr>
        <w:t xml:space="preserve"> </w:t>
      </w:r>
      <w:r>
        <w:rPr>
          <w:rFonts w:ascii="Arial" w:cs="Arial" w:eastAsia="Arial" w:hAnsi="Arial"/>
          <w:sz w:val="14"/>
          <w:szCs w:val="14"/>
          <w:color w:val="auto"/>
        </w:rPr>
        <w:t>N</w:t>
      </w:r>
      <w:r>
        <w:rPr>
          <w:rFonts w:ascii="Arial" w:cs="Arial" w:eastAsia="Arial" w:hAnsi="Arial"/>
          <w:sz w:val="11"/>
          <w:szCs w:val="11"/>
          <w:color w:val="auto"/>
        </w:rPr>
        <w:t>EW</w:t>
      </w:r>
      <w:r>
        <w:rPr>
          <w:rFonts w:ascii="Arial" w:cs="Arial" w:eastAsia="Arial" w:hAnsi="Arial"/>
          <w:sz w:val="14"/>
          <w:szCs w:val="14"/>
          <w:i w:val="1"/>
          <w:iCs w:val="1"/>
          <w:color w:val="auto"/>
        </w:rPr>
        <w:t xml:space="preserve"> </w:t>
      </w:r>
      <w:r>
        <w:rPr>
          <w:rFonts w:ascii="Arial" w:cs="Arial" w:eastAsia="Arial" w:hAnsi="Arial"/>
          <w:sz w:val="14"/>
          <w:szCs w:val="14"/>
          <w:color w:val="auto"/>
        </w:rPr>
        <w:t>Y</w:t>
      </w:r>
      <w:r>
        <w:rPr>
          <w:rFonts w:ascii="Arial" w:cs="Arial" w:eastAsia="Arial" w:hAnsi="Arial"/>
          <w:sz w:val="11"/>
          <w:szCs w:val="11"/>
          <w:color w:val="auto"/>
        </w:rPr>
        <w:t>ORK</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1"/>
          <w:szCs w:val="11"/>
          <w:color w:val="auto"/>
        </w:rPr>
        <w:t>WITHOUT REFERENCE TO CONFLICT OF</w:t>
      </w:r>
      <w:r>
        <w:rPr>
          <w:rFonts w:ascii="Arial" w:cs="Arial" w:eastAsia="Arial" w:hAnsi="Arial"/>
          <w:sz w:val="14"/>
          <w:szCs w:val="14"/>
          <w:i w:val="1"/>
          <w:iCs w:val="1"/>
          <w:color w:val="auto"/>
        </w:rPr>
        <w:t xml:space="preserve"> </w:t>
      </w:r>
      <w:r>
        <w:rPr>
          <w:rFonts w:ascii="Arial" w:cs="Arial" w:eastAsia="Arial" w:hAnsi="Arial"/>
          <w:sz w:val="11"/>
          <w:szCs w:val="11"/>
          <w:color w:val="auto"/>
        </w:rPr>
        <w:t>LAW PRINCIPLES</w:t>
      </w:r>
      <w:r>
        <w:rPr>
          <w:rFonts w:ascii="Arial" w:cs="Arial" w:eastAsia="Arial" w:hAnsi="Arial"/>
          <w:sz w:val="14"/>
          <w:szCs w:val="14"/>
          <w:color w:val="auto"/>
        </w:rPr>
        <w:t>,</w:t>
      </w:r>
      <w:r>
        <w:rPr>
          <w:rFonts w:ascii="Arial" w:cs="Arial" w:eastAsia="Arial" w:hAnsi="Arial"/>
          <w:sz w:val="11"/>
          <w:szCs w:val="11"/>
          <w:color w:val="auto"/>
        </w:rPr>
        <w:t xml:space="preserve"> AND THE OBLIGATIONS</w:t>
      </w:r>
      <w:r>
        <w:rPr>
          <w:rFonts w:ascii="Arial" w:cs="Arial" w:eastAsia="Arial" w:hAnsi="Arial"/>
          <w:sz w:val="14"/>
          <w:szCs w:val="14"/>
          <w:color w:val="auto"/>
        </w:rPr>
        <w:t>,</w:t>
      </w:r>
      <w:r>
        <w:rPr>
          <w:rFonts w:ascii="Arial" w:cs="Arial" w:eastAsia="Arial" w:hAnsi="Arial"/>
          <w:sz w:val="11"/>
          <w:szCs w:val="11"/>
          <w:color w:val="auto"/>
        </w:rPr>
        <w:t xml:space="preserve"> RIGHTS AND REMEDIES OF THE PARTIES HEREUNDER SHALL BE DETERMINED IN ACCORDANCE WITH THE INTERNAL LAWS OF THE </w:t>
      </w:r>
      <w:r>
        <w:rPr>
          <w:rFonts w:ascii="Arial" w:cs="Arial" w:eastAsia="Arial" w:hAnsi="Arial"/>
          <w:sz w:val="14"/>
          <w:szCs w:val="14"/>
          <w:color w:val="auto"/>
        </w:rPr>
        <w:t>S</w:t>
      </w:r>
      <w:r>
        <w:rPr>
          <w:rFonts w:ascii="Arial" w:cs="Arial" w:eastAsia="Arial" w:hAnsi="Arial"/>
          <w:sz w:val="11"/>
          <w:szCs w:val="11"/>
          <w:color w:val="auto"/>
        </w:rPr>
        <w:t xml:space="preserve">TATE OF </w:t>
      </w:r>
      <w:r>
        <w:rPr>
          <w:rFonts w:ascii="Arial" w:cs="Arial" w:eastAsia="Arial" w:hAnsi="Arial"/>
          <w:sz w:val="14"/>
          <w:szCs w:val="14"/>
          <w:color w:val="auto"/>
        </w:rPr>
        <w:t>N</w:t>
      </w:r>
      <w:r>
        <w:rPr>
          <w:rFonts w:ascii="Arial" w:cs="Arial" w:eastAsia="Arial" w:hAnsi="Arial"/>
          <w:sz w:val="11"/>
          <w:szCs w:val="11"/>
          <w:color w:val="auto"/>
        </w:rPr>
        <w:t xml:space="preserve">EW </w:t>
      </w:r>
      <w:r>
        <w:rPr>
          <w:rFonts w:ascii="Arial" w:cs="Arial" w:eastAsia="Arial" w:hAnsi="Arial"/>
          <w:sz w:val="14"/>
          <w:szCs w:val="14"/>
          <w:color w:val="auto"/>
        </w:rPr>
        <w:t>Y</w:t>
      </w:r>
      <w:r>
        <w:rPr>
          <w:rFonts w:ascii="Arial" w:cs="Arial" w:eastAsia="Arial" w:hAnsi="Arial"/>
          <w:sz w:val="11"/>
          <w:szCs w:val="11"/>
          <w:color w:val="auto"/>
        </w:rPr>
        <w:t>ORK</w:t>
      </w:r>
      <w:r>
        <w:rPr>
          <w:rFonts w:ascii="Arial" w:cs="Arial" w:eastAsia="Arial" w:hAnsi="Arial"/>
          <w:sz w:val="14"/>
          <w:szCs w:val="14"/>
          <w:color w:val="auto"/>
        </w:rPr>
        <w:t>.</w:t>
      </w:r>
    </w:p>
    <w:p>
      <w:pPr>
        <w:spacing w:after="0" w:line="232" w:lineRule="exact"/>
        <w:rPr>
          <w:sz w:val="20"/>
          <w:szCs w:val="20"/>
          <w:color w:val="auto"/>
        </w:rPr>
      </w:pPr>
    </w:p>
    <w:p>
      <w:pPr>
        <w:jc w:val="both"/>
        <w:ind w:firstLine="337"/>
        <w:spacing w:after="0" w:line="238" w:lineRule="auto"/>
        <w:rPr>
          <w:sz w:val="20"/>
          <w:szCs w:val="20"/>
          <w:color w:val="auto"/>
        </w:rPr>
      </w:pPr>
      <w:r>
        <w:rPr>
          <w:rFonts w:ascii="Arial" w:cs="Arial" w:eastAsia="Arial" w:hAnsi="Arial"/>
          <w:sz w:val="14"/>
          <w:szCs w:val="14"/>
          <w:i w:val="1"/>
          <w:iCs w:val="1"/>
          <w:color w:val="auto"/>
        </w:rPr>
        <w:t xml:space="preserve">Section 8. Appointment of Joint Lead Arranger. </w:t>
      </w:r>
      <w:r>
        <w:rPr>
          <w:rFonts w:ascii="Arial" w:cs="Arial" w:eastAsia="Arial" w:hAnsi="Arial"/>
          <w:sz w:val="14"/>
          <w:szCs w:val="14"/>
          <w:color w:val="auto"/>
        </w:rPr>
        <w:t>The Borrower and SunTrust Bank, in its capacity as a Lead Arranger, each agree to appoint Capital One, N.A. (</w:t>
      </w:r>
      <w:r>
        <w:rPr>
          <w:rFonts w:ascii="Arial" w:cs="Arial" w:eastAsia="Arial" w:hAnsi="Arial"/>
          <w:sz w:val="14"/>
          <w:szCs w:val="14"/>
          <w:i w:val="1"/>
          <w:iCs w:val="1"/>
          <w:color w:val="auto"/>
        </w:rPr>
        <w:t>“Capital One”</w:t>
      </w:r>
      <w:r>
        <w:rPr>
          <w:rFonts w:ascii="Arial" w:cs="Arial" w:eastAsia="Arial" w:hAnsi="Arial"/>
          <w:sz w:val="14"/>
          <w:szCs w:val="14"/>
          <w:color w:val="auto"/>
        </w:rPr>
        <w:t>) as a Joint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Lead Arranger for the Commitments (in such capacity, a </w:t>
      </w:r>
      <w:r>
        <w:rPr>
          <w:rFonts w:ascii="Arial" w:cs="Arial" w:eastAsia="Arial" w:hAnsi="Arial"/>
          <w:sz w:val="14"/>
          <w:szCs w:val="14"/>
          <w:i w:val="1"/>
          <w:iCs w:val="1"/>
          <w:color w:val="auto"/>
        </w:rPr>
        <w:t>“Joint Lead Arranger”</w:t>
      </w:r>
      <w:r>
        <w:rPr>
          <w:rFonts w:ascii="Arial" w:cs="Arial" w:eastAsia="Arial" w:hAnsi="Arial"/>
          <w:sz w:val="14"/>
          <w:szCs w:val="14"/>
          <w:color w:val="auto"/>
        </w:rPr>
        <w:t xml:space="preserve"> and together with SunTrust Bank, the </w:t>
      </w:r>
      <w:r>
        <w:rPr>
          <w:rFonts w:ascii="Arial" w:cs="Arial" w:eastAsia="Arial" w:hAnsi="Arial"/>
          <w:sz w:val="14"/>
          <w:szCs w:val="14"/>
          <w:i w:val="1"/>
          <w:iCs w:val="1"/>
          <w:color w:val="auto"/>
        </w:rPr>
        <w:t>“Arrangers”</w:t>
      </w:r>
      <w:r>
        <w:rPr>
          <w:rFonts w:ascii="Arial" w:cs="Arial" w:eastAsia="Arial" w:hAnsi="Arial"/>
          <w:sz w:val="14"/>
          <w:szCs w:val="14"/>
          <w:color w:val="auto"/>
        </w:rPr>
        <w:t>). Capital One’s engagement shall commence on the date hereof and shall continue until the Commitment Termination Date.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269" w:right="339" w:bottom="1440" w:gutter="0" w:footer="0" w:header="0"/>
        </w:sectPr>
      </w:pPr>
    </w:p>
    <w:bookmarkStart w:id="77" w:name="page78"/>
    <w:bookmarkEnd w:id="77"/>
    <w:p>
      <w:pPr>
        <w:ind w:firstLine="562"/>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1"/>
          <w:szCs w:val="11"/>
          <w:color w:val="auto"/>
        </w:rPr>
        <w:t>N</w:t>
      </w:r>
      <w:r>
        <w:rPr>
          <w:rFonts w:ascii="Arial" w:cs="Arial" w:eastAsia="Arial" w:hAnsi="Arial"/>
          <w:sz w:val="14"/>
          <w:szCs w:val="14"/>
          <w:color w:val="auto"/>
        </w:rPr>
        <w:t xml:space="preserve"> W</w:t>
      </w:r>
      <w:r>
        <w:rPr>
          <w:rFonts w:ascii="Arial" w:cs="Arial" w:eastAsia="Arial" w:hAnsi="Arial"/>
          <w:sz w:val="11"/>
          <w:szCs w:val="11"/>
          <w:color w:val="auto"/>
        </w:rPr>
        <w:t>ITNESS</w:t>
      </w:r>
      <w:r>
        <w:rPr>
          <w:rFonts w:ascii="Arial" w:cs="Arial" w:eastAsia="Arial" w:hAnsi="Arial"/>
          <w:sz w:val="14"/>
          <w:szCs w:val="14"/>
          <w:color w:val="auto"/>
        </w:rPr>
        <w:t xml:space="preserve"> W</w:t>
      </w:r>
      <w:r>
        <w:rPr>
          <w:rFonts w:ascii="Arial" w:cs="Arial" w:eastAsia="Arial" w:hAnsi="Arial"/>
          <w:sz w:val="11"/>
          <w:szCs w:val="11"/>
          <w:color w:val="auto"/>
        </w:rPr>
        <w:t>HEREOF</w:t>
      </w:r>
      <w:r>
        <w:rPr>
          <w:rFonts w:ascii="Arial" w:cs="Arial" w:eastAsia="Arial" w:hAnsi="Arial"/>
          <w:sz w:val="14"/>
          <w:szCs w:val="14"/>
          <w:color w:val="auto"/>
        </w:rPr>
        <w:t>, the parties hereto have caused this First Amendment to Third Amended and Restated Revolving Credit and Security Agreement to be executed and delivered by their duly authorized officers as of the date hereof.</w:t>
      </w:r>
    </w:p>
    <w:p>
      <w:pPr>
        <w:spacing w:after="0" w:line="79" w:lineRule="exact"/>
        <w:rPr>
          <w:sz w:val="20"/>
          <w:szCs w:val="20"/>
          <w:color w:val="auto"/>
        </w:rPr>
      </w:pPr>
    </w:p>
    <w:p>
      <w:pPr>
        <w:ind w:left="6760"/>
        <w:spacing w:after="0"/>
        <w:rPr>
          <w:sz w:val="20"/>
          <w:szCs w:val="20"/>
          <w:color w:val="auto"/>
        </w:rPr>
      </w:pPr>
      <w:r>
        <w:rPr>
          <w:rFonts w:ascii="Arial" w:cs="Arial" w:eastAsia="Arial" w:hAnsi="Arial"/>
          <w:sz w:val="14"/>
          <w:szCs w:val="14"/>
          <w:i w:val="1"/>
          <w:iCs w:val="1"/>
          <w:color w:val="auto"/>
        </w:rPr>
        <w:t>“B</w:t>
      </w:r>
      <w:r>
        <w:rPr>
          <w:rFonts w:ascii="Arial" w:cs="Arial" w:eastAsia="Arial" w:hAnsi="Arial"/>
          <w:sz w:val="11"/>
          <w:szCs w:val="11"/>
          <w:i w:val="1"/>
          <w:iCs w:val="1"/>
          <w:color w:val="auto"/>
        </w:rPr>
        <w:t>ORROWER</w:t>
      </w:r>
      <w:r>
        <w:rPr>
          <w:rFonts w:ascii="Arial" w:cs="Arial" w:eastAsia="Arial" w:hAnsi="Arial"/>
          <w:sz w:val="14"/>
          <w:szCs w:val="14"/>
          <w:i w:val="1"/>
          <w:iCs w:val="1"/>
          <w:color w:val="auto"/>
        </w:rPr>
        <w:t xml:space="preserve">” </w:t>
      </w:r>
      <w:r>
        <w:rPr>
          <w:rFonts w:ascii="Arial" w:cs="Arial" w:eastAsia="Arial" w:hAnsi="Arial"/>
          <w:sz w:val="11"/>
          <w:szCs w:val="11"/>
          <w:i w:val="1"/>
          <w:iCs w:val="1"/>
          <w:color w:val="auto"/>
        </w:rPr>
        <w:t>AND</w:t>
      </w:r>
      <w:r>
        <w:rPr>
          <w:rFonts w:ascii="Arial" w:cs="Arial" w:eastAsia="Arial" w:hAnsi="Arial"/>
          <w:sz w:val="14"/>
          <w:szCs w:val="14"/>
          <w:i w:val="1"/>
          <w:iCs w:val="1"/>
          <w:color w:val="auto"/>
        </w:rPr>
        <w:t xml:space="preserve"> “C</w:t>
      </w:r>
      <w:r>
        <w:rPr>
          <w:rFonts w:ascii="Arial" w:cs="Arial" w:eastAsia="Arial" w:hAnsi="Arial"/>
          <w:sz w:val="11"/>
          <w:szCs w:val="11"/>
          <w:i w:val="1"/>
          <w:iCs w:val="1"/>
          <w:color w:val="auto"/>
        </w:rPr>
        <w:t>OLLATERAL</w:t>
      </w:r>
      <w:r>
        <w:rPr>
          <w:rFonts w:ascii="Arial" w:cs="Arial" w:eastAsia="Arial" w:hAnsi="Arial"/>
          <w:sz w:val="14"/>
          <w:szCs w:val="14"/>
          <w:i w:val="1"/>
          <w:iCs w:val="1"/>
          <w:color w:val="auto"/>
        </w:rPr>
        <w:t xml:space="preserve"> M</w:t>
      </w:r>
      <w:r>
        <w:rPr>
          <w:rFonts w:ascii="Arial" w:cs="Arial" w:eastAsia="Arial" w:hAnsi="Arial"/>
          <w:sz w:val="11"/>
          <w:szCs w:val="11"/>
          <w:i w:val="1"/>
          <w:iCs w:val="1"/>
          <w:color w:val="auto"/>
        </w:rPr>
        <w:t>ANAGER</w:t>
      </w:r>
      <w:r>
        <w:rPr>
          <w:rFonts w:ascii="Arial" w:cs="Arial" w:eastAsia="Arial" w:hAnsi="Arial"/>
          <w:sz w:val="14"/>
          <w:szCs w:val="14"/>
          <w:i w:val="1"/>
          <w:iCs w:val="1"/>
          <w:color w:val="auto"/>
        </w:rPr>
        <w:t>”</w:t>
      </w:r>
    </w:p>
    <w:p>
      <w:pPr>
        <w:spacing w:after="0" w:line="95"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ENNANT</w:t>
      </w:r>
      <w:r>
        <w:rPr>
          <w:rFonts w:ascii="Arial" w:cs="Arial" w:eastAsia="Arial" w:hAnsi="Arial"/>
          <w:sz w:val="14"/>
          <w:szCs w:val="14"/>
          <w:color w:val="auto"/>
        </w:rPr>
        <w:t>P</w:t>
      </w:r>
      <w:r>
        <w:rPr>
          <w:rFonts w:ascii="Arial" w:cs="Arial" w:eastAsia="Arial" w:hAnsi="Arial"/>
          <w:sz w:val="11"/>
          <w:szCs w:val="11"/>
          <w:color w:val="auto"/>
        </w:rPr>
        <w:t>ARK</w:t>
      </w:r>
      <w:r>
        <w:rPr>
          <w:rFonts w:ascii="Arial" w:cs="Arial" w:eastAsia="Arial" w:hAnsi="Arial"/>
          <w:sz w:val="14"/>
          <w:szCs w:val="14"/>
          <w:color w:val="auto"/>
        </w:rPr>
        <w:t xml:space="preserve"> F</w:t>
      </w:r>
      <w:r>
        <w:rPr>
          <w:rFonts w:ascii="Arial" w:cs="Arial" w:eastAsia="Arial" w:hAnsi="Arial"/>
          <w:sz w:val="11"/>
          <w:szCs w:val="11"/>
          <w:color w:val="auto"/>
        </w:rPr>
        <w:t>LOATING</w:t>
      </w:r>
      <w:r>
        <w:rPr>
          <w:rFonts w:ascii="Arial" w:cs="Arial" w:eastAsia="Arial" w:hAnsi="Arial"/>
          <w:sz w:val="14"/>
          <w:szCs w:val="14"/>
          <w:color w:val="auto"/>
        </w:rPr>
        <w:t xml:space="preserve"> R</w:t>
      </w:r>
      <w:r>
        <w:rPr>
          <w:rFonts w:ascii="Arial" w:cs="Arial" w:eastAsia="Arial" w:hAnsi="Arial"/>
          <w:sz w:val="11"/>
          <w:szCs w:val="11"/>
          <w:color w:val="auto"/>
        </w:rPr>
        <w:t>ATE</w:t>
      </w:r>
      <w:r>
        <w:rPr>
          <w:rFonts w:ascii="Arial" w:cs="Arial" w:eastAsia="Arial" w:hAnsi="Arial"/>
          <w:sz w:val="14"/>
          <w:szCs w:val="14"/>
          <w:color w:val="auto"/>
        </w:rPr>
        <w:t xml:space="preserve"> F</w:t>
      </w:r>
      <w:r>
        <w:rPr>
          <w:rFonts w:ascii="Arial" w:cs="Arial" w:eastAsia="Arial" w:hAnsi="Arial"/>
          <w:sz w:val="11"/>
          <w:szCs w:val="11"/>
          <w:color w:val="auto"/>
        </w:rPr>
        <w:t>UNDING</w:t>
      </w:r>
    </w:p>
    <w:p>
      <w:pPr>
        <w:ind w:left="6860"/>
        <w:spacing w:after="0"/>
        <w:rPr>
          <w:sz w:val="20"/>
          <w:szCs w:val="20"/>
          <w:color w:val="auto"/>
        </w:rPr>
      </w:pPr>
      <w:r>
        <w:rPr>
          <w:rFonts w:ascii="Arial" w:cs="Arial" w:eastAsia="Arial" w:hAnsi="Arial"/>
          <w:sz w:val="14"/>
          <w:szCs w:val="14"/>
          <w:color w:val="auto"/>
        </w:rPr>
        <w:t>I, LLC, as Borrower</w:t>
      </w:r>
    </w:p>
    <w:p>
      <w:pPr>
        <w:spacing w:after="0" w:line="97"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By: P</w:t>
      </w:r>
      <w:r>
        <w:rPr>
          <w:rFonts w:ascii="Arial" w:cs="Arial" w:eastAsia="Arial" w:hAnsi="Arial"/>
          <w:sz w:val="11"/>
          <w:szCs w:val="11"/>
          <w:color w:val="auto"/>
        </w:rPr>
        <w:t>ENNANT</w:t>
      </w:r>
      <w:r>
        <w:rPr>
          <w:rFonts w:ascii="Arial" w:cs="Arial" w:eastAsia="Arial" w:hAnsi="Arial"/>
          <w:sz w:val="14"/>
          <w:szCs w:val="14"/>
          <w:color w:val="auto"/>
        </w:rPr>
        <w:t>P</w:t>
      </w:r>
      <w:r>
        <w:rPr>
          <w:rFonts w:ascii="Arial" w:cs="Arial" w:eastAsia="Arial" w:hAnsi="Arial"/>
          <w:sz w:val="11"/>
          <w:szCs w:val="11"/>
          <w:color w:val="auto"/>
        </w:rPr>
        <w:t>ARK</w:t>
      </w:r>
      <w:r>
        <w:rPr>
          <w:rFonts w:ascii="Arial" w:cs="Arial" w:eastAsia="Arial" w:hAnsi="Arial"/>
          <w:sz w:val="14"/>
          <w:szCs w:val="14"/>
          <w:color w:val="auto"/>
        </w:rPr>
        <w:t xml:space="preserve"> F</w:t>
      </w:r>
      <w:r>
        <w:rPr>
          <w:rFonts w:ascii="Arial" w:cs="Arial" w:eastAsia="Arial" w:hAnsi="Arial"/>
          <w:sz w:val="11"/>
          <w:szCs w:val="11"/>
          <w:color w:val="auto"/>
        </w:rPr>
        <w:t>LOATING</w:t>
      </w:r>
      <w:r>
        <w:rPr>
          <w:rFonts w:ascii="Arial" w:cs="Arial" w:eastAsia="Arial" w:hAnsi="Arial"/>
          <w:sz w:val="14"/>
          <w:szCs w:val="14"/>
          <w:color w:val="auto"/>
        </w:rPr>
        <w:t xml:space="preserve"> R</w:t>
      </w:r>
      <w:r>
        <w:rPr>
          <w:rFonts w:ascii="Arial" w:cs="Arial" w:eastAsia="Arial" w:hAnsi="Arial"/>
          <w:sz w:val="11"/>
          <w:szCs w:val="11"/>
          <w:color w:val="auto"/>
        </w:rPr>
        <w:t>ATE</w:t>
      </w:r>
      <w:r>
        <w:rPr>
          <w:rFonts w:ascii="Arial" w:cs="Arial" w:eastAsia="Arial" w:hAnsi="Arial"/>
          <w:sz w:val="14"/>
          <w:szCs w:val="14"/>
          <w:color w:val="auto"/>
        </w:rPr>
        <w:t xml:space="preserve"> C</w:t>
      </w:r>
      <w:r>
        <w:rPr>
          <w:rFonts w:ascii="Arial" w:cs="Arial" w:eastAsia="Arial" w:hAnsi="Arial"/>
          <w:sz w:val="11"/>
          <w:szCs w:val="11"/>
          <w:color w:val="auto"/>
        </w:rPr>
        <w:t>APITAL</w:t>
      </w:r>
      <w:r>
        <w:rPr>
          <w:rFonts w:ascii="Arial" w:cs="Arial" w:eastAsia="Arial" w:hAnsi="Arial"/>
          <w:sz w:val="14"/>
          <w:szCs w:val="14"/>
          <w:color w:val="auto"/>
        </w:rPr>
        <w:t xml:space="preserve"> L</w:t>
      </w:r>
      <w:r>
        <w:rPr>
          <w:rFonts w:ascii="Arial" w:cs="Arial" w:eastAsia="Arial" w:hAnsi="Arial"/>
          <w:sz w:val="11"/>
          <w:szCs w:val="11"/>
          <w:color w:val="auto"/>
        </w:rPr>
        <w:t>TD</w:t>
      </w:r>
      <w:r>
        <w:rPr>
          <w:rFonts w:ascii="Arial" w:cs="Arial" w:eastAsia="Arial" w:hAnsi="Arial"/>
          <w:sz w:val="14"/>
          <w:szCs w:val="14"/>
          <w:color w:val="auto"/>
        </w:rPr>
        <w:t>., its Designated Manager</w:t>
      </w:r>
    </w:p>
    <w:p>
      <w:pPr>
        <w:spacing w:after="0" w:line="96"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449580</wp:posOffset>
            </wp:positionV>
            <wp:extent cx="2674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-89535</wp:posOffset>
            </wp:positionV>
            <wp:extent cx="1397000" cy="436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970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Name: Arthur Penn</w:t>
      </w:r>
    </w:p>
    <w:p>
      <w:pPr>
        <w:spacing w:after="0" w:line="9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Title: CEO</w:t>
      </w:r>
    </w:p>
    <w:p>
      <w:pPr>
        <w:spacing w:after="0" w:line="95"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ENNANT</w:t>
      </w:r>
      <w:r>
        <w:rPr>
          <w:rFonts w:ascii="Arial" w:cs="Arial" w:eastAsia="Arial" w:hAnsi="Arial"/>
          <w:sz w:val="14"/>
          <w:szCs w:val="14"/>
          <w:color w:val="auto"/>
        </w:rPr>
        <w:t>P</w:t>
      </w:r>
      <w:r>
        <w:rPr>
          <w:rFonts w:ascii="Arial" w:cs="Arial" w:eastAsia="Arial" w:hAnsi="Arial"/>
          <w:sz w:val="11"/>
          <w:szCs w:val="11"/>
          <w:color w:val="auto"/>
        </w:rPr>
        <w:t>ARK</w:t>
      </w:r>
      <w:r>
        <w:rPr>
          <w:rFonts w:ascii="Arial" w:cs="Arial" w:eastAsia="Arial" w:hAnsi="Arial"/>
          <w:sz w:val="14"/>
          <w:szCs w:val="14"/>
          <w:color w:val="auto"/>
        </w:rPr>
        <w:t xml:space="preserve"> I</w:t>
      </w:r>
      <w:r>
        <w:rPr>
          <w:rFonts w:ascii="Arial" w:cs="Arial" w:eastAsia="Arial" w:hAnsi="Arial"/>
          <w:sz w:val="11"/>
          <w:szCs w:val="11"/>
          <w:color w:val="auto"/>
        </w:rPr>
        <w:t>NVESTMENT</w:t>
      </w:r>
      <w:r>
        <w:rPr>
          <w:rFonts w:ascii="Arial" w:cs="Arial" w:eastAsia="Arial" w:hAnsi="Arial"/>
          <w:sz w:val="14"/>
          <w:szCs w:val="14"/>
          <w:color w:val="auto"/>
        </w:rPr>
        <w:t xml:space="preserve"> A</w:t>
      </w:r>
      <w:r>
        <w:rPr>
          <w:rFonts w:ascii="Arial" w:cs="Arial" w:eastAsia="Arial" w:hAnsi="Arial"/>
          <w:sz w:val="11"/>
          <w:szCs w:val="11"/>
          <w:color w:val="auto"/>
        </w:rPr>
        <w:t>DVISERS</w:t>
      </w:r>
      <w:r>
        <w:rPr>
          <w:rFonts w:ascii="Arial" w:cs="Arial" w:eastAsia="Arial" w:hAnsi="Arial"/>
          <w:sz w:val="14"/>
          <w:szCs w:val="14"/>
          <w:color w:val="auto"/>
        </w:rPr>
        <w:t>,</w:t>
      </w:r>
    </w:p>
    <w:p>
      <w:pPr>
        <w:ind w:left="6860"/>
        <w:spacing w:after="0"/>
        <w:rPr>
          <w:sz w:val="20"/>
          <w:szCs w:val="20"/>
          <w:color w:val="auto"/>
        </w:rPr>
      </w:pPr>
      <w:r>
        <w:rPr>
          <w:rFonts w:ascii="Arial" w:cs="Arial" w:eastAsia="Arial" w:hAnsi="Arial"/>
          <w:sz w:val="14"/>
          <w:szCs w:val="14"/>
          <w:color w:val="auto"/>
        </w:rPr>
        <w:t>LLC, as Collateral Manager</w:t>
      </w:r>
    </w:p>
    <w:p>
      <w:pPr>
        <w:spacing w:after="0" w:line="97"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415290</wp:posOffset>
            </wp:positionV>
            <wp:extent cx="2674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-89535</wp:posOffset>
            </wp:positionV>
            <wp:extent cx="1114425" cy="402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44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Name: Arthur Penn</w:t>
      </w:r>
    </w:p>
    <w:p>
      <w:pPr>
        <w:spacing w:after="0" w:line="9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Title: CEO</w:t>
      </w:r>
    </w:p>
    <w:p>
      <w:pPr>
        <w:spacing w:after="0" w:line="96" w:lineRule="exact"/>
        <w:rPr>
          <w:sz w:val="20"/>
          <w:szCs w:val="20"/>
          <w:color w:val="auto"/>
        </w:rPr>
      </w:pPr>
    </w:p>
    <w:p>
      <w:pPr>
        <w:ind w:left="2380"/>
        <w:spacing w:after="0"/>
        <w:rPr>
          <w:sz w:val="20"/>
          <w:szCs w:val="20"/>
          <w:color w:val="auto"/>
        </w:rPr>
      </w:pPr>
      <w:r>
        <w:rPr>
          <w:rFonts w:ascii="Arial" w:cs="Arial" w:eastAsia="Arial" w:hAnsi="Arial"/>
          <w:sz w:val="14"/>
          <w:szCs w:val="14"/>
          <w:color w:val="auto"/>
        </w:rPr>
        <w:t>[Signature Page to First Amendment to Third Amended and Restated Revolving Credit and Security Agreement]</w:t>
      </w:r>
    </w:p>
    <w:p>
      <w:pPr>
        <w:sectPr>
          <w:pgSz w:w="11900" w:h="16838" w:orient="portrait"/>
          <w:cols w:equalWidth="0" w:num="1">
            <w:col w:w="11240"/>
          </w:cols>
          <w:pgMar w:left="320" w:top="269" w:right="339" w:bottom="1440" w:gutter="0" w:footer="0" w:header="0"/>
        </w:sectPr>
      </w:pPr>
    </w:p>
    <w:bookmarkStart w:id="78" w:name="page79"/>
    <w:bookmarkEnd w:id="78"/>
    <w:p>
      <w:pPr>
        <w:ind w:left="5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4"/>
          <w:szCs w:val="14"/>
          <w:i w:val="1"/>
          <w:iCs w:val="1"/>
          <w:color w:val="auto"/>
        </w:rPr>
        <w:t>A</w:t>
      </w:r>
      <w:r>
        <w:rPr>
          <w:rFonts w:ascii="Arial" w:cs="Arial" w:eastAsia="Arial" w:hAnsi="Arial"/>
          <w:sz w:val="11"/>
          <w:szCs w:val="11"/>
          <w:i w:val="1"/>
          <w:iCs w:val="1"/>
          <w:color w:val="auto"/>
        </w:rPr>
        <w:t>DMINISTRATIVE</w:t>
      </w:r>
      <w:r>
        <w:rPr>
          <w:rFonts w:ascii="Arial" w:cs="Arial" w:eastAsia="Arial" w:hAnsi="Arial"/>
          <w:sz w:val="14"/>
          <w:szCs w:val="14"/>
          <w:color w:val="auto"/>
        </w:rPr>
        <w:t xml:space="preserve"> </w:t>
      </w:r>
      <w:r>
        <w:rPr>
          <w:rFonts w:ascii="Arial" w:cs="Arial" w:eastAsia="Arial" w:hAnsi="Arial"/>
          <w:sz w:val="14"/>
          <w:szCs w:val="14"/>
          <w:i w:val="1"/>
          <w:iCs w:val="1"/>
          <w:color w:val="auto"/>
        </w:rPr>
        <w:t>A</w:t>
      </w:r>
      <w:r>
        <w:rPr>
          <w:rFonts w:ascii="Arial" w:cs="Arial" w:eastAsia="Arial" w:hAnsi="Arial"/>
          <w:sz w:val="11"/>
          <w:szCs w:val="11"/>
          <w:i w:val="1"/>
          <w:iCs w:val="1"/>
          <w:color w:val="auto"/>
        </w:rPr>
        <w:t>GENT</w:t>
      </w:r>
      <w:r>
        <w:rPr>
          <w:rFonts w:ascii="Arial" w:cs="Arial" w:eastAsia="Arial" w:hAnsi="Arial"/>
          <w:sz w:val="14"/>
          <w:szCs w:val="14"/>
          <w:color w:val="auto"/>
        </w:rPr>
        <w:t xml:space="preserve">” </w:t>
      </w:r>
      <w:r>
        <w:rPr>
          <w:rFonts w:ascii="Arial" w:cs="Arial" w:eastAsia="Arial" w:hAnsi="Arial"/>
          <w:sz w:val="11"/>
          <w:szCs w:val="11"/>
          <w:color w:val="auto"/>
        </w:rPr>
        <w:t>AND</w:t>
      </w:r>
      <w:r>
        <w:rPr>
          <w:rFonts w:ascii="Arial" w:cs="Arial" w:eastAsia="Arial" w:hAnsi="Arial"/>
          <w:sz w:val="14"/>
          <w:szCs w:val="14"/>
          <w:color w:val="auto"/>
        </w:rPr>
        <w:t xml:space="preserve"> “</w:t>
      </w:r>
      <w:r>
        <w:rPr>
          <w:rFonts w:ascii="Arial" w:cs="Arial" w:eastAsia="Arial" w:hAnsi="Arial"/>
          <w:sz w:val="14"/>
          <w:szCs w:val="14"/>
          <w:i w:val="1"/>
          <w:iCs w:val="1"/>
          <w:color w:val="auto"/>
        </w:rPr>
        <w:t>R</w:t>
      </w:r>
      <w:r>
        <w:rPr>
          <w:rFonts w:ascii="Arial" w:cs="Arial" w:eastAsia="Arial" w:hAnsi="Arial"/>
          <w:sz w:val="11"/>
          <w:szCs w:val="11"/>
          <w:i w:val="1"/>
          <w:iCs w:val="1"/>
          <w:color w:val="auto"/>
        </w:rPr>
        <w:t>EQUIRED</w:t>
      </w:r>
      <w:r>
        <w:rPr>
          <w:rFonts w:ascii="Arial" w:cs="Arial" w:eastAsia="Arial" w:hAnsi="Arial"/>
          <w:sz w:val="14"/>
          <w:szCs w:val="14"/>
          <w:color w:val="auto"/>
        </w:rPr>
        <w:t xml:space="preserve"> </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w:t>
      </w:r>
      <w:r>
        <w:rPr>
          <w:rFonts w:ascii="Arial" w:cs="Arial" w:eastAsia="Arial" w:hAnsi="Arial"/>
          <w:sz w:val="14"/>
          <w:szCs w:val="14"/>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72390</wp:posOffset>
            </wp:positionV>
            <wp:extent cx="505460" cy="316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5460" cy="31686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3810</wp:posOffset>
            </wp:positionV>
            <wp:extent cx="2511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Jason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0</wp:posOffset>
            </wp:positionV>
            <wp:extent cx="2314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jc w:val="right"/>
        <w:ind w:right="1719"/>
        <w:spacing w:after="0"/>
        <w:rPr>
          <w:sz w:val="20"/>
          <w:szCs w:val="20"/>
          <w:color w:val="auto"/>
        </w:rPr>
      </w:pPr>
      <w:r>
        <w:rPr>
          <w:rFonts w:ascii="Arial" w:cs="Arial" w:eastAsia="Arial" w:hAnsi="Arial"/>
          <w:sz w:val="14"/>
          <w:szCs w:val="14"/>
          <w:color w:val="auto"/>
        </w:rPr>
        <w:t>Title: 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0</wp:posOffset>
            </wp:positionV>
            <wp:extent cx="25114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6" w:lineRule="exact"/>
        <w:rPr>
          <w:sz w:val="20"/>
          <w:szCs w:val="20"/>
          <w:color w:val="auto"/>
        </w:rPr>
      </w:pPr>
    </w:p>
    <w:p>
      <w:pPr>
        <w:jc w:val="right"/>
        <w:ind w:right="1699"/>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72390</wp:posOffset>
            </wp:positionV>
            <wp:extent cx="556895"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895" cy="300355"/>
                    </a:xfrm>
                    <a:prstGeom prst="rect">
                      <a:avLst/>
                    </a:prstGeom>
                    <a:noFill/>
                  </pic:spPr>
                </pic:pic>
              </a:graphicData>
            </a:graphic>
          </wp:anchor>
        </w:drawing>
      </w:r>
    </w:p>
    <w:p>
      <w:pPr>
        <w:spacing w:after="0" w:line="40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3810</wp:posOffset>
            </wp:positionV>
            <wp:extent cx="25114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Jason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0</wp:posOffset>
            </wp:positionV>
            <wp:extent cx="2314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 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0</wp:posOffset>
            </wp:positionV>
            <wp:extent cx="25114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ENDERS</w:t>
      </w:r>
      <w:r>
        <w:rPr>
          <w:rFonts w:ascii="Arial" w:cs="Arial" w:eastAsia="Arial" w:hAnsi="Arial"/>
          <w:sz w:val="14"/>
          <w:szCs w:val="14"/>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OLDMAN</w:t>
      </w:r>
      <w:r>
        <w:rPr>
          <w:rFonts w:ascii="Arial" w:cs="Arial" w:eastAsia="Arial" w:hAnsi="Arial"/>
          <w:sz w:val="14"/>
          <w:szCs w:val="14"/>
          <w:color w:val="auto"/>
        </w:rPr>
        <w:t xml:space="preserve"> S</w:t>
      </w:r>
      <w:r>
        <w:rPr>
          <w:rFonts w:ascii="Arial" w:cs="Arial" w:eastAsia="Arial" w:hAnsi="Arial"/>
          <w:sz w:val="11"/>
          <w:szCs w:val="11"/>
          <w:color w:val="auto"/>
        </w:rPr>
        <w:t>ACHS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USA,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0</wp:posOffset>
            </wp:positionV>
            <wp:extent cx="25285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N.A.,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1270</wp:posOffset>
            </wp:positionV>
            <wp:extent cx="23831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APITAL</w:t>
      </w:r>
      <w:r>
        <w:rPr>
          <w:rFonts w:ascii="Arial" w:cs="Arial" w:eastAsia="Arial" w:hAnsi="Arial"/>
          <w:sz w:val="14"/>
          <w:szCs w:val="14"/>
          <w:color w:val="auto"/>
        </w:rPr>
        <w:t xml:space="preserve"> O</w:t>
      </w:r>
      <w:r>
        <w:rPr>
          <w:rFonts w:ascii="Arial" w:cs="Arial" w:eastAsia="Arial" w:hAnsi="Arial"/>
          <w:sz w:val="11"/>
          <w:szCs w:val="11"/>
          <w:color w:val="auto"/>
        </w:rPr>
        <w:t>NE</w:t>
      </w:r>
      <w:r>
        <w:rPr>
          <w:rFonts w:ascii="Arial" w:cs="Arial" w:eastAsia="Arial" w:hAnsi="Arial"/>
          <w:sz w:val="14"/>
          <w:szCs w:val="14"/>
          <w:color w:val="auto"/>
        </w:rPr>
        <w:t>, N.A.,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59690</wp:posOffset>
            </wp:positionV>
            <wp:extent cx="25203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 Third Amended and Restated Revolving Credit and Security Agreement]</w:t>
      </w:r>
    </w:p>
    <w:p>
      <w:pPr>
        <w:sectPr>
          <w:pgSz w:w="11900" w:h="16838" w:orient="portrait"/>
          <w:cols w:equalWidth="0" w:num="1">
            <w:col w:w="9019"/>
          </w:cols>
          <w:pgMar w:left="1440" w:top="269" w:right="1440" w:bottom="1440" w:gutter="0" w:footer="0" w:header="0"/>
        </w:sectPr>
      </w:pPr>
    </w:p>
    <w:bookmarkStart w:id="79" w:name="page80"/>
    <w:bookmarkEnd w:id="79"/>
    <w:p>
      <w:pPr>
        <w:ind w:left="5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4"/>
          <w:szCs w:val="14"/>
          <w:i w:val="1"/>
          <w:iCs w:val="1"/>
          <w:color w:val="auto"/>
        </w:rPr>
        <w:t>A</w:t>
      </w:r>
      <w:r>
        <w:rPr>
          <w:rFonts w:ascii="Arial" w:cs="Arial" w:eastAsia="Arial" w:hAnsi="Arial"/>
          <w:sz w:val="11"/>
          <w:szCs w:val="11"/>
          <w:i w:val="1"/>
          <w:iCs w:val="1"/>
          <w:color w:val="auto"/>
        </w:rPr>
        <w:t>DMINISTRATIVE</w:t>
      </w:r>
      <w:r>
        <w:rPr>
          <w:rFonts w:ascii="Arial" w:cs="Arial" w:eastAsia="Arial" w:hAnsi="Arial"/>
          <w:sz w:val="14"/>
          <w:szCs w:val="14"/>
          <w:color w:val="auto"/>
        </w:rPr>
        <w:t xml:space="preserve"> </w:t>
      </w:r>
      <w:r>
        <w:rPr>
          <w:rFonts w:ascii="Arial" w:cs="Arial" w:eastAsia="Arial" w:hAnsi="Arial"/>
          <w:sz w:val="14"/>
          <w:szCs w:val="14"/>
          <w:i w:val="1"/>
          <w:iCs w:val="1"/>
          <w:color w:val="auto"/>
        </w:rPr>
        <w:t>A</w:t>
      </w:r>
      <w:r>
        <w:rPr>
          <w:rFonts w:ascii="Arial" w:cs="Arial" w:eastAsia="Arial" w:hAnsi="Arial"/>
          <w:sz w:val="11"/>
          <w:szCs w:val="11"/>
          <w:i w:val="1"/>
          <w:iCs w:val="1"/>
          <w:color w:val="auto"/>
        </w:rPr>
        <w:t>GENT</w:t>
      </w:r>
      <w:r>
        <w:rPr>
          <w:rFonts w:ascii="Arial" w:cs="Arial" w:eastAsia="Arial" w:hAnsi="Arial"/>
          <w:sz w:val="14"/>
          <w:szCs w:val="14"/>
          <w:color w:val="auto"/>
        </w:rPr>
        <w:t xml:space="preserve">” </w:t>
      </w:r>
      <w:r>
        <w:rPr>
          <w:rFonts w:ascii="Arial" w:cs="Arial" w:eastAsia="Arial" w:hAnsi="Arial"/>
          <w:sz w:val="11"/>
          <w:szCs w:val="11"/>
          <w:color w:val="auto"/>
        </w:rPr>
        <w:t>AND</w:t>
      </w:r>
      <w:r>
        <w:rPr>
          <w:rFonts w:ascii="Arial" w:cs="Arial" w:eastAsia="Arial" w:hAnsi="Arial"/>
          <w:sz w:val="14"/>
          <w:szCs w:val="14"/>
          <w:color w:val="auto"/>
        </w:rPr>
        <w:t xml:space="preserve"> “</w:t>
      </w:r>
      <w:r>
        <w:rPr>
          <w:rFonts w:ascii="Arial" w:cs="Arial" w:eastAsia="Arial" w:hAnsi="Arial"/>
          <w:sz w:val="14"/>
          <w:szCs w:val="14"/>
          <w:i w:val="1"/>
          <w:iCs w:val="1"/>
          <w:color w:val="auto"/>
        </w:rPr>
        <w:t>R</w:t>
      </w:r>
      <w:r>
        <w:rPr>
          <w:rFonts w:ascii="Arial" w:cs="Arial" w:eastAsia="Arial" w:hAnsi="Arial"/>
          <w:sz w:val="11"/>
          <w:szCs w:val="11"/>
          <w:i w:val="1"/>
          <w:iCs w:val="1"/>
          <w:color w:val="auto"/>
        </w:rPr>
        <w:t>EQUIRED</w:t>
      </w:r>
      <w:r>
        <w:rPr>
          <w:rFonts w:ascii="Arial" w:cs="Arial" w:eastAsia="Arial" w:hAnsi="Arial"/>
          <w:sz w:val="14"/>
          <w:szCs w:val="14"/>
          <w:color w:val="auto"/>
        </w:rPr>
        <w:t xml:space="preserve"> </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w:t>
      </w:r>
      <w:r>
        <w:rPr>
          <w:rFonts w:ascii="Arial" w:cs="Arial" w:eastAsia="Arial" w:hAnsi="Arial"/>
          <w:sz w:val="14"/>
          <w:szCs w:val="14"/>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Administrative Agent</w:t>
      </w:r>
    </w:p>
    <w:p>
      <w:pPr>
        <w:spacing w:after="0" w:line="29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-12065</wp:posOffset>
            </wp:positionV>
            <wp:extent cx="25114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-3175</wp:posOffset>
            </wp:positionV>
            <wp:extent cx="2314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0</wp:posOffset>
            </wp:positionV>
            <wp:extent cx="2511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Lender</w:t>
      </w:r>
    </w:p>
    <w:p>
      <w:pPr>
        <w:spacing w:after="0" w:line="12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5285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5780"/>
        <w:spacing w:after="0" w:line="221" w:lineRule="auto"/>
        <w:rPr>
          <w:sz w:val="20"/>
          <w:szCs w:val="20"/>
          <w:color w:val="auto"/>
        </w:rPr>
      </w:pPr>
      <w:r>
        <w:rPr>
          <w:rFonts w:ascii="Arial" w:cs="Arial" w:eastAsia="Arial" w:hAnsi="Arial"/>
          <w:sz w:val="14"/>
          <w:szCs w:val="14"/>
          <w:color w:val="auto"/>
        </w:rPr>
        <w:t>Name:</w:t>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-62865</wp:posOffset>
            </wp:positionV>
            <wp:extent cx="25285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30480</wp:posOffset>
            </wp:positionV>
            <wp:extent cx="24085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ENDERS</w:t>
      </w:r>
      <w:r>
        <w:rPr>
          <w:rFonts w:ascii="Arial" w:cs="Arial" w:eastAsia="Arial" w:hAnsi="Arial"/>
          <w:sz w:val="14"/>
          <w:szCs w:val="14"/>
          <w:i w:val="1"/>
          <w:iCs w:val="1"/>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OLDMAN</w:t>
      </w:r>
      <w:r>
        <w:rPr>
          <w:rFonts w:ascii="Arial" w:cs="Arial" w:eastAsia="Arial" w:hAnsi="Arial"/>
          <w:sz w:val="14"/>
          <w:szCs w:val="14"/>
          <w:color w:val="auto"/>
        </w:rPr>
        <w:t xml:space="preserve"> S</w:t>
      </w:r>
      <w:r>
        <w:rPr>
          <w:rFonts w:ascii="Arial" w:cs="Arial" w:eastAsia="Arial" w:hAnsi="Arial"/>
          <w:sz w:val="11"/>
          <w:szCs w:val="11"/>
          <w:color w:val="auto"/>
        </w:rPr>
        <w:t>ACHS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USA,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346710</wp:posOffset>
            </wp:positionV>
            <wp:extent cx="1071880"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7188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5860"/>
        <w:spacing w:after="0" w:line="182" w:lineRule="auto"/>
        <w:rPr>
          <w:sz w:val="20"/>
          <w:szCs w:val="20"/>
          <w:color w:val="auto"/>
        </w:rPr>
      </w:pPr>
      <w:r>
        <w:rPr>
          <w:rFonts w:ascii="Arial" w:cs="Arial" w:eastAsia="Arial" w:hAnsi="Arial"/>
          <w:sz w:val="32"/>
          <w:szCs w:val="32"/>
          <w:color w:val="auto"/>
          <w:vertAlign w:val="subscript"/>
        </w:rPr>
        <w:t>Title:</w:t>
      </w:r>
      <w:r>
        <w:rPr>
          <w:rFonts w:ascii="Arial" w:cs="Arial" w:eastAsia="Arial" w:hAnsi="Arial"/>
          <w:sz w:val="13"/>
          <w:szCs w:val="13"/>
          <w:color w:val="auto"/>
        </w:rPr>
        <w:t xml:space="preserv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-65405</wp:posOffset>
            </wp:positionV>
            <wp:extent cx="23914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N.A., as Lender</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64135</wp:posOffset>
            </wp:positionV>
            <wp:extent cx="266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64135</wp:posOffset>
            </wp:positionV>
            <wp:extent cx="2459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64135</wp:posOffset>
            </wp:positionV>
            <wp:extent cx="25203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APITAL</w:t>
      </w:r>
      <w:r>
        <w:rPr>
          <w:rFonts w:ascii="Arial" w:cs="Arial" w:eastAsia="Arial" w:hAnsi="Arial"/>
          <w:sz w:val="14"/>
          <w:szCs w:val="14"/>
          <w:color w:val="auto"/>
        </w:rPr>
        <w:t xml:space="preserve"> O</w:t>
      </w:r>
      <w:r>
        <w:rPr>
          <w:rFonts w:ascii="Arial" w:cs="Arial" w:eastAsia="Arial" w:hAnsi="Arial"/>
          <w:sz w:val="11"/>
          <w:szCs w:val="11"/>
          <w:color w:val="auto"/>
        </w:rPr>
        <w:t>NE</w:t>
      </w:r>
      <w:r>
        <w:rPr>
          <w:rFonts w:ascii="Arial" w:cs="Arial" w:eastAsia="Arial" w:hAnsi="Arial"/>
          <w:sz w:val="14"/>
          <w:szCs w:val="14"/>
          <w:color w:val="auto"/>
        </w:rPr>
        <w:t>, N.A., as Lender</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64135</wp:posOffset>
            </wp:positionV>
            <wp:extent cx="2665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64135</wp:posOffset>
            </wp:positionV>
            <wp:extent cx="24599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64135</wp:posOffset>
            </wp:positionV>
            <wp:extent cx="25203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 Third Amended and Restated Revolving Credit and Security Agreement]</w:t>
      </w:r>
    </w:p>
    <w:p>
      <w:pPr>
        <w:sectPr>
          <w:pgSz w:w="11900" w:h="16838" w:orient="portrait"/>
          <w:cols w:equalWidth="0" w:num="1">
            <w:col w:w="9019"/>
          </w:cols>
          <w:pgMar w:left="1440" w:top="269" w:right="1440" w:bottom="1440" w:gutter="0" w:footer="0" w:header="0"/>
        </w:sectPr>
      </w:pPr>
    </w:p>
    <w:bookmarkStart w:id="80" w:name="page81"/>
    <w:bookmarkEnd w:id="80"/>
    <w:p>
      <w:pPr>
        <w:ind w:left="564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1"/>
          <w:szCs w:val="11"/>
          <w:i w:val="1"/>
          <w:iCs w:val="1"/>
          <w:color w:val="auto"/>
        </w:rPr>
        <w:t>DMINISTRATIVE</w:t>
      </w:r>
      <w:r>
        <w:rPr>
          <w:rFonts w:ascii="Arial" w:cs="Arial" w:eastAsia="Arial" w:hAnsi="Arial"/>
          <w:sz w:val="14"/>
          <w:szCs w:val="14"/>
          <w:i w:val="1"/>
          <w:iCs w:val="1"/>
          <w:color w:val="auto"/>
        </w:rPr>
        <w:t xml:space="preserve"> A</w:t>
      </w:r>
      <w:r>
        <w:rPr>
          <w:rFonts w:ascii="Arial" w:cs="Arial" w:eastAsia="Arial" w:hAnsi="Arial"/>
          <w:sz w:val="11"/>
          <w:szCs w:val="11"/>
          <w:i w:val="1"/>
          <w:iCs w:val="1"/>
          <w:color w:val="auto"/>
        </w:rPr>
        <w:t>GENT</w:t>
      </w:r>
      <w:r>
        <w:rPr>
          <w:rFonts w:ascii="Arial" w:cs="Arial" w:eastAsia="Arial" w:hAnsi="Arial"/>
          <w:sz w:val="14"/>
          <w:szCs w:val="14"/>
          <w:i w:val="1"/>
          <w:iCs w:val="1"/>
          <w:color w:val="auto"/>
        </w:rPr>
        <w:t xml:space="preserve">” </w:t>
      </w:r>
      <w:r>
        <w:rPr>
          <w:rFonts w:ascii="Arial" w:cs="Arial" w:eastAsia="Arial" w:hAnsi="Arial"/>
          <w:sz w:val="11"/>
          <w:szCs w:val="11"/>
          <w:color w:val="auto"/>
        </w:rPr>
        <w:t>AND</w:t>
      </w:r>
      <w:r>
        <w:rPr>
          <w:rFonts w:ascii="Arial" w:cs="Arial" w:eastAsia="Arial" w:hAnsi="Arial"/>
          <w:sz w:val="14"/>
          <w:szCs w:val="14"/>
          <w:i w:val="1"/>
          <w:iCs w:val="1"/>
          <w:color w:val="auto"/>
        </w:rPr>
        <w:t xml:space="preserve"> “R</w:t>
      </w:r>
      <w:r>
        <w:rPr>
          <w:rFonts w:ascii="Arial" w:cs="Arial" w:eastAsia="Arial" w:hAnsi="Arial"/>
          <w:sz w:val="11"/>
          <w:szCs w:val="11"/>
          <w:i w:val="1"/>
          <w:iCs w:val="1"/>
          <w:color w:val="auto"/>
        </w:rPr>
        <w:t>EQUIRED</w:t>
      </w:r>
      <w:r>
        <w:rPr>
          <w:rFonts w:ascii="Arial" w:cs="Arial" w:eastAsia="Arial" w:hAnsi="Arial"/>
          <w:sz w:val="14"/>
          <w:szCs w:val="14"/>
          <w:i w:val="1"/>
          <w:iCs w:val="1"/>
          <w:color w:val="auto"/>
        </w:rPr>
        <w:t xml:space="preserve"> L</w:t>
      </w:r>
      <w:r>
        <w:rPr>
          <w:rFonts w:ascii="Arial" w:cs="Arial" w:eastAsia="Arial" w:hAnsi="Arial"/>
          <w:sz w:val="11"/>
          <w:szCs w:val="11"/>
          <w:i w:val="1"/>
          <w:iCs w:val="1"/>
          <w:color w:val="auto"/>
        </w:rPr>
        <w:t>ENDER</w:t>
      </w:r>
      <w:r>
        <w:rPr>
          <w:rFonts w:ascii="Arial" w:cs="Arial" w:eastAsia="Arial" w:hAnsi="Arial"/>
          <w:sz w:val="14"/>
          <w:szCs w:val="14"/>
          <w:i w:val="1"/>
          <w:iCs w:val="1"/>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Administrative Agent</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0</wp:posOffset>
            </wp:positionV>
            <wp:extent cx="25285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59690</wp:posOffset>
            </wp:positionV>
            <wp:extent cx="25203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ENDERS</w:t>
      </w:r>
      <w:r>
        <w:rPr>
          <w:rFonts w:ascii="Arial" w:cs="Arial" w:eastAsia="Arial" w:hAnsi="Arial"/>
          <w:sz w:val="14"/>
          <w:szCs w:val="14"/>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OLDMAN</w:t>
      </w:r>
      <w:r>
        <w:rPr>
          <w:rFonts w:ascii="Arial" w:cs="Arial" w:eastAsia="Arial" w:hAnsi="Arial"/>
          <w:sz w:val="14"/>
          <w:szCs w:val="14"/>
          <w:color w:val="auto"/>
        </w:rPr>
        <w:t xml:space="preserve"> S</w:t>
      </w:r>
      <w:r>
        <w:rPr>
          <w:rFonts w:ascii="Arial" w:cs="Arial" w:eastAsia="Arial" w:hAnsi="Arial"/>
          <w:sz w:val="11"/>
          <w:szCs w:val="11"/>
          <w:color w:val="auto"/>
        </w:rPr>
        <w:t>ACHS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USA,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59690</wp:posOffset>
            </wp:positionV>
            <wp:extent cx="25203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N.A.,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346710</wp:posOffset>
            </wp:positionV>
            <wp:extent cx="1765935" cy="677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65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5860"/>
        <w:spacing w:after="0" w:line="182" w:lineRule="auto"/>
        <w:rPr>
          <w:sz w:val="20"/>
          <w:szCs w:val="20"/>
          <w:color w:val="auto"/>
        </w:rPr>
      </w:pPr>
      <w:r>
        <w:rPr>
          <w:rFonts w:ascii="Arial" w:cs="Arial" w:eastAsia="Arial" w:hAnsi="Arial"/>
          <w:sz w:val="32"/>
          <w:szCs w:val="32"/>
          <w:color w:val="auto"/>
          <w:vertAlign w:val="subscript"/>
        </w:rPr>
        <w:t>Title:</w:t>
      </w:r>
      <w:r>
        <w:rPr>
          <w:rFonts w:ascii="Arial" w:cs="Arial" w:eastAsia="Arial" w:hAnsi="Arial"/>
          <w:sz w:val="13"/>
          <w:szCs w:val="13"/>
          <w:color w:val="auto"/>
        </w:rPr>
        <w:t xml:space="preserv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-65405</wp:posOffset>
            </wp:positionV>
            <wp:extent cx="23914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APITAL</w:t>
      </w:r>
      <w:r>
        <w:rPr>
          <w:rFonts w:ascii="Arial" w:cs="Arial" w:eastAsia="Arial" w:hAnsi="Arial"/>
          <w:sz w:val="14"/>
          <w:szCs w:val="14"/>
          <w:color w:val="auto"/>
        </w:rPr>
        <w:t xml:space="preserve"> O</w:t>
      </w:r>
      <w:r>
        <w:rPr>
          <w:rFonts w:ascii="Arial" w:cs="Arial" w:eastAsia="Arial" w:hAnsi="Arial"/>
          <w:sz w:val="11"/>
          <w:szCs w:val="11"/>
          <w:color w:val="auto"/>
        </w:rPr>
        <w:t>NE</w:t>
      </w:r>
      <w:r>
        <w:rPr>
          <w:rFonts w:ascii="Arial" w:cs="Arial" w:eastAsia="Arial" w:hAnsi="Arial"/>
          <w:sz w:val="14"/>
          <w:szCs w:val="14"/>
          <w:color w:val="auto"/>
        </w:rPr>
        <w:t>, N.A.,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59690</wp:posOffset>
            </wp:positionV>
            <wp:extent cx="25285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 Third Amended and Restated Revolving Credit and Security Agreement]</w:t>
      </w:r>
    </w:p>
    <w:p>
      <w:pPr>
        <w:sectPr>
          <w:pgSz w:w="11900" w:h="16838" w:orient="portrait"/>
          <w:cols w:equalWidth="0" w:num="1">
            <w:col w:w="9019"/>
          </w:cols>
          <w:pgMar w:left="1440" w:top="269" w:right="1440" w:bottom="1440" w:gutter="0" w:footer="0" w:header="0"/>
        </w:sectPr>
      </w:pPr>
    </w:p>
    <w:bookmarkStart w:id="81" w:name="page82"/>
    <w:bookmarkEnd w:id="81"/>
    <w:p>
      <w:pPr>
        <w:ind w:left="5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4"/>
          <w:szCs w:val="14"/>
          <w:i w:val="1"/>
          <w:iCs w:val="1"/>
          <w:color w:val="auto"/>
        </w:rPr>
        <w:t>A</w:t>
      </w:r>
      <w:r>
        <w:rPr>
          <w:rFonts w:ascii="Arial" w:cs="Arial" w:eastAsia="Arial" w:hAnsi="Arial"/>
          <w:sz w:val="11"/>
          <w:szCs w:val="11"/>
          <w:i w:val="1"/>
          <w:iCs w:val="1"/>
          <w:color w:val="auto"/>
        </w:rPr>
        <w:t>DMINISTRATIVE</w:t>
      </w:r>
      <w:r>
        <w:rPr>
          <w:rFonts w:ascii="Arial" w:cs="Arial" w:eastAsia="Arial" w:hAnsi="Arial"/>
          <w:sz w:val="14"/>
          <w:szCs w:val="14"/>
          <w:color w:val="auto"/>
        </w:rPr>
        <w:t xml:space="preserve"> </w:t>
      </w:r>
      <w:r>
        <w:rPr>
          <w:rFonts w:ascii="Arial" w:cs="Arial" w:eastAsia="Arial" w:hAnsi="Arial"/>
          <w:sz w:val="14"/>
          <w:szCs w:val="14"/>
          <w:i w:val="1"/>
          <w:iCs w:val="1"/>
          <w:color w:val="auto"/>
        </w:rPr>
        <w:t>A</w:t>
      </w:r>
      <w:r>
        <w:rPr>
          <w:rFonts w:ascii="Arial" w:cs="Arial" w:eastAsia="Arial" w:hAnsi="Arial"/>
          <w:sz w:val="11"/>
          <w:szCs w:val="11"/>
          <w:i w:val="1"/>
          <w:iCs w:val="1"/>
          <w:color w:val="auto"/>
        </w:rPr>
        <w:t>GENT</w:t>
      </w:r>
      <w:r>
        <w:rPr>
          <w:rFonts w:ascii="Arial" w:cs="Arial" w:eastAsia="Arial" w:hAnsi="Arial"/>
          <w:sz w:val="14"/>
          <w:szCs w:val="14"/>
          <w:color w:val="auto"/>
        </w:rPr>
        <w:t xml:space="preserve">” </w:t>
      </w:r>
      <w:r>
        <w:rPr>
          <w:rFonts w:ascii="Arial" w:cs="Arial" w:eastAsia="Arial" w:hAnsi="Arial"/>
          <w:sz w:val="11"/>
          <w:szCs w:val="11"/>
          <w:color w:val="auto"/>
        </w:rPr>
        <w:t>AND</w:t>
      </w:r>
      <w:r>
        <w:rPr>
          <w:rFonts w:ascii="Arial" w:cs="Arial" w:eastAsia="Arial" w:hAnsi="Arial"/>
          <w:sz w:val="14"/>
          <w:szCs w:val="14"/>
          <w:color w:val="auto"/>
        </w:rPr>
        <w:t xml:space="preserve"> “</w:t>
      </w:r>
      <w:r>
        <w:rPr>
          <w:rFonts w:ascii="Arial" w:cs="Arial" w:eastAsia="Arial" w:hAnsi="Arial"/>
          <w:sz w:val="14"/>
          <w:szCs w:val="14"/>
          <w:i w:val="1"/>
          <w:iCs w:val="1"/>
          <w:color w:val="auto"/>
        </w:rPr>
        <w:t>R</w:t>
      </w:r>
      <w:r>
        <w:rPr>
          <w:rFonts w:ascii="Arial" w:cs="Arial" w:eastAsia="Arial" w:hAnsi="Arial"/>
          <w:sz w:val="11"/>
          <w:szCs w:val="11"/>
          <w:i w:val="1"/>
          <w:iCs w:val="1"/>
          <w:color w:val="auto"/>
        </w:rPr>
        <w:t>EQUIRED</w:t>
      </w:r>
      <w:r>
        <w:rPr>
          <w:rFonts w:ascii="Arial" w:cs="Arial" w:eastAsia="Arial" w:hAnsi="Arial"/>
          <w:sz w:val="14"/>
          <w:szCs w:val="14"/>
          <w:color w:val="auto"/>
        </w:rPr>
        <w:t xml:space="preserve"> </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w:t>
      </w:r>
      <w:r>
        <w:rPr>
          <w:rFonts w:ascii="Arial" w:cs="Arial" w:eastAsia="Arial" w:hAnsi="Arial"/>
          <w:sz w:val="14"/>
          <w:szCs w:val="14"/>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Administrative Agent</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0</wp:posOffset>
            </wp:positionV>
            <wp:extent cx="25285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UN</w:t>
      </w:r>
      <w:r>
        <w:rPr>
          <w:rFonts w:ascii="Arial" w:cs="Arial" w:eastAsia="Arial" w:hAnsi="Arial"/>
          <w:sz w:val="14"/>
          <w:szCs w:val="14"/>
          <w:color w:val="auto"/>
        </w:rPr>
        <w:t>T</w:t>
      </w:r>
      <w:r>
        <w:rPr>
          <w:rFonts w:ascii="Arial" w:cs="Arial" w:eastAsia="Arial" w:hAnsi="Arial"/>
          <w:sz w:val="11"/>
          <w:szCs w:val="11"/>
          <w:color w:val="auto"/>
        </w:rPr>
        <w:t>RUST</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0</wp:posOffset>
            </wp:positionV>
            <wp:extent cx="25285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w:t>
      </w:r>
      <w:r>
        <w:rPr>
          <w:rFonts w:ascii="Arial" w:cs="Arial" w:eastAsia="Arial" w:hAnsi="Arial"/>
          <w:sz w:val="11"/>
          <w:szCs w:val="11"/>
          <w:i w:val="1"/>
          <w:iCs w:val="1"/>
          <w:color w:val="auto"/>
        </w:rPr>
        <w:t>ENDERS</w:t>
      </w:r>
      <w:r>
        <w:rPr>
          <w:rFonts w:ascii="Arial" w:cs="Arial" w:eastAsia="Arial" w:hAnsi="Arial"/>
          <w:sz w:val="14"/>
          <w:szCs w:val="14"/>
          <w:color w:val="auto"/>
        </w:rPr>
        <w:t>”</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OLDMAN</w:t>
      </w:r>
      <w:r>
        <w:rPr>
          <w:rFonts w:ascii="Arial" w:cs="Arial" w:eastAsia="Arial" w:hAnsi="Arial"/>
          <w:sz w:val="14"/>
          <w:szCs w:val="14"/>
          <w:color w:val="auto"/>
        </w:rPr>
        <w:t xml:space="preserve"> S</w:t>
      </w:r>
      <w:r>
        <w:rPr>
          <w:rFonts w:ascii="Arial" w:cs="Arial" w:eastAsia="Arial" w:hAnsi="Arial"/>
          <w:sz w:val="11"/>
          <w:szCs w:val="11"/>
          <w:color w:val="auto"/>
        </w:rPr>
        <w:t>ACHS</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xml:space="preserve"> USA,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59690</wp:posOffset>
            </wp:positionV>
            <wp:extent cx="25203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N.A., as Lender</w:t>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3810</wp:posOffset>
            </wp:positionV>
            <wp:extent cx="2665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59690</wp:posOffset>
            </wp:positionV>
            <wp:extent cx="25285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APITAL</w:t>
      </w:r>
      <w:r>
        <w:rPr>
          <w:rFonts w:ascii="Arial" w:cs="Arial" w:eastAsia="Arial" w:hAnsi="Arial"/>
          <w:sz w:val="14"/>
          <w:szCs w:val="14"/>
          <w:color w:val="auto"/>
        </w:rPr>
        <w:t xml:space="preserve"> O</w:t>
      </w:r>
      <w:r>
        <w:rPr>
          <w:rFonts w:ascii="Arial" w:cs="Arial" w:eastAsia="Arial" w:hAnsi="Arial"/>
          <w:sz w:val="11"/>
          <w:szCs w:val="11"/>
          <w:color w:val="auto"/>
        </w:rPr>
        <w:t>NE</w:t>
      </w:r>
      <w:r>
        <w:rPr>
          <w:rFonts w:ascii="Arial" w:cs="Arial" w:eastAsia="Arial" w:hAnsi="Arial"/>
          <w:sz w:val="14"/>
          <w:szCs w:val="14"/>
          <w:color w:val="auto"/>
        </w:rPr>
        <w:t>, N.A.,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346710</wp:posOffset>
            </wp:positionV>
            <wp:extent cx="1851660" cy="403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516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3810</wp:posOffset>
            </wp:positionV>
            <wp:extent cx="24688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Name: Matthew Tallo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0</wp:posOffset>
            </wp:positionV>
            <wp:extent cx="24688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0</wp:posOffset>
            </wp:positionV>
            <wp:extent cx="25203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 Third Amended and Restated Revolving Credit and Security Agreement]</w:t>
      </w:r>
    </w:p>
    <w:p>
      <w:pPr>
        <w:sectPr>
          <w:pgSz w:w="11900" w:h="16838" w:orient="portrait"/>
          <w:cols w:equalWidth="0" w:num="1">
            <w:col w:w="9019"/>
          </w:cols>
          <w:pgMar w:left="1440" w:top="269" w:right="1440" w:bottom="1440" w:gutter="0" w:footer="0" w:header="0"/>
        </w:sectPr>
      </w:pPr>
    </w:p>
    <w:bookmarkStart w:id="82" w:name="page83"/>
    <w:bookmarkEnd w:id="82"/>
    <w:p>
      <w:pPr>
        <w:ind w:left="5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1"/>
          <w:szCs w:val="11"/>
          <w:color w:val="auto"/>
        </w:rPr>
        <w:t>ITY</w:t>
      </w:r>
      <w:r>
        <w:rPr>
          <w:rFonts w:ascii="Arial" w:cs="Arial" w:eastAsia="Arial" w:hAnsi="Arial"/>
          <w:sz w:val="14"/>
          <w:szCs w:val="14"/>
          <w:color w:val="auto"/>
        </w:rPr>
        <w:t xml:space="preserve"> 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ANK</w:t>
      </w:r>
      <w:r>
        <w:rPr>
          <w:rFonts w:ascii="Arial" w:cs="Arial" w:eastAsia="Arial" w:hAnsi="Arial"/>
          <w:sz w:val="14"/>
          <w:szCs w:val="14"/>
          <w:color w:val="auto"/>
        </w:rPr>
        <w:t>,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72390</wp:posOffset>
            </wp:positionV>
            <wp:extent cx="1654175" cy="797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5417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3810</wp:posOffset>
            </wp:positionV>
            <wp:extent cx="26746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4"/>
          <w:szCs w:val="14"/>
          <w:color w:val="auto"/>
        </w:rPr>
        <w:t>Name: Jeffrey Feinberg</w:t>
      </w:r>
    </w:p>
    <w:p>
      <w:pPr>
        <w:ind w:left="5820"/>
        <w:spacing w:after="0"/>
        <w:rPr>
          <w:sz w:val="20"/>
          <w:szCs w:val="20"/>
          <w:color w:val="auto"/>
        </w:rPr>
      </w:pPr>
      <w:r>
        <w:rPr>
          <w:rFonts w:ascii="Arial" w:cs="Arial" w:eastAsia="Arial" w:hAnsi="Arial"/>
          <w:sz w:val="14"/>
          <w:szCs w:val="14"/>
          <w:color w:val="auto"/>
        </w:rPr>
        <w:t>Title: Senior Vice President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Amendment to Third Amended and Restated Revolving Credit and Security Agreement]</w:t>
      </w:r>
    </w:p>
    <w:p>
      <w:pPr>
        <w:sectPr>
          <w:pgSz w:w="11900" w:h="16838" w:orient="portrait"/>
          <w:cols w:equalWidth="0" w:num="1">
            <w:col w:w="9019"/>
          </w:cols>
          <w:pgMar w:left="1440" w:top="269"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1"/>
          <w:szCs w:val="11"/>
          <w:b w:val="1"/>
          <w:bCs w:val="1"/>
          <w:color w:val="auto"/>
        </w:rPr>
        <w:t>NNEX</w:t>
      </w:r>
      <w:r>
        <w:rPr>
          <w:rFonts w:ascii="Arial" w:cs="Arial" w:eastAsia="Arial" w:hAnsi="Arial"/>
          <w:sz w:val="14"/>
          <w:szCs w:val="14"/>
          <w:b w:val="1"/>
          <w:bCs w:val="1"/>
          <w:color w:val="auto"/>
        </w:rPr>
        <w:t xml:space="preserve"> A</w:t>
      </w:r>
    </w:p>
    <w:p>
      <w:pPr>
        <w:jc w:val="center"/>
        <w:spacing w:after="0" w:line="226" w:lineRule="auto"/>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O</w:t>
      </w:r>
    </w:p>
    <w:p>
      <w:pPr>
        <w:jc w:val="center"/>
        <w:spacing w:after="0" w:line="221" w:lineRule="auto"/>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IRST</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MENDMENT TO</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HIRD</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MENDED AND</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EVOLVING</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REDIT AND</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ECURITY</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GREEMENT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4780" w:type="dxa"/>
            <w:vAlign w:val="bottom"/>
            <w:gridSpan w:val="2"/>
          </w:tcPr>
          <w:p>
            <w:pPr>
              <w:jc w:val="right"/>
              <w:ind w:right="186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CHEDULE</w:t>
            </w:r>
            <w:r>
              <w:rPr>
                <w:rFonts w:ascii="Arial" w:cs="Arial" w:eastAsia="Arial" w:hAnsi="Arial"/>
                <w:sz w:val="14"/>
                <w:szCs w:val="14"/>
                <w:b w:val="1"/>
                <w:bCs w:val="1"/>
                <w:color w:val="auto"/>
              </w:rPr>
              <w:t xml:space="preserve"> 1</w:t>
            </w: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7"/>
        </w:trPr>
        <w:tc>
          <w:tcPr>
            <w:tcW w:w="3100" w:type="dxa"/>
            <w:vAlign w:val="bottom"/>
          </w:tcPr>
          <w:p>
            <w:pPr>
              <w:spacing w:after="0"/>
              <w:rPr>
                <w:sz w:val="22"/>
                <w:szCs w:val="22"/>
                <w:color w:val="auto"/>
              </w:rPr>
            </w:pPr>
          </w:p>
        </w:tc>
        <w:tc>
          <w:tcPr>
            <w:tcW w:w="47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1"/>
                <w:szCs w:val="11"/>
                <w:b w:val="1"/>
                <w:bCs w:val="1"/>
                <w:color w:val="auto"/>
              </w:rPr>
              <w:t>OMMITMENTS AND</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ERCENTAGES</w:t>
            </w:r>
          </w:p>
        </w:tc>
        <w:tc>
          <w:tcPr>
            <w:tcW w:w="9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3100" w:type="dxa"/>
            <w:vAlign w:val="bottom"/>
          </w:tcPr>
          <w:p>
            <w:pPr>
              <w:ind w:left="940"/>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ENDER</w:t>
            </w:r>
          </w:p>
        </w:tc>
        <w:tc>
          <w:tcPr>
            <w:tcW w:w="4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OMMITMENT</w:t>
            </w:r>
          </w:p>
        </w:tc>
        <w:tc>
          <w:tcPr>
            <w:tcW w:w="1420" w:type="dxa"/>
            <w:vAlign w:val="bottom"/>
          </w:tcPr>
          <w:p>
            <w:pPr>
              <w:spacing w:after="0"/>
              <w:rPr>
                <w:sz w:val="23"/>
                <w:szCs w:val="23"/>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ERCENTAGE</w:t>
            </w:r>
          </w:p>
        </w:tc>
      </w:tr>
      <w:tr>
        <w:trPr>
          <w:trHeight w:val="93"/>
        </w:trPr>
        <w:tc>
          <w:tcPr>
            <w:tcW w:w="31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8"/>
        </w:trPr>
        <w:tc>
          <w:tcPr>
            <w:tcW w:w="3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SunTrust Bank</w:t>
            </w:r>
          </w:p>
        </w:tc>
        <w:tc>
          <w:tcPr>
            <w:tcW w:w="4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175,000,000.00</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60.3448276%</w:t>
            </w:r>
          </w:p>
        </w:tc>
        <w:tc>
          <w:tcPr>
            <w:tcW w:w="80" w:type="dxa"/>
            <w:vAlign w:val="bottom"/>
            <w:shd w:val="clear" w:color="auto" w:fill="CCEEFF"/>
          </w:tcPr>
          <w:p>
            <w:pPr>
              <w:spacing w:after="0"/>
              <w:rPr>
                <w:sz w:val="12"/>
                <w:szCs w:val="12"/>
                <w:color w:val="auto"/>
              </w:rPr>
            </w:pPr>
          </w:p>
        </w:tc>
      </w:tr>
      <w:tr>
        <w:trPr>
          <w:trHeight w:val="271"/>
        </w:trPr>
        <w:tc>
          <w:tcPr>
            <w:tcW w:w="3100" w:type="dxa"/>
            <w:vAlign w:val="bottom"/>
          </w:tcPr>
          <w:p>
            <w:pPr>
              <w:ind w:left="80"/>
              <w:spacing w:after="0"/>
              <w:rPr>
                <w:sz w:val="20"/>
                <w:szCs w:val="20"/>
                <w:color w:val="auto"/>
              </w:rPr>
            </w:pPr>
            <w:r>
              <w:rPr>
                <w:rFonts w:ascii="Arial" w:cs="Arial" w:eastAsia="Arial" w:hAnsi="Arial"/>
                <w:sz w:val="14"/>
                <w:szCs w:val="14"/>
                <w:color w:val="auto"/>
              </w:rPr>
              <w:t>Goldman Sachs Bank USA</w:t>
            </w:r>
          </w:p>
        </w:tc>
        <w:tc>
          <w:tcPr>
            <w:tcW w:w="4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w w:val="98"/>
              </w:rPr>
              <w:t>15,000,000.00</w:t>
            </w:r>
          </w:p>
        </w:tc>
        <w:tc>
          <w:tcPr>
            <w:tcW w:w="2380" w:type="dxa"/>
            <w:vAlign w:val="bottom"/>
            <w:gridSpan w:val="2"/>
          </w:tcPr>
          <w:p>
            <w:pPr>
              <w:jc w:val="right"/>
              <w:spacing w:after="0"/>
              <w:rPr>
                <w:sz w:val="20"/>
                <w:szCs w:val="20"/>
                <w:color w:val="auto"/>
              </w:rPr>
            </w:pPr>
            <w:r>
              <w:rPr>
                <w:rFonts w:ascii="Arial" w:cs="Arial" w:eastAsia="Arial" w:hAnsi="Arial"/>
                <w:sz w:val="14"/>
                <w:szCs w:val="14"/>
                <w:color w:val="auto"/>
              </w:rPr>
              <w:t>5.1724138%</w:t>
            </w:r>
          </w:p>
        </w:tc>
        <w:tc>
          <w:tcPr>
            <w:tcW w:w="80" w:type="dxa"/>
            <w:vAlign w:val="bottom"/>
          </w:tcPr>
          <w:p>
            <w:pPr>
              <w:spacing w:after="0"/>
              <w:rPr>
                <w:sz w:val="23"/>
                <w:szCs w:val="23"/>
                <w:color w:val="auto"/>
              </w:rPr>
            </w:pPr>
          </w:p>
        </w:tc>
      </w:tr>
      <w:tr>
        <w:trPr>
          <w:trHeight w:val="93"/>
        </w:trPr>
        <w:tc>
          <w:tcPr>
            <w:tcW w:w="31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8"/>
        </w:trPr>
        <w:tc>
          <w:tcPr>
            <w:tcW w:w="3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Morgan Stanley Bank, N.A.</w:t>
            </w:r>
          </w:p>
        </w:tc>
        <w:tc>
          <w:tcPr>
            <w:tcW w:w="4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10,000,000.00</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3.4482758%</w:t>
            </w:r>
          </w:p>
        </w:tc>
        <w:tc>
          <w:tcPr>
            <w:tcW w:w="80" w:type="dxa"/>
            <w:vAlign w:val="bottom"/>
            <w:shd w:val="clear" w:color="auto" w:fill="CCEEFF"/>
          </w:tcPr>
          <w:p>
            <w:pPr>
              <w:spacing w:after="0"/>
              <w:rPr>
                <w:sz w:val="12"/>
                <w:szCs w:val="12"/>
                <w:color w:val="auto"/>
              </w:rPr>
            </w:pPr>
          </w:p>
        </w:tc>
      </w:tr>
      <w:tr>
        <w:trPr>
          <w:trHeight w:val="272"/>
        </w:trPr>
        <w:tc>
          <w:tcPr>
            <w:tcW w:w="3100" w:type="dxa"/>
            <w:vAlign w:val="bottom"/>
          </w:tcPr>
          <w:p>
            <w:pPr>
              <w:ind w:left="80"/>
              <w:spacing w:after="0"/>
              <w:rPr>
                <w:sz w:val="20"/>
                <w:szCs w:val="20"/>
                <w:color w:val="auto"/>
              </w:rPr>
            </w:pPr>
            <w:r>
              <w:rPr>
                <w:rFonts w:ascii="Arial" w:cs="Arial" w:eastAsia="Arial" w:hAnsi="Arial"/>
                <w:sz w:val="14"/>
                <w:szCs w:val="14"/>
                <w:color w:val="auto"/>
              </w:rPr>
              <w:t>Capital One, N.A.</w:t>
            </w:r>
          </w:p>
        </w:tc>
        <w:tc>
          <w:tcPr>
            <w:tcW w:w="4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w w:val="98"/>
              </w:rPr>
              <w:t>75,000,000.00</w:t>
            </w:r>
          </w:p>
        </w:tc>
        <w:tc>
          <w:tcPr>
            <w:tcW w:w="2380" w:type="dxa"/>
            <w:vAlign w:val="bottom"/>
            <w:gridSpan w:val="2"/>
          </w:tcPr>
          <w:p>
            <w:pPr>
              <w:jc w:val="right"/>
              <w:spacing w:after="0"/>
              <w:rPr>
                <w:sz w:val="20"/>
                <w:szCs w:val="20"/>
                <w:color w:val="auto"/>
              </w:rPr>
            </w:pPr>
            <w:r>
              <w:rPr>
                <w:rFonts w:ascii="Arial" w:cs="Arial" w:eastAsia="Arial" w:hAnsi="Arial"/>
                <w:sz w:val="14"/>
                <w:szCs w:val="14"/>
                <w:color w:val="auto"/>
              </w:rPr>
              <w:t>25.8620689%</w:t>
            </w:r>
          </w:p>
        </w:tc>
        <w:tc>
          <w:tcPr>
            <w:tcW w:w="80" w:type="dxa"/>
            <w:vAlign w:val="bottom"/>
          </w:tcPr>
          <w:p>
            <w:pPr>
              <w:spacing w:after="0"/>
              <w:rPr>
                <w:sz w:val="23"/>
                <w:szCs w:val="23"/>
                <w:color w:val="auto"/>
              </w:rPr>
            </w:pPr>
          </w:p>
        </w:tc>
      </w:tr>
      <w:tr>
        <w:trPr>
          <w:trHeight w:val="93"/>
        </w:trPr>
        <w:tc>
          <w:tcPr>
            <w:tcW w:w="31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8"/>
        </w:trPr>
        <w:tc>
          <w:tcPr>
            <w:tcW w:w="3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City National Bank</w:t>
            </w:r>
          </w:p>
        </w:tc>
        <w:tc>
          <w:tcPr>
            <w:tcW w:w="4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15,000,000.00</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5.1724138%</w:t>
            </w:r>
          </w:p>
        </w:tc>
        <w:tc>
          <w:tcPr>
            <w:tcW w:w="80" w:type="dxa"/>
            <w:vAlign w:val="bottom"/>
            <w:shd w:val="clear" w:color="auto" w:fill="CCEEFF"/>
          </w:tcPr>
          <w:p>
            <w:pPr>
              <w:spacing w:after="0"/>
              <w:rPr>
                <w:sz w:val="12"/>
                <w:szCs w:val="12"/>
                <w:color w:val="auto"/>
              </w:rPr>
            </w:pPr>
          </w:p>
        </w:tc>
      </w:tr>
      <w:tr>
        <w:trPr>
          <w:trHeight w:val="257"/>
        </w:trPr>
        <w:tc>
          <w:tcPr>
            <w:tcW w:w="3100" w:type="dxa"/>
            <w:vAlign w:val="bottom"/>
          </w:tcPr>
          <w:p>
            <w:pPr>
              <w:ind w:left="540"/>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ACILITY</w:t>
            </w:r>
            <w:r>
              <w:rPr>
                <w:rFonts w:ascii="Arial" w:cs="Arial" w:eastAsia="Arial" w:hAnsi="Arial"/>
                <w:sz w:val="14"/>
                <w:szCs w:val="14"/>
                <w:color w:val="auto"/>
              </w:rPr>
              <w:t xml:space="preserve"> A</w:t>
            </w:r>
            <w:r>
              <w:rPr>
                <w:rFonts w:ascii="Arial" w:cs="Arial" w:eastAsia="Arial" w:hAnsi="Arial"/>
                <w:sz w:val="11"/>
                <w:szCs w:val="11"/>
                <w:color w:val="auto"/>
              </w:rPr>
              <w:t>MOUNT</w:t>
            </w:r>
          </w:p>
        </w:tc>
        <w:tc>
          <w:tcPr>
            <w:tcW w:w="478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w w:val="90"/>
              </w:rPr>
              <w:t>290,000,000.00</w:t>
            </w:r>
          </w:p>
        </w:tc>
        <w:tc>
          <w:tcPr>
            <w:tcW w:w="2380" w:type="dxa"/>
            <w:vAlign w:val="bottom"/>
            <w:gridSpan w:val="2"/>
          </w:tcPr>
          <w:p>
            <w:pPr>
              <w:jc w:val="right"/>
              <w:spacing w:after="0"/>
              <w:rPr>
                <w:sz w:val="20"/>
                <w:szCs w:val="20"/>
                <w:color w:val="auto"/>
              </w:rPr>
            </w:pPr>
            <w:r>
              <w:rPr>
                <w:rFonts w:ascii="Arial" w:cs="Arial" w:eastAsia="Arial" w:hAnsi="Arial"/>
                <w:sz w:val="14"/>
                <w:szCs w:val="14"/>
                <w:color w:val="auto"/>
              </w:rPr>
              <w:t>100.0000000%</w:t>
            </w:r>
          </w:p>
        </w:tc>
        <w:tc>
          <w:tcPr>
            <w:tcW w:w="80" w:type="dxa"/>
            <w:vAlign w:val="bottom"/>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26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b w:val="1"/>
          <w:bCs w:val="1"/>
          <w:color w:val="auto"/>
        </w:rPr>
        <w:t>EXHIBIT 14.1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00"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85"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7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Covered Personnel must read and retain this Code.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13" w:lineRule="exact"/>
        <w:rPr>
          <w:sz w:val="20"/>
          <w:szCs w:val="20"/>
          <w:color w:val="auto"/>
        </w:rPr>
      </w:pPr>
    </w:p>
    <w:p>
      <w:pPr>
        <w:ind w:left="880" w:hanging="319"/>
        <w:spacing w:after="0"/>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09" w:lineRule="exact"/>
        <w:rPr>
          <w:rFonts w:ascii="Arial" w:cs="Arial" w:eastAsia="Arial" w:hAnsi="Arial"/>
          <w:sz w:val="14"/>
          <w:szCs w:val="14"/>
          <w:color w:val="auto"/>
        </w:rPr>
      </w:pPr>
    </w:p>
    <w:p>
      <w:pPr>
        <w:ind w:left="880" w:right="100" w:hanging="319"/>
        <w:spacing w:after="0" w:line="231" w:lineRule="auto"/>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9" w:lineRule="exact"/>
        <w:rPr>
          <w:rFonts w:ascii="Arial" w:cs="Arial" w:eastAsia="Arial" w:hAnsi="Arial"/>
          <w:sz w:val="14"/>
          <w:szCs w:val="14"/>
          <w:color w:val="auto"/>
        </w:rPr>
      </w:pPr>
    </w:p>
    <w:p>
      <w:pPr>
        <w:ind w:left="880" w:right="440" w:hanging="319"/>
        <w:spacing w:after="0" w:line="253" w:lineRule="auto"/>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79" w:lineRule="exact"/>
        <w:rPr>
          <w:rFonts w:ascii="Arial" w:cs="Arial" w:eastAsia="Arial" w:hAnsi="Arial"/>
          <w:sz w:val="14"/>
          <w:szCs w:val="14"/>
          <w:color w:val="auto"/>
        </w:rPr>
      </w:pPr>
    </w:p>
    <w:p>
      <w:pPr>
        <w:ind w:left="880" w:right="80" w:hanging="319"/>
        <w:spacing w:after="0" w:line="253" w:lineRule="auto"/>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09" w:lineRule="exact"/>
        <w:rPr>
          <w:rFonts w:ascii="Arial" w:cs="Arial" w:eastAsia="Arial" w:hAnsi="Arial"/>
          <w:sz w:val="14"/>
          <w:szCs w:val="14"/>
          <w:color w:val="auto"/>
        </w:rPr>
      </w:pPr>
    </w:p>
    <w:p>
      <w:pPr>
        <w:ind w:left="880" w:right="100" w:hanging="319"/>
        <w:spacing w:after="0" w:line="248" w:lineRule="auto"/>
        <w:tabs>
          <w:tab w:leader="none" w:pos="8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85" w:lineRule="exact"/>
        <w:rPr>
          <w:rFonts w:ascii="Arial" w:cs="Arial" w:eastAsia="Arial" w:hAnsi="Arial"/>
          <w:sz w:val="13"/>
          <w:szCs w:val="13"/>
          <w:color w:val="auto"/>
        </w:rPr>
      </w:pPr>
    </w:p>
    <w:p>
      <w:pPr>
        <w:ind w:left="88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91" w:lineRule="exact"/>
        <w:rPr>
          <w:rFonts w:ascii="Arial" w:cs="Arial" w:eastAsia="Arial" w:hAnsi="Arial"/>
          <w:sz w:val="13"/>
          <w:szCs w:val="13"/>
          <w:color w:val="auto"/>
        </w:rPr>
      </w:pPr>
    </w:p>
    <w:p>
      <w:pPr>
        <w:ind w:left="880" w:hanging="319"/>
        <w:spacing w:after="0"/>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09" w:lineRule="exact"/>
        <w:rPr>
          <w:rFonts w:ascii="Arial" w:cs="Arial" w:eastAsia="Arial" w:hAnsi="Arial"/>
          <w:sz w:val="14"/>
          <w:szCs w:val="14"/>
          <w:color w:val="auto"/>
        </w:rPr>
      </w:pPr>
    </w:p>
    <w:p>
      <w:pPr>
        <w:ind w:left="880" w:right="80" w:hanging="319"/>
        <w:spacing w:after="0" w:line="253" w:lineRule="auto"/>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79" w:lineRule="exact"/>
        <w:rPr>
          <w:rFonts w:ascii="Arial" w:cs="Arial" w:eastAsia="Arial" w:hAnsi="Arial"/>
          <w:sz w:val="14"/>
          <w:szCs w:val="14"/>
          <w:color w:val="auto"/>
        </w:rPr>
      </w:pPr>
    </w:p>
    <w:p>
      <w:pPr>
        <w:ind w:left="880" w:right="240" w:hanging="319"/>
        <w:spacing w:after="0" w:line="253" w:lineRule="auto"/>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8" w:right="339" w:bottom="1440" w:gutter="0" w:footer="0" w:header="0"/>
        </w:sectPr>
      </w:pPr>
    </w:p>
    <w:bookmarkStart w:id="85" w:name="page86"/>
    <w:bookmarkEnd w:id="85"/>
    <w:p>
      <w:pPr>
        <w:ind w:left="880" w:right="180" w:hanging="319"/>
        <w:spacing w:after="0" w:line="253"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List” means the “Pipeline” report of potential investments combined with the current holdings of the clients. PennantPark Access Persons are restricted from trading any security on the Restricted List.</w:t>
      </w:r>
    </w:p>
    <w:p>
      <w:pPr>
        <w:spacing w:after="0" w:line="79" w:lineRule="exact"/>
        <w:rPr>
          <w:rFonts w:ascii="Arial" w:cs="Arial" w:eastAsia="Arial" w:hAnsi="Arial"/>
          <w:sz w:val="14"/>
          <w:szCs w:val="14"/>
          <w:color w:val="auto"/>
        </w:rPr>
      </w:pPr>
    </w:p>
    <w:p>
      <w:pPr>
        <w:ind w:left="880" w:right="60" w:hanging="319"/>
        <w:spacing w:after="0" w:line="238"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88" w:lineRule="exact"/>
        <w:rPr>
          <w:rFonts w:ascii="Arial" w:cs="Arial" w:eastAsia="Arial" w:hAnsi="Arial"/>
          <w:sz w:val="14"/>
          <w:szCs w:val="14"/>
          <w:color w:val="auto"/>
        </w:rPr>
      </w:pPr>
    </w:p>
    <w:p>
      <w:pPr>
        <w:ind w:left="880" w:hanging="319"/>
        <w:spacing w:after="0"/>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00"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75" w:lineRule="exact"/>
        <w:rPr>
          <w:sz w:val="20"/>
          <w:szCs w:val="20"/>
          <w:color w:val="auto"/>
        </w:rPr>
      </w:pPr>
    </w:p>
    <w:p>
      <w:pPr>
        <w:jc w:val="both"/>
        <w:ind w:right="160" w:firstLine="562"/>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74" w:lineRule="exact"/>
        <w:rPr>
          <w:sz w:val="20"/>
          <w:szCs w:val="20"/>
          <w:color w:val="auto"/>
        </w:rPr>
      </w:pPr>
    </w:p>
    <w:p>
      <w:pPr>
        <w:ind w:left="880" w:hanging="319"/>
        <w:spacing w:after="0"/>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09" w:lineRule="exact"/>
        <w:rPr>
          <w:rFonts w:ascii="Arial" w:cs="Arial" w:eastAsia="Arial" w:hAnsi="Arial"/>
          <w:sz w:val="14"/>
          <w:szCs w:val="14"/>
          <w:color w:val="auto"/>
        </w:rPr>
      </w:pPr>
    </w:p>
    <w:p>
      <w:pPr>
        <w:ind w:left="880" w:right="200" w:hanging="319"/>
        <w:spacing w:after="0" w:line="253" w:lineRule="auto"/>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96" w:lineRule="exact"/>
        <w:rPr>
          <w:sz w:val="20"/>
          <w:szCs w:val="20"/>
          <w:color w:val="auto"/>
        </w:rPr>
      </w:pPr>
    </w:p>
    <w:p>
      <w:pPr>
        <w:ind w:right="840" w:firstLine="562"/>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100"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Exceptions to the Pre-Clearance Requirement Policy,</w:t>
      </w:r>
    </w:p>
    <w:p>
      <w:pPr>
        <w:spacing w:after="0" w:line="96" w:lineRule="exact"/>
        <w:rPr>
          <w:sz w:val="20"/>
          <w:szCs w:val="20"/>
          <w:color w:val="auto"/>
        </w:rPr>
      </w:pPr>
    </w:p>
    <w:p>
      <w:pPr>
        <w:ind w:right="80" w:firstLine="562"/>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69"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VI(C) of this Code below.</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13" w:lineRule="exact"/>
        <w:rPr>
          <w:sz w:val="20"/>
          <w:szCs w:val="20"/>
          <w:color w:val="auto"/>
        </w:rPr>
      </w:pPr>
    </w:p>
    <w:p>
      <w:pPr>
        <w:ind w:left="880" w:hanging="319"/>
        <w:spacing w:after="0" w:line="251" w:lineRule="auto"/>
        <w:tabs>
          <w:tab w:leader="none" w:pos="8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82" w:lineRule="exact"/>
        <w:rPr>
          <w:rFonts w:ascii="Arial" w:cs="Arial" w:eastAsia="Arial" w:hAnsi="Arial"/>
          <w:sz w:val="13"/>
          <w:szCs w:val="13"/>
          <w:color w:val="auto"/>
        </w:rPr>
      </w:pPr>
    </w:p>
    <w:p>
      <w:pPr>
        <w:ind w:left="880" w:right="120" w:hanging="319"/>
        <w:spacing w:after="0" w:line="238" w:lineRule="auto"/>
        <w:tabs>
          <w:tab w:leader="none" w:pos="8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88" w:lineRule="exact"/>
        <w:rPr>
          <w:rFonts w:ascii="Arial" w:cs="Arial" w:eastAsia="Arial" w:hAnsi="Arial"/>
          <w:sz w:val="14"/>
          <w:szCs w:val="14"/>
          <w:color w:val="auto"/>
        </w:rPr>
      </w:pPr>
    </w:p>
    <w:p>
      <w:pPr>
        <w:jc w:val="both"/>
        <w:ind w:left="880" w:right="100" w:hanging="319"/>
        <w:spacing w:after="0" w:line="233" w:lineRule="auto"/>
        <w:tabs>
          <w:tab w:leader="none" w:pos="8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13"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Personal Securities Holdings Reports.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269" w:right="359" w:bottom="1440" w:gutter="0" w:footer="0" w:header="0"/>
        </w:sectPr>
      </w:pPr>
    </w:p>
    <w:bookmarkStart w:id="86" w:name="page87"/>
    <w:bookmarkEnd w:id="86"/>
    <w:p>
      <w:pPr>
        <w:ind w:firstLine="562"/>
        <w:spacing w:after="0" w:line="2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91"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Quarterly Transaction Reports.</w:t>
      </w:r>
    </w:p>
    <w:p>
      <w:pPr>
        <w:spacing w:after="0" w:line="96" w:lineRule="exact"/>
        <w:rPr>
          <w:sz w:val="20"/>
          <w:szCs w:val="20"/>
          <w:color w:val="auto"/>
        </w:rPr>
      </w:pPr>
    </w:p>
    <w:p>
      <w:pPr>
        <w:ind w:right="260" w:firstLine="562"/>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44"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79" w:lineRule="exact"/>
        <w:rPr>
          <w:sz w:val="20"/>
          <w:szCs w:val="20"/>
          <w:color w:val="auto"/>
        </w:rPr>
      </w:pPr>
    </w:p>
    <w:p>
      <w:pPr>
        <w:ind w:left="1340" w:hanging="441"/>
        <w:spacing w:after="0"/>
        <w:tabs>
          <w:tab w:leader="none" w:pos="13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09" w:lineRule="exact"/>
        <w:rPr>
          <w:rFonts w:ascii="Arial" w:cs="Arial" w:eastAsia="Arial" w:hAnsi="Arial"/>
          <w:sz w:val="14"/>
          <w:szCs w:val="14"/>
          <w:color w:val="auto"/>
        </w:rPr>
      </w:pPr>
    </w:p>
    <w:p>
      <w:pPr>
        <w:ind w:left="1340" w:right="320" w:hanging="441"/>
        <w:spacing w:after="0" w:line="253" w:lineRule="auto"/>
        <w:tabs>
          <w:tab w:leader="none" w:pos="13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79" w:lineRule="exact"/>
        <w:rPr>
          <w:rFonts w:ascii="Arial" w:cs="Arial" w:eastAsia="Arial" w:hAnsi="Arial"/>
          <w:sz w:val="14"/>
          <w:szCs w:val="14"/>
          <w:color w:val="auto"/>
        </w:rPr>
      </w:pPr>
    </w:p>
    <w:p>
      <w:pPr>
        <w:ind w:left="1340" w:hanging="441"/>
        <w:spacing w:after="0"/>
        <w:tabs>
          <w:tab w:leader="none" w:pos="13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82"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2"/>
          <w:szCs w:val="12"/>
          <w:color w:val="auto"/>
        </w:rPr>
        <w:t>Access Persons of the Adviser.</w:t>
      </w:r>
    </w:p>
    <w:p>
      <w:pPr>
        <w:spacing w:after="0" w:line="96"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79"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2"/>
          <w:szCs w:val="12"/>
          <w:color w:val="auto"/>
        </w:rPr>
        <w:t>Brokerage Accounts and Statements.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Access Persons, except Independent Directors, shall:</w:t>
      </w:r>
    </w:p>
    <w:p>
      <w:pPr>
        <w:spacing w:after="0" w:line="109" w:lineRule="exact"/>
        <w:rPr>
          <w:sz w:val="20"/>
          <w:szCs w:val="20"/>
          <w:color w:val="auto"/>
        </w:rPr>
      </w:pPr>
    </w:p>
    <w:p>
      <w:pPr>
        <w:ind w:left="1340" w:right="120" w:hanging="441"/>
        <w:spacing w:after="0" w:line="238" w:lineRule="auto"/>
        <w:tabs>
          <w:tab w:leader="none" w:pos="13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88" w:lineRule="exact"/>
        <w:rPr>
          <w:rFonts w:ascii="Arial" w:cs="Arial" w:eastAsia="Arial" w:hAnsi="Arial"/>
          <w:sz w:val="14"/>
          <w:szCs w:val="14"/>
          <w:color w:val="auto"/>
        </w:rPr>
      </w:pPr>
    </w:p>
    <w:p>
      <w:pPr>
        <w:ind w:left="1340" w:hanging="441"/>
        <w:spacing w:after="0"/>
        <w:tabs>
          <w:tab w:leader="none" w:pos="13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96"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79"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(G)</w:t>
      </w:r>
      <w:r>
        <w:rPr>
          <w:sz w:val="20"/>
          <w:szCs w:val="20"/>
          <w:color w:val="auto"/>
        </w:rPr>
        <w:tab/>
      </w:r>
      <w:r>
        <w:rPr>
          <w:rFonts w:ascii="Arial" w:cs="Arial" w:eastAsia="Arial" w:hAnsi="Arial"/>
          <w:sz w:val="13"/>
          <w:szCs w:val="13"/>
          <w:color w:val="auto"/>
        </w:rPr>
        <w:t>Responsibility to Report.</w:t>
      </w:r>
    </w:p>
    <w:p>
      <w:pPr>
        <w:spacing w:after="0" w:line="96"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88"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(H)</w:t>
      </w:r>
      <w:r>
        <w:rPr>
          <w:sz w:val="20"/>
          <w:szCs w:val="20"/>
          <w:color w:val="auto"/>
        </w:rPr>
        <w:tab/>
      </w:r>
      <w:r>
        <w:rPr>
          <w:rFonts w:ascii="Arial" w:cs="Arial" w:eastAsia="Arial" w:hAnsi="Arial"/>
          <w:sz w:val="13"/>
          <w:szCs w:val="13"/>
          <w:color w:val="auto"/>
        </w:rPr>
        <w:t>Where to File Reports.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09" w:lineRule="exact"/>
        <w:rPr>
          <w:sz w:val="20"/>
          <w:szCs w:val="20"/>
          <w:color w:val="auto"/>
        </w:rPr>
      </w:pPr>
    </w:p>
    <w:p>
      <w:pPr>
        <w:ind w:left="880" w:hanging="319"/>
        <w:spacing w:after="0"/>
        <w:tabs>
          <w:tab w:leader="none" w:pos="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96"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13"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Confidentiality of the Corporation’s Transactions.</w:t>
      </w:r>
    </w:p>
    <w:p>
      <w:pPr>
        <w:spacing w:after="0" w:line="9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88"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Outside Business Activities and Directorships.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269" w:right="339" w:bottom="1440" w:gutter="0" w:footer="0" w:header="0"/>
        </w:sectPr>
      </w:pPr>
    </w:p>
    <w:bookmarkStart w:id="87" w:name="page88"/>
    <w:bookmarkEnd w:id="87"/>
    <w:p>
      <w:pPr>
        <w:ind w:right="40" w:firstLine="562"/>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88"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3"/>
          <w:szCs w:val="13"/>
          <w:color w:val="auto"/>
        </w:rPr>
        <w:t>Gratuities.</w:t>
      </w:r>
    </w:p>
    <w:p>
      <w:pPr>
        <w:spacing w:after="0" w:line="96"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82" w:lineRule="exact"/>
        <w:rPr>
          <w:sz w:val="20"/>
          <w:szCs w:val="20"/>
          <w:color w:val="auto"/>
        </w:rPr>
      </w:pPr>
    </w:p>
    <w:p>
      <w:pPr>
        <w:jc w:val="both"/>
        <w:ind w:left="880" w:right="660" w:hanging="319"/>
        <w:spacing w:after="0" w:line="290" w:lineRule="auto"/>
        <w:tabs>
          <w:tab w:leader="none" w:pos="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7" w:lineRule="exact"/>
        <w:rPr>
          <w:rFonts w:ascii="Arial" w:cs="Arial" w:eastAsia="Arial" w:hAnsi="Arial"/>
          <w:sz w:val="13"/>
          <w:szCs w:val="13"/>
          <w:color w:val="auto"/>
        </w:rPr>
      </w:pPr>
    </w:p>
    <w:p>
      <w:pPr>
        <w:ind w:left="880" w:right="40" w:hanging="319"/>
        <w:spacing w:after="0" w:line="228"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90" w:lineRule="exact"/>
        <w:rPr>
          <w:rFonts w:ascii="Arial" w:cs="Arial" w:eastAsia="Arial" w:hAnsi="Arial"/>
          <w:sz w:val="14"/>
          <w:szCs w:val="14"/>
          <w:color w:val="auto"/>
        </w:rPr>
      </w:pPr>
    </w:p>
    <w:p>
      <w:pPr>
        <w:ind w:left="880" w:right="200" w:hanging="319"/>
        <w:spacing w:after="0" w:line="238"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88" w:lineRule="exact"/>
        <w:rPr>
          <w:rFonts w:ascii="Arial" w:cs="Arial" w:eastAsia="Arial" w:hAnsi="Arial"/>
          <w:sz w:val="14"/>
          <w:szCs w:val="14"/>
          <w:color w:val="auto"/>
        </w:rPr>
      </w:pPr>
    </w:p>
    <w:p>
      <w:pPr>
        <w:ind w:left="880" w:right="120" w:hanging="319"/>
        <w:spacing w:after="0" w:line="238"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88" w:lineRule="exact"/>
        <w:rPr>
          <w:rFonts w:ascii="Arial" w:cs="Arial" w:eastAsia="Arial" w:hAnsi="Arial"/>
          <w:sz w:val="14"/>
          <w:szCs w:val="14"/>
          <w:color w:val="auto"/>
        </w:rPr>
      </w:pPr>
    </w:p>
    <w:p>
      <w:pPr>
        <w:ind w:left="1340" w:hanging="441"/>
        <w:spacing w:after="0"/>
        <w:tabs>
          <w:tab w:leader="none" w:pos="13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09" w:lineRule="exact"/>
        <w:rPr>
          <w:rFonts w:ascii="Arial" w:cs="Arial" w:eastAsia="Arial" w:hAnsi="Arial"/>
          <w:sz w:val="14"/>
          <w:szCs w:val="14"/>
          <w:color w:val="auto"/>
        </w:rPr>
      </w:pPr>
    </w:p>
    <w:p>
      <w:pPr>
        <w:ind w:left="1340" w:hanging="441"/>
        <w:spacing w:after="0"/>
        <w:tabs>
          <w:tab w:leader="none" w:pos="13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9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88" w:lineRule="exact"/>
        <w:rPr>
          <w:sz w:val="20"/>
          <w:szCs w:val="20"/>
          <w:color w:val="auto"/>
        </w:rPr>
      </w:pPr>
    </w:p>
    <w:p>
      <w:pPr>
        <w:ind w:left="880" w:right="20" w:hanging="319"/>
        <w:spacing w:after="0" w:line="228"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90" w:lineRule="exact"/>
        <w:rPr>
          <w:rFonts w:ascii="Arial" w:cs="Arial" w:eastAsia="Arial" w:hAnsi="Arial"/>
          <w:sz w:val="14"/>
          <w:szCs w:val="14"/>
          <w:color w:val="auto"/>
        </w:rPr>
      </w:pPr>
    </w:p>
    <w:p>
      <w:pPr>
        <w:ind w:left="880" w:hanging="319"/>
        <w:spacing w:after="0" w:line="229"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13"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Access Persons.</w:t>
      </w:r>
    </w:p>
    <w:p>
      <w:pPr>
        <w:spacing w:after="0" w:line="96" w:lineRule="exact"/>
        <w:rPr>
          <w:sz w:val="20"/>
          <w:szCs w:val="20"/>
          <w:color w:val="auto"/>
        </w:rPr>
      </w:pPr>
    </w:p>
    <w:p>
      <w:pPr>
        <w:ind w:right="280" w:firstLine="562"/>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57"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Board Review.</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269" w:right="339" w:bottom="1440" w:gutter="0" w:footer="0" w:header="0"/>
        </w:sectPr>
      </w:pPr>
    </w:p>
    <w:bookmarkStart w:id="88" w:name="page89"/>
    <w:bookmarkEnd w:id="88"/>
    <w:p>
      <w:pPr>
        <w:ind w:right="120" w:firstLine="562"/>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 Sanctions</w:t>
      </w:r>
    </w:p>
    <w:p>
      <w:pPr>
        <w:spacing w:after="0" w:line="100"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13" w:lineRule="exact"/>
        <w:rPr>
          <w:sz w:val="20"/>
          <w:szCs w:val="20"/>
          <w:color w:val="auto"/>
        </w:rPr>
      </w:pPr>
    </w:p>
    <w:p>
      <w:pPr>
        <w:ind w:left="880" w:hanging="319"/>
        <w:spacing w:after="0"/>
        <w:tabs>
          <w:tab w:leader="none" w:pos="8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09" w:lineRule="exact"/>
        <w:rPr>
          <w:rFonts w:ascii="Arial" w:cs="Arial" w:eastAsia="Arial" w:hAnsi="Arial"/>
          <w:sz w:val="14"/>
          <w:szCs w:val="14"/>
          <w:color w:val="auto"/>
        </w:rPr>
      </w:pPr>
    </w:p>
    <w:p>
      <w:pPr>
        <w:ind w:left="880" w:hanging="319"/>
        <w:spacing w:after="0"/>
        <w:tabs>
          <w:tab w:leader="none" w:pos="8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95" w:lineRule="exact"/>
        <w:rPr>
          <w:rFonts w:ascii="Arial" w:cs="Arial" w:eastAsia="Arial" w:hAnsi="Arial"/>
          <w:sz w:val="14"/>
          <w:szCs w:val="14"/>
          <w:color w:val="auto"/>
        </w:rPr>
      </w:pPr>
    </w:p>
    <w:p>
      <w:pPr>
        <w:ind w:right="180" w:firstLine="906"/>
        <w:spacing w:after="0" w:line="238"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4" w:lineRule="exact"/>
        <w:rPr>
          <w:rFonts w:ascii="Arial" w:cs="Arial" w:eastAsia="Arial" w:hAnsi="Arial"/>
          <w:sz w:val="14"/>
          <w:szCs w:val="14"/>
          <w:color w:val="auto"/>
        </w:rPr>
      </w:pPr>
    </w:p>
    <w:p>
      <w:pPr>
        <w:ind w:right="30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2"/>
          <w:numId w:val="54"/>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95" w:lineRule="exact"/>
        <w:rPr>
          <w:rFonts w:ascii="Arial" w:cs="Arial" w:eastAsia="Arial" w:hAnsi="Arial"/>
          <w:sz w:val="14"/>
          <w:szCs w:val="14"/>
          <w:color w:val="auto"/>
        </w:rPr>
      </w:pPr>
    </w:p>
    <w:p>
      <w:pPr>
        <w:ind w:right="50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2"/>
          <w:numId w:val="54"/>
        </w:numPr>
        <w:rPr>
          <w:rFonts w:ascii="Arial" w:cs="Arial" w:eastAsia="Arial" w:hAnsi="Arial"/>
          <w:sz w:val="12"/>
          <w:szCs w:val="12"/>
          <w:color w:val="auto"/>
        </w:rPr>
      </w:pPr>
      <w:r>
        <w:rPr>
          <w:rFonts w:ascii="Arial" w:cs="Arial" w:eastAsia="Arial" w:hAnsi="Arial"/>
          <w:sz w:val="12"/>
          <w:szCs w:val="12"/>
          <w:color w:val="auto"/>
        </w:rPr>
        <w:t>Issuance either personally or with the assistance of counsel as may be appropriate, of any interpretation of this Code that may appear consistent with the objectives of Rule 17j-</w:t>
      </w:r>
    </w:p>
    <w:p>
      <w:pPr>
        <w:spacing w:after="0" w:line="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1 and this Code;</w:t>
      </w:r>
    </w:p>
    <w:p>
      <w:pPr>
        <w:spacing w:after="0" w:line="83" w:lineRule="exact"/>
        <w:rPr>
          <w:rFonts w:ascii="Arial" w:cs="Arial" w:eastAsia="Arial" w:hAnsi="Arial"/>
          <w:sz w:val="12"/>
          <w:szCs w:val="12"/>
          <w:color w:val="auto"/>
        </w:rPr>
      </w:pPr>
    </w:p>
    <w:p>
      <w:pPr>
        <w:ind w:right="26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65" w:lineRule="exact"/>
        <w:rPr>
          <w:rFonts w:ascii="Arial" w:cs="Arial" w:eastAsia="Arial" w:hAnsi="Arial"/>
          <w:sz w:val="14"/>
          <w:szCs w:val="14"/>
          <w:color w:val="auto"/>
        </w:rPr>
      </w:pPr>
    </w:p>
    <w:p>
      <w:pPr>
        <w:ind w:right="10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79" w:lineRule="exact"/>
        <w:rPr>
          <w:rFonts w:ascii="Arial" w:cs="Arial" w:eastAsia="Arial" w:hAnsi="Arial"/>
          <w:sz w:val="14"/>
          <w:szCs w:val="14"/>
          <w:color w:val="auto"/>
        </w:rPr>
      </w:pPr>
    </w:p>
    <w:p>
      <w:pPr>
        <w:ind w:left="880" w:right="400" w:hanging="319"/>
        <w:spacing w:after="0" w:line="253" w:lineRule="auto"/>
        <w:tabs>
          <w:tab w:leader="none" w:pos="8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65" w:lineRule="exact"/>
        <w:rPr>
          <w:rFonts w:ascii="Arial" w:cs="Arial" w:eastAsia="Arial" w:hAnsi="Arial"/>
          <w:sz w:val="14"/>
          <w:szCs w:val="14"/>
          <w:color w:val="auto"/>
        </w:rPr>
      </w:pPr>
    </w:p>
    <w:p>
      <w:pPr>
        <w:ind w:right="8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2"/>
          <w:numId w:val="54"/>
        </w:numPr>
        <w:rPr>
          <w:rFonts w:ascii="Arial" w:cs="Arial" w:eastAsia="Arial" w:hAnsi="Arial"/>
          <w:sz w:val="13"/>
          <w:szCs w:val="13"/>
          <w:color w:val="auto"/>
        </w:rPr>
      </w:pPr>
      <w:r>
        <w:rPr>
          <w:rFonts w:ascii="Arial" w:cs="Arial" w:eastAsia="Arial" w:hAnsi="Arial"/>
          <w:sz w:val="13"/>
          <w:szCs w:val="13"/>
          <w:color w:val="auto"/>
        </w:rPr>
        <w:t>A record of each violation of such codes of ethics and of any action taken as a result of such violation for at least five (5) years after the end of the fiscal year in which the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violation occurs;</w:t>
      </w:r>
    </w:p>
    <w:p>
      <w:pPr>
        <w:spacing w:after="0" w:line="83" w:lineRule="exact"/>
        <w:rPr>
          <w:rFonts w:ascii="Arial" w:cs="Arial" w:eastAsia="Arial" w:hAnsi="Arial"/>
          <w:sz w:val="13"/>
          <w:szCs w:val="13"/>
          <w:color w:val="auto"/>
        </w:rPr>
      </w:pPr>
    </w:p>
    <w:p>
      <w:pPr>
        <w:ind w:right="10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65" w:lineRule="exact"/>
        <w:rPr>
          <w:rFonts w:ascii="Arial" w:cs="Arial" w:eastAsia="Arial" w:hAnsi="Arial"/>
          <w:sz w:val="14"/>
          <w:szCs w:val="14"/>
          <w:color w:val="auto"/>
        </w:rPr>
      </w:pPr>
    </w:p>
    <w:p>
      <w:pPr>
        <w:ind w:right="8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65" w:lineRule="exact"/>
        <w:rPr>
          <w:rFonts w:ascii="Arial" w:cs="Arial" w:eastAsia="Arial" w:hAnsi="Arial"/>
          <w:sz w:val="14"/>
          <w:szCs w:val="14"/>
          <w:color w:val="auto"/>
        </w:rPr>
      </w:pPr>
    </w:p>
    <w:p>
      <w:pPr>
        <w:ind w:right="8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65" w:lineRule="exact"/>
        <w:rPr>
          <w:rFonts w:ascii="Arial" w:cs="Arial" w:eastAsia="Arial" w:hAnsi="Arial"/>
          <w:sz w:val="14"/>
          <w:szCs w:val="14"/>
          <w:color w:val="auto"/>
        </w:rPr>
      </w:pPr>
    </w:p>
    <w:p>
      <w:pPr>
        <w:ind w:right="18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65" w:lineRule="exact"/>
        <w:rPr>
          <w:rFonts w:ascii="Arial" w:cs="Arial" w:eastAsia="Arial" w:hAnsi="Arial"/>
          <w:sz w:val="14"/>
          <w:szCs w:val="14"/>
          <w:color w:val="auto"/>
        </w:rPr>
      </w:pPr>
    </w:p>
    <w:p>
      <w:pPr>
        <w:ind w:right="420" w:firstLine="906"/>
        <w:spacing w:after="0" w:line="253" w:lineRule="auto"/>
        <w:tabs>
          <w:tab w:leader="none" w:pos="1102" w:val="left"/>
        </w:tabs>
        <w:numPr>
          <w:ilvl w:val="2"/>
          <w:numId w:val="54"/>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96" w:lineRule="exact"/>
        <w:rPr>
          <w:sz w:val="20"/>
          <w:szCs w:val="20"/>
          <w:color w:val="auto"/>
        </w:rPr>
      </w:pPr>
    </w:p>
    <w:p>
      <w:pPr>
        <w:ind w:right="280" w:firstLine="898"/>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269"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21.1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5440" w:type="dxa"/>
            <w:vAlign w:val="bottom"/>
            <w:gridSpan w:val="4"/>
          </w:tcPr>
          <w:p>
            <w:pPr>
              <w:ind w:left="72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354"/>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2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5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PennantPark Floating Rate Funding I, LLC (Delaware)</w:t>
            </w:r>
          </w:p>
        </w:tc>
        <w:tc>
          <w:tcPr>
            <w:tcW w:w="2260" w:type="dxa"/>
            <w:vAlign w:val="bottom"/>
            <w:shd w:val="clear" w:color="auto" w:fill="CCEEFF"/>
          </w:tcPr>
          <w:p>
            <w:pPr>
              <w:spacing w:after="0"/>
              <w:rPr>
                <w:sz w:val="12"/>
                <w:szCs w:val="12"/>
                <w:color w:val="auto"/>
              </w:rPr>
            </w:pPr>
          </w:p>
        </w:tc>
        <w:tc>
          <w:tcPr>
            <w:tcW w:w="1560" w:type="dxa"/>
            <w:vAlign w:val="bottom"/>
            <w:vMerge w:val="continue"/>
            <w:shd w:val="clear" w:color="auto" w:fill="CCEEFF"/>
          </w:tcPr>
          <w:p>
            <w:pPr>
              <w:spacing w:after="0"/>
              <w:rPr>
                <w:sz w:val="12"/>
                <w:szCs w:val="12"/>
                <w:color w:val="auto"/>
              </w:rPr>
            </w:pPr>
          </w:p>
        </w:tc>
        <w:tc>
          <w:tcPr>
            <w:tcW w:w="1620" w:type="dxa"/>
            <w:vAlign w:val="bottom"/>
            <w:gridSpan w:val="2"/>
            <w:shd w:val="clear" w:color="auto" w:fill="CCEEFF"/>
          </w:tcPr>
          <w:p>
            <w:pPr>
              <w:ind w:left="108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PFLT Funding II, LLC (Delaware)</w:t>
            </w:r>
          </w:p>
        </w:tc>
        <w:tc>
          <w:tcPr>
            <w:tcW w:w="5440" w:type="dxa"/>
            <w:vAlign w:val="bottom"/>
            <w:gridSpan w:val="4"/>
          </w:tcPr>
          <w:p>
            <w:pPr>
              <w:ind w:left="4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GMC Television Broadcasting Holdings, Inc. (Delaware)</w:t>
            </w:r>
          </w:p>
        </w:tc>
        <w:tc>
          <w:tcPr>
            <w:tcW w:w="5440" w:type="dxa"/>
            <w:vAlign w:val="bottom"/>
            <w:gridSpan w:val="4"/>
            <w:shd w:val="clear" w:color="auto" w:fill="CCEEFF"/>
          </w:tcPr>
          <w:p>
            <w:pPr>
              <w:ind w:left="490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GMC Television Broadcasting, LLC (Delaware)</w:t>
            </w:r>
          </w:p>
        </w:tc>
        <w:tc>
          <w:tcPr>
            <w:tcW w:w="5440" w:type="dxa"/>
            <w:vAlign w:val="bottom"/>
            <w:gridSpan w:val="4"/>
          </w:tcPr>
          <w:p>
            <w:pPr>
              <w:ind w:left="4900"/>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Solutions Capital G.P., LLC (Delaware)</w:t>
            </w:r>
          </w:p>
        </w:tc>
        <w:tc>
          <w:tcPr>
            <w:tcW w:w="5440" w:type="dxa"/>
            <w:vAlign w:val="bottom"/>
            <w:gridSpan w:val="4"/>
            <w:shd w:val="clear" w:color="auto" w:fill="CCEEFF"/>
          </w:tcPr>
          <w:p>
            <w:pPr>
              <w:ind w:left="4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Solutions Capital I, L.P. (Delaware)</w:t>
            </w:r>
          </w:p>
        </w:tc>
        <w:tc>
          <w:tcPr>
            <w:tcW w:w="5440" w:type="dxa"/>
            <w:vAlign w:val="bottom"/>
            <w:gridSpan w:val="4"/>
          </w:tcPr>
          <w:p>
            <w:pPr>
              <w:ind w:left="4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RadioPharmacy Investors, LLC</w:t>
            </w:r>
          </w:p>
        </w:tc>
        <w:tc>
          <w:tcPr>
            <w:tcW w:w="5440" w:type="dxa"/>
            <w:vAlign w:val="bottom"/>
            <w:gridSpan w:val="4"/>
            <w:shd w:val="clear" w:color="auto" w:fill="CCEEFF"/>
          </w:tcPr>
          <w:p>
            <w:pPr>
              <w:ind w:left="4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2"/>
          <w:szCs w:val="12"/>
          <w:color w:val="auto"/>
        </w:rPr>
      </w:pPr>
      <w:r>
        <w:rPr>
          <w:rFonts w:ascii="Arial" w:cs="Arial" w:eastAsia="Arial" w:hAnsi="Arial"/>
          <w:sz w:val="14"/>
          <w:szCs w:val="14"/>
          <w:color w:val="auto"/>
        </w:rPr>
        <w:t>The entity is directly owned by PFLT Funding II, LLC, which is wholly-owned by us.</w:t>
      </w:r>
    </w:p>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63" w:lineRule="exact"/>
        <w:rPr>
          <w:sz w:val="20"/>
          <w:szCs w:val="20"/>
          <w:color w:val="auto"/>
        </w:rPr>
      </w:pPr>
    </w:p>
    <w:p>
      <w:pPr>
        <w:ind w:left="260" w:hanging="140"/>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76" w:lineRule="exact"/>
        <w:rPr>
          <w:rFonts w:ascii="Arial" w:cs="Arial" w:eastAsia="Arial" w:hAnsi="Arial"/>
          <w:sz w:val="14"/>
          <w:szCs w:val="14"/>
          <w:color w:val="auto"/>
        </w:rPr>
      </w:pPr>
    </w:p>
    <w:p>
      <w:pPr>
        <w:ind w:right="760" w:firstLine="120"/>
        <w:spacing w:after="0" w:line="253" w:lineRule="auto"/>
        <w:tabs>
          <w:tab w:leader="none" w:pos="256"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220" w:firstLine="120"/>
        <w:spacing w:after="0" w:line="253" w:lineRule="auto"/>
        <w:tabs>
          <w:tab w:leader="none" w:pos="256"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right="60" w:firstLine="120"/>
        <w:spacing w:after="0" w:line="253" w:lineRule="auto"/>
        <w:tabs>
          <w:tab w:leader="none" w:pos="25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right="80" w:firstLine="345"/>
        <w:spacing w:after="0" w:line="290" w:lineRule="auto"/>
        <w:tabs>
          <w:tab w:leader="none" w:pos="485" w:val="left"/>
        </w:tabs>
        <w:numPr>
          <w:ilvl w:val="1"/>
          <w:numId w:val="5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Arial" w:cs="Arial" w:eastAsia="Arial" w:hAnsi="Arial"/>
          <w:sz w:val="13"/>
          <w:szCs w:val="13"/>
          <w:color w:val="auto"/>
        </w:rPr>
      </w:pPr>
    </w:p>
    <w:p>
      <w:pPr>
        <w:ind w:right="280" w:firstLine="345"/>
        <w:spacing w:after="0" w:line="290" w:lineRule="auto"/>
        <w:tabs>
          <w:tab w:leader="none" w:pos="493" w:val="left"/>
        </w:tabs>
        <w:numPr>
          <w:ilvl w:val="1"/>
          <w:numId w:val="5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480" w:firstLine="345"/>
        <w:spacing w:after="0" w:line="253" w:lineRule="auto"/>
        <w:tabs>
          <w:tab w:leader="none" w:pos="485" w:val="left"/>
        </w:tabs>
        <w:numPr>
          <w:ilvl w:val="1"/>
          <w:numId w:val="5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120" w:firstLine="345"/>
        <w:spacing w:after="0" w:line="290" w:lineRule="auto"/>
        <w:tabs>
          <w:tab w:leader="none" w:pos="493" w:val="left"/>
        </w:tabs>
        <w:numPr>
          <w:ilvl w:val="1"/>
          <w:numId w:val="5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560" w:firstLine="120"/>
        <w:spacing w:after="0" w:line="253" w:lineRule="auto"/>
        <w:tabs>
          <w:tab w:leader="none" w:pos="25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160" w:firstLine="345"/>
        <w:spacing w:after="0" w:line="253" w:lineRule="auto"/>
        <w:tabs>
          <w:tab w:leader="none" w:pos="485" w:val="left"/>
        </w:tabs>
        <w:numPr>
          <w:ilvl w:val="1"/>
          <w:numId w:val="5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500" w:hanging="155"/>
        <w:spacing w:after="0"/>
        <w:tabs>
          <w:tab w:leader="none" w:pos="50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12,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63" w:lineRule="exact"/>
        <w:rPr>
          <w:sz w:val="20"/>
          <w:szCs w:val="20"/>
          <w:color w:val="auto"/>
        </w:rPr>
      </w:pPr>
    </w:p>
    <w:p>
      <w:pPr>
        <w:ind w:left="260" w:hanging="140"/>
        <w:spacing w:after="0"/>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76" w:lineRule="exact"/>
        <w:rPr>
          <w:rFonts w:ascii="Arial" w:cs="Arial" w:eastAsia="Arial" w:hAnsi="Arial"/>
          <w:sz w:val="14"/>
          <w:szCs w:val="14"/>
          <w:color w:val="auto"/>
        </w:rPr>
      </w:pPr>
    </w:p>
    <w:p>
      <w:pPr>
        <w:ind w:right="760" w:firstLine="120"/>
        <w:spacing w:after="0" w:line="253" w:lineRule="auto"/>
        <w:tabs>
          <w:tab w:leader="none" w:pos="2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220" w:firstLine="120"/>
        <w:spacing w:after="0" w:line="253" w:lineRule="auto"/>
        <w:tabs>
          <w:tab w:leader="none" w:pos="2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right="60" w:firstLine="120"/>
        <w:spacing w:after="0" w:line="253" w:lineRule="auto"/>
        <w:tabs>
          <w:tab w:leader="none" w:pos="2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4"/>
          <w:szCs w:val="14"/>
          <w:color w:val="auto"/>
        </w:rPr>
      </w:pPr>
    </w:p>
    <w:p>
      <w:pPr>
        <w:ind w:right="80" w:firstLine="345"/>
        <w:spacing w:after="0" w:line="290" w:lineRule="auto"/>
        <w:tabs>
          <w:tab w:leader="none" w:pos="485" w:val="left"/>
        </w:tabs>
        <w:numPr>
          <w:ilvl w:val="1"/>
          <w:numId w:val="5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Arial" w:cs="Arial" w:eastAsia="Arial" w:hAnsi="Arial"/>
          <w:sz w:val="13"/>
          <w:szCs w:val="13"/>
          <w:color w:val="auto"/>
        </w:rPr>
      </w:pPr>
    </w:p>
    <w:p>
      <w:pPr>
        <w:ind w:right="280" w:firstLine="345"/>
        <w:spacing w:after="0" w:line="290" w:lineRule="auto"/>
        <w:tabs>
          <w:tab w:leader="none" w:pos="493" w:val="left"/>
        </w:tabs>
        <w:numPr>
          <w:ilvl w:val="1"/>
          <w:numId w:val="5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480" w:firstLine="345"/>
        <w:spacing w:after="0" w:line="253" w:lineRule="auto"/>
        <w:tabs>
          <w:tab w:leader="none" w:pos="485" w:val="left"/>
        </w:tabs>
        <w:numPr>
          <w:ilvl w:val="1"/>
          <w:numId w:val="5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120" w:firstLine="345"/>
        <w:spacing w:after="0" w:line="290" w:lineRule="auto"/>
        <w:tabs>
          <w:tab w:leader="none" w:pos="493" w:val="left"/>
        </w:tabs>
        <w:numPr>
          <w:ilvl w:val="1"/>
          <w:numId w:val="5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560" w:firstLine="120"/>
        <w:spacing w:after="0" w:line="253" w:lineRule="auto"/>
        <w:tabs>
          <w:tab w:leader="none" w:pos="2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160" w:firstLine="345"/>
        <w:spacing w:after="0" w:line="253" w:lineRule="auto"/>
        <w:tabs>
          <w:tab w:leader="none" w:pos="485" w:val="left"/>
        </w:tabs>
        <w:numPr>
          <w:ilvl w:val="1"/>
          <w:numId w:val="5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500" w:hanging="155"/>
        <w:spacing w:after="0"/>
        <w:tabs>
          <w:tab w:leader="none" w:pos="500" w:val="left"/>
        </w:tabs>
        <w:numPr>
          <w:ilvl w:val="1"/>
          <w:numId w:val="5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12,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2015 as filed with the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Securities and Exchange Commission on the date hereof (the “Report”), I, Arthur H. Penn, as Chief Executive Officer of the Registrant hereby certify, to the best of my knowledge that:</w:t>
      </w:r>
    </w:p>
    <w:p>
      <w:pPr>
        <w:spacing w:after="0" w:line="95" w:lineRule="exact"/>
        <w:rPr>
          <w:sz w:val="20"/>
          <w:szCs w:val="20"/>
          <w:color w:val="auto"/>
        </w:rPr>
      </w:pPr>
    </w:p>
    <w:p>
      <w:pPr>
        <w:ind w:left="880" w:hanging="204"/>
        <w:spacing w:after="0"/>
        <w:tabs>
          <w:tab w:leader="none" w:pos="8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November 12, 2015</w:t>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2015 as filed with the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Securities and Exchange Commission on the date hereof (the “Report”), I, Aviv Efrat, as Chief Financial Officer of the Registrant hereby certify, to the best of my knowledge that:</w:t>
      </w:r>
    </w:p>
    <w:p>
      <w:pPr>
        <w:spacing w:after="0" w:line="84" w:lineRule="exact"/>
        <w:rPr>
          <w:sz w:val="20"/>
          <w:szCs w:val="20"/>
          <w:color w:val="auto"/>
        </w:rPr>
      </w:pPr>
    </w:p>
    <w:p>
      <w:pPr>
        <w:ind w:left="880" w:hanging="204"/>
        <w:spacing w:after="0"/>
        <w:tabs>
          <w:tab w:leader="none" w:pos="8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November 12,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lowerLetter"/>
      <w:start w:val="2"/>
    </w:lvl>
    <w:lvl w:ilvl="1">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decimal"/>
      <w:start w:val="4"/>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lvl w:ilvl="1">
      <w:lvlJc w:val="left"/>
      <w:lvlText w:val="="/>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lvl w:ilvl="1">
      <w:lvlJc w:val="left"/>
      <w:lvlText w:val="%2)"/>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2"/>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2"/>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upperLetter"/>
      <w:start w:val="1"/>
    </w:lvl>
  </w:abstractNum>
  <w:abstractNum w:abstractNumId="43">
    <w:nsid w:val="79A1DEAA"/>
    <w:multiLevelType w:val="hybridMultilevel"/>
    <w:lvl w:ilvl="0">
      <w:lvlJc w:val="left"/>
      <w:lvlText w:val="(%1)"/>
      <w:numFmt w:val="upperLetter"/>
      <w:start w:val="10"/>
    </w:lvl>
  </w:abstractNum>
  <w:abstractNum w:abstractNumId="44">
    <w:nsid w:val="75C6C33A"/>
    <w:multiLevelType w:val="hybridMultilevel"/>
    <w:lvl w:ilvl="0">
      <w:lvlJc w:val="left"/>
      <w:lvlText w:val="(%1)"/>
      <w:numFmt w:val="lowerRoman"/>
      <w:start w:val="1"/>
    </w:lvl>
  </w:abstractNum>
  <w:abstractNum w:abstractNumId="45">
    <w:nsid w:val="12E685FB"/>
    <w:multiLevelType w:val="hybridMultilevel"/>
    <w:lvl w:ilvl="0">
      <w:lvlJc w:val="left"/>
      <w:lvlText w:val="(%1)"/>
      <w:numFmt w:val="upperLetter"/>
      <w:start w:val="1"/>
    </w:lvl>
  </w:abstractNum>
  <w:abstractNum w:abstractNumId="46">
    <w:nsid w:val="70C6A529"/>
    <w:multiLevelType w:val="hybridMultilevel"/>
    <w:lvl w:ilvl="0">
      <w:lvlJc w:val="left"/>
      <w:lvlText w:val="%1"/>
      <w:numFmt w:val="upperLetter"/>
      <w:start w:val="1"/>
    </w:lvl>
    <w:lvl w:ilvl="1">
      <w:lvlJc w:val="left"/>
      <w:lvlText w:val="(%2)"/>
      <w:numFmt w:val="decimal"/>
      <w:start w:val="1"/>
    </w:lvl>
  </w:abstractNum>
  <w:abstractNum w:abstractNumId="47">
    <w:nsid w:val="520EEDD1"/>
    <w:multiLevelType w:val="hybridMultilevel"/>
    <w:lvl w:ilvl="0">
      <w:lvlJc w:val="left"/>
      <w:lvlText w:val="(%1)"/>
      <w:numFmt w:val="upperLetter"/>
      <w:start w:val="3"/>
    </w:lvl>
    <w:lvl w:ilvl="1">
      <w:lvlJc w:val="left"/>
      <w:lvlText w:val="%2"/>
      <w:numFmt w:val="decimal"/>
      <w:start w:val="1"/>
    </w:lvl>
  </w:abstractNum>
  <w:abstractNum w:abstractNumId="48">
    <w:nsid w:val="374A3FE6"/>
    <w:multiLevelType w:val="hybridMultilevel"/>
    <w:lvl w:ilvl="0">
      <w:lvlJc w:val="left"/>
      <w:lvlText w:val="%1"/>
      <w:numFmt w:val="upperLetter"/>
      <w:start w:val="1"/>
    </w:lvl>
    <w:lvl w:ilvl="1">
      <w:lvlJc w:val="left"/>
      <w:lvlText w:val="(%2)"/>
      <w:numFmt w:val="decimal"/>
      <w:start w:val="1"/>
    </w:lvl>
  </w:abstractNum>
  <w:abstractNum w:abstractNumId="49">
    <w:nsid w:val="4F4EF005"/>
    <w:multiLevelType w:val="hybridMultilevel"/>
    <w:lvl w:ilvl="0">
      <w:lvlJc w:val="left"/>
      <w:lvlText w:val="(%1)"/>
      <w:numFmt w:val="upperLetter"/>
      <w:start w:val="6"/>
    </w:lvl>
    <w:lvl w:ilvl="1">
      <w:lvlJc w:val="left"/>
      <w:lvlText w:val="%2"/>
      <w:numFmt w:val="decimal"/>
      <w:start w:val="1"/>
    </w:lvl>
  </w:abstractNum>
  <w:abstractNum w:abstractNumId="50">
    <w:nsid w:val="23F9C13C"/>
    <w:multiLevelType w:val="hybridMultilevel"/>
    <w:lvl w:ilvl="0">
      <w:lvlJc w:val="left"/>
      <w:lvlText w:val="(%1)"/>
      <w:numFmt w:val="upperLetter"/>
      <w:start w:val="9"/>
    </w:lvl>
  </w:abstractNum>
  <w:abstractNum w:abstractNumId="51">
    <w:nsid w:val="649BB77C"/>
    <w:multiLevelType w:val="hybridMultilevel"/>
    <w:lvl w:ilvl="0">
      <w:lvlJc w:val="left"/>
      <w:lvlText w:val="(%1)"/>
      <w:numFmt w:val="upperLetter"/>
      <w:start w:val="1"/>
    </w:lvl>
    <w:lvl w:ilvl="1">
      <w:lvlJc w:val="left"/>
      <w:lvlText w:val="(%2)"/>
      <w:numFmt w:val="decimal"/>
      <w:start w:val="1"/>
    </w:lvl>
  </w:abstractNum>
  <w:abstractNum w:abstractNumId="52">
    <w:nsid w:val="275AC794"/>
    <w:multiLevelType w:val="hybridMultilevel"/>
    <w:lvl w:ilvl="0">
      <w:lvlJc w:val="left"/>
      <w:lvlText w:val="(%1)"/>
      <w:numFmt w:val="upperLetter"/>
      <w:start w:val="5"/>
    </w:lvl>
  </w:abstractNum>
  <w:abstractNum w:abstractNumId="53">
    <w:nsid w:val="3938657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2020-05-05T12:05:49Z</dcterms:created>
  <dcterms:modified xsi:type="dcterms:W3CDTF">2020-05-05T12:05:49Z</dcterms:modified>
</cp:coreProperties>
</file>