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497</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333-180084</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July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6126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126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3,000,000 Shares</w:t>
      </w:r>
    </w:p>
    <w:p>
      <w:pPr>
        <w:spacing w:after="0" w:line="44"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4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$14.00 Per Share</w:t>
      </w:r>
    </w:p>
    <w:p>
      <w:pPr>
        <w:spacing w:after="0" w:line="117" w:lineRule="exact"/>
        <w:rPr>
          <w:sz w:val="24"/>
          <w:szCs w:val="24"/>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offering for sale 3,000,000 shares of our common stock. Our common stock is traded on the NASDAQ Global Select Market under the symbol “PFLT.” The last reported closing price for our common stock on March 20, 2013 was $14.35 per share. The net asset value of our common stock on December 31, 2012 (the last date prior to the date of this prospectus supplement on which we determined net asset value) was $13.99 per share.</w:t>
      </w:r>
    </w:p>
    <w:p>
      <w:pPr>
        <w:spacing w:after="0" w:line="53" w:lineRule="exact"/>
        <w:rPr>
          <w:sz w:val="24"/>
          <w:szCs w:val="24"/>
          <w:color w:val="auto"/>
        </w:rPr>
      </w:pPr>
    </w:p>
    <w:p>
      <w:pPr>
        <w:ind w:right="120" w:firstLine="456"/>
        <w:spacing w:after="0" w:line="290"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business development company, or a BDC, under the Investment Company Act of 1940, as amended, or the 1940 Act. 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over it. We are externally managed by PennantPark Investment Advisers, LLC. PennantPark Investment Administration, LLC provides the administrative services necessary for us to operate.</w:t>
      </w:r>
    </w:p>
    <w:p>
      <w:pPr>
        <w:spacing w:after="0" w:line="64"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60" w:lineRule="exact"/>
        <w:rPr>
          <w:sz w:val="24"/>
          <w:szCs w:val="24"/>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“Risk Factors” beginning on page S-12 of this prospectus supplement and page 8 of the accompanying prospectus.</w:t>
      </w:r>
    </w:p>
    <w:p>
      <w:pPr>
        <w:spacing w:after="0" w:line="78"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10"/>
        </w:trPr>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(sales load) </w:t>
            </w:r>
            <w:r>
              <w:rPr>
                <w:rFonts w:ascii="Arial" w:cs="Arial" w:eastAsia="Arial" w:hAnsi="Arial"/>
                <w:sz w:val="11"/>
                <w:szCs w:val="11"/>
                <w:b w:val="1"/>
                <w:bCs w:val="1"/>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Floating Rate Capital, Ltd (before estimated expenses of $400,000)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ind w:left="340" w:right="12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investment adviser, PennantPark Investment Advisers, LLC, has agreed to pay the underwriters approximately $1.3 million, or $0.4200 per share of the sales load in connection with this offering, which is not reflected in the above table. All other expenses of the offering including the sales load not paid by our investment adviser will be borne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ind w:right="120" w:firstLine="456"/>
        <w:spacing w:after="0" w:line="326" w:lineRule="auto"/>
        <w:rPr>
          <w:sz w:val="20"/>
          <w:szCs w:val="20"/>
          <w:color w:val="auto"/>
        </w:rPr>
      </w:pPr>
      <w:r>
        <w:rPr>
          <w:rFonts w:ascii="Arial" w:cs="Arial" w:eastAsia="Arial" w:hAnsi="Arial"/>
          <w:sz w:val="15"/>
          <w:szCs w:val="15"/>
          <w:b w:val="1"/>
          <w:bCs w:val="1"/>
          <w:color w:val="auto"/>
        </w:rPr>
        <w:t>The underwriters may also purchase up to an additional 450,000 shares from us at the public offering price, within 30 days from the date of this prospectus supplement to cover overallotments, if any. If the underwriters exercise this option in full, the total public offering price will be $48,300,000, the underwriting discount and commissions (sales load) that will be paid by us will be zero and the underwriting discount and commission paid by PennantPark Investment Advisers, LLC will be approximately $1.4 million and total proceeds, before expenses, will be $48,300,000.</w:t>
      </w:r>
    </w:p>
    <w:p>
      <w:pPr>
        <w:spacing w:after="0" w:line="3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The underwriters expect to deliver the shares on or about March 26, 2013.</w:t>
      </w:r>
    </w:p>
    <w:p>
      <w:pPr>
        <w:spacing w:after="0" w:line="117" w:lineRule="exact"/>
        <w:rPr>
          <w:sz w:val="24"/>
          <w:szCs w:val="24"/>
          <w:color w:val="auto"/>
        </w:rPr>
      </w:pPr>
    </w:p>
    <w:p>
      <w:pPr>
        <w:spacing w:after="0"/>
        <w:tabs>
          <w:tab w:leader="none" w:pos="4440" w:val="left"/>
          <w:tab w:leader="none" w:pos="876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2"/>
          <w:szCs w:val="22"/>
          <w:b w:val="1"/>
          <w:bCs w:val="1"/>
          <w:color w:val="auto"/>
        </w:rPr>
        <w:t>Keefe, Bruyette &amp; Woods</w:t>
      </w:r>
    </w:p>
    <w:p>
      <w:pPr>
        <w:spacing w:after="0" w:line="37" w:lineRule="exact"/>
        <w:rPr>
          <w:sz w:val="24"/>
          <w:szCs w:val="24"/>
          <w:color w:val="auto"/>
        </w:rPr>
      </w:pPr>
    </w:p>
    <w:p>
      <w:pPr>
        <w:ind w:left="10480"/>
        <w:spacing w:after="0"/>
        <w:rPr>
          <w:sz w:val="20"/>
          <w:szCs w:val="20"/>
          <w:color w:val="auto"/>
        </w:rPr>
      </w:pPr>
      <w:r>
        <w:rPr>
          <w:rFonts w:ascii="Arial" w:cs="Arial" w:eastAsia="Arial" w:hAnsi="Arial"/>
          <w:sz w:val="12"/>
          <w:szCs w:val="12"/>
          <w:i w:val="1"/>
          <w:iCs w:val="1"/>
          <w:color w:val="auto"/>
        </w:rPr>
        <w:t>A Stifel Company</w:t>
      </w:r>
    </w:p>
    <w:p>
      <w:pPr>
        <w:spacing w:after="0" w:line="63" w:lineRule="exact"/>
        <w:rPr>
          <w:sz w:val="24"/>
          <w:szCs w:val="24"/>
          <w:color w:val="auto"/>
        </w:rPr>
      </w:pPr>
    </w:p>
    <w:p>
      <w:pPr>
        <w:spacing w:after="0"/>
        <w:tabs>
          <w:tab w:leader="none" w:pos="3560" w:val="left"/>
          <w:tab w:leader="none" w:pos="8960" w:val="left"/>
        </w:tabs>
        <w:rPr>
          <w:sz w:val="20"/>
          <w:szCs w:val="20"/>
          <w:color w:val="auto"/>
        </w:rPr>
      </w:pPr>
      <w:r>
        <w:rPr>
          <w:rFonts w:ascii="Arial" w:cs="Arial" w:eastAsia="Arial" w:hAnsi="Arial"/>
          <w:sz w:val="22"/>
          <w:szCs w:val="22"/>
          <w:b w:val="1"/>
          <w:bCs w:val="1"/>
          <w:color w:val="auto"/>
        </w:rPr>
        <w:t>JMP Securities</w:t>
      </w:r>
      <w:r>
        <w:rPr>
          <w:sz w:val="20"/>
          <w:szCs w:val="20"/>
          <w:color w:val="auto"/>
        </w:rPr>
        <w:tab/>
      </w:r>
      <w:r>
        <w:rPr>
          <w:rFonts w:ascii="Arial" w:cs="Arial" w:eastAsia="Arial" w:hAnsi="Arial"/>
          <w:sz w:val="22"/>
          <w:szCs w:val="22"/>
          <w:b w:val="1"/>
          <w:bCs w:val="1"/>
          <w:color w:val="auto"/>
        </w:rPr>
        <w:t>Ladenburg Thalmann &amp; Co. Inc.</w:t>
      </w:r>
      <w:r>
        <w:rPr>
          <w:sz w:val="20"/>
          <w:szCs w:val="20"/>
          <w:color w:val="auto"/>
        </w:rPr>
        <w:tab/>
      </w:r>
      <w:r>
        <w:rPr>
          <w:rFonts w:ascii="Arial" w:cs="Arial" w:eastAsia="Arial" w:hAnsi="Arial"/>
          <w:sz w:val="19"/>
          <w:szCs w:val="19"/>
          <w:b w:val="1"/>
          <w:bCs w:val="1"/>
          <w:color w:val="auto"/>
        </w:rPr>
        <w:t>Janney Montgomery Scott</w:t>
      </w:r>
    </w:p>
    <w:p>
      <w:pPr>
        <w:spacing w:after="0" w:line="58"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Maxim</w:t>
      </w:r>
    </w:p>
    <w:p>
      <w:pPr>
        <w:sectPr>
          <w:pgSz w:w="11900" w:h="16838" w:orient="portrait"/>
          <w:cols w:equalWidth="0" w:num="1">
            <w:col w:w="11420"/>
          </w:cols>
          <w:pgMar w:left="240" w:top="230" w:right="239" w:bottom="1440" w:gutter="0" w:footer="0" w:header="0"/>
        </w:sect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date of this prospectus supplement is March 21 , 2013.</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80" w:type="dxa"/>
            <w:vAlign w:val="bottom"/>
            <w:gridSpan w:val="3"/>
          </w:tcPr>
          <w:p>
            <w:pPr>
              <w:jc w:val="center"/>
              <w:ind w:right="426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0" w:type="dxa"/>
            <w:vAlign w:val="bottom"/>
            <w:gridSpan w:val="5"/>
          </w:tcPr>
          <w:p>
            <w:pPr>
              <w:jc w:val="center"/>
              <w:ind w:right="3640"/>
              <w:spacing w:after="0"/>
              <w:rPr>
                <w:sz w:val="20"/>
                <w:szCs w:val="20"/>
                <w:color w:val="auto"/>
              </w:rPr>
            </w:pPr>
            <w:r>
              <w:rPr>
                <w:rFonts w:ascii="Arial" w:cs="Arial" w:eastAsia="Arial" w:hAnsi="Arial"/>
                <w:sz w:val="18"/>
                <w:szCs w:val="18"/>
                <w:b w:val="1"/>
                <w:bCs w:val="1"/>
                <w:color w:val="auto"/>
                <w:w w:val="95"/>
              </w:rPr>
              <w:t>PROSPECTUS SUPPLEMENT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20" w:type="dxa"/>
            <w:vAlign w:val="bottom"/>
            <w:tcBorders>
              <w:bottom w:val="single" w:sz="8" w:color="0000EE"/>
            </w:tcBorders>
            <w:gridSpan w:val="18"/>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73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4"/>
              </w:rPr>
            </w:pPr>
            <w:hyperlink w:anchor="page11">
              <w:r>
                <w:rPr>
                  <w:rFonts w:ascii="Arial" w:cs="Arial" w:eastAsia="Arial" w:hAnsi="Arial"/>
                  <w:sz w:val="18"/>
                  <w:szCs w:val="18"/>
                  <w:b w:val="1"/>
                  <w:bCs w:val="1"/>
                  <w:color w:val="0000EE"/>
                  <w:w w:val="94"/>
                </w:rPr>
                <w:t>FEES AND EXPENSES</w:t>
              </w:r>
            </w:hyperlink>
          </w:p>
        </w:tc>
        <w:tc>
          <w:tcPr>
            <w:tcW w:w="910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RISK FACTORS</w:t>
              </w:r>
            </w:hyperlink>
          </w:p>
        </w:tc>
        <w:tc>
          <w:tcPr>
            <w:tcW w:w="79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6">
              <w:r>
                <w:rPr>
                  <w:rFonts w:ascii="Arial" w:cs="Arial" w:eastAsia="Arial" w:hAnsi="Arial"/>
                  <w:sz w:val="18"/>
                  <w:szCs w:val="18"/>
                  <w:b w:val="1"/>
                  <w:bCs w:val="1"/>
                  <w:color w:val="0000EE"/>
                  <w:w w:val="93"/>
                </w:rPr>
                <w:t>USE OF PROCEEDS</w:t>
              </w:r>
            </w:hyperlink>
          </w:p>
        </w:tc>
        <w:tc>
          <w:tcPr>
            <w:tcW w:w="930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CAPITALIZATION</w:t>
              </w:r>
            </w:hyperlink>
          </w:p>
        </w:tc>
        <w:tc>
          <w:tcPr>
            <w:tcW w:w="940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PRICE RANGE OF COMMON STOCK</w:t>
              </w:r>
            </w:hyperlink>
          </w:p>
        </w:tc>
        <w:tc>
          <w:tcPr>
            <w:tcW w:w="78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SELECTED FINANCIAL DATA</w:t>
              </w:r>
            </w:hyperlink>
          </w:p>
        </w:tc>
        <w:tc>
          <w:tcPr>
            <w:tcW w:w="84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MANAGEMENT’S DISCUSSION AND ANALYSIS OF FINANCIAL CONDITION AND RESULTS OF OPERATIONS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ADDITIONAL MATERIAL U.S. FEDERAL INCOME TAX CONSIDERATIONS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S-33</w:t>
            </w:r>
          </w:p>
        </w:tc>
        <w:tc>
          <w:tcPr>
            <w:tcW w:w="0" w:type="dxa"/>
            <w:vAlign w:val="bottom"/>
          </w:tcPr>
          <w:p>
            <w:pPr>
              <w:spacing w:after="0"/>
              <w:rPr>
                <w:sz w:val="1"/>
                <w:szCs w:val="1"/>
                <w:color w:val="auto"/>
              </w:rPr>
            </w:pPr>
          </w:p>
        </w:tc>
      </w:tr>
      <w:tr>
        <w:trPr>
          <w:trHeight w:val="196"/>
        </w:trPr>
        <w:tc>
          <w:tcPr>
            <w:tcW w:w="620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UNDERWRITING</w:t>
              </w:r>
            </w:hyperlink>
          </w:p>
        </w:tc>
        <w:tc>
          <w:tcPr>
            <w:tcW w:w="47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S-34</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S-40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INDEX TO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S-41</w:t>
            </w:r>
          </w:p>
        </w:tc>
        <w:tc>
          <w:tcPr>
            <w:tcW w:w="0" w:type="dxa"/>
            <w:vAlign w:val="bottom"/>
          </w:tcPr>
          <w:p>
            <w:pPr>
              <w:spacing w:after="0"/>
              <w:rPr>
                <w:sz w:val="1"/>
                <w:szCs w:val="1"/>
                <w:color w:val="auto"/>
              </w:rPr>
            </w:pPr>
          </w:p>
        </w:tc>
      </w:tr>
      <w:tr>
        <w:trPr>
          <w:trHeight w:val="559"/>
        </w:trPr>
        <w:tc>
          <w:tcPr>
            <w:tcW w:w="8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3"/>
          </w:tcPr>
          <w:p>
            <w:pPr>
              <w:ind w:left="320"/>
              <w:spacing w:after="0"/>
              <w:rPr>
                <w:sz w:val="20"/>
                <w:szCs w:val="20"/>
                <w:color w:val="auto"/>
              </w:rPr>
            </w:pPr>
            <w:r>
              <w:rPr>
                <w:rFonts w:ascii="Arial" w:cs="Arial" w:eastAsia="Arial" w:hAnsi="Arial"/>
                <w:sz w:val="18"/>
                <w:szCs w:val="18"/>
                <w:b w:val="1"/>
                <w:bCs w:val="1"/>
                <w:color w:val="auto"/>
              </w:rPr>
              <w:t>PROSPECTUS</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25"/>
            <w:vMerge w:val="restart"/>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PROSPECTUS SUMMARY</w:t>
              </w:r>
            </w:hyperlink>
          </w:p>
        </w:tc>
        <w:tc>
          <w:tcPr>
            <w:tcW w:w="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940" w:type="dxa"/>
            <w:vAlign w:val="bottom"/>
            <w:gridSpan w:val="25"/>
            <w:vMerge w:val="continue"/>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FEES AND EXPENSES</w:t>
              </w:r>
            </w:hyperlink>
          </w:p>
        </w:tc>
        <w:tc>
          <w:tcPr>
            <w:tcW w:w="8800" w:type="dxa"/>
            <w:vAlign w:val="bottom"/>
            <w:gridSpan w:val="14"/>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RISK FACTORS</w:t>
              </w:r>
            </w:hyperlink>
          </w:p>
        </w:tc>
        <w:tc>
          <w:tcPr>
            <w:tcW w:w="91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32">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7"/>
          </w:tcPr>
          <w:p>
            <w:pPr>
              <w:spacing w:after="0"/>
              <w:rPr>
                <w:sz w:val="17"/>
                <w:szCs w:val="17"/>
                <w:color w:val="auto"/>
              </w:rPr>
            </w:pPr>
          </w:p>
        </w:tc>
        <w:tc>
          <w:tcPr>
            <w:tcW w:w="79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133">
              <w:r>
                <w:rPr>
                  <w:rFonts w:ascii="Arial" w:cs="Arial" w:eastAsia="Arial" w:hAnsi="Arial"/>
                  <w:sz w:val="18"/>
                  <w:szCs w:val="18"/>
                  <w:b w:val="1"/>
                  <w:bCs w:val="1"/>
                  <w:color w:val="0000EE"/>
                  <w:w w:val="98"/>
                </w:rPr>
                <w:t>SELECTED FINANCIAL DATA</w:t>
              </w:r>
            </w:hyperlink>
          </w:p>
        </w:tc>
        <w:tc>
          <w:tcPr>
            <w:tcW w:w="84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135">
              <w:r>
                <w:rPr>
                  <w:rFonts w:ascii="Arial" w:cs="Arial" w:eastAsia="Arial" w:hAnsi="Arial"/>
                  <w:sz w:val="18"/>
                  <w:szCs w:val="18"/>
                  <w:b w:val="1"/>
                  <w:bCs w:val="1"/>
                  <w:color w:val="0000EE"/>
                  <w:w w:val="97"/>
                </w:rPr>
                <w:t>MANAGEMENT’S DISCUSSION AND ANALYSIS OF FINANCIAL CONDITION AND RESULTS OF OPERATIONS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OBLIGATIONS AND INDEBTEDNESS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8"/>
              </w:rPr>
            </w:pPr>
            <w:hyperlink w:anchor="page151">
              <w:r>
                <w:rPr>
                  <w:rFonts w:ascii="Arial" w:cs="Arial" w:eastAsia="Arial" w:hAnsi="Arial"/>
                  <w:sz w:val="18"/>
                  <w:szCs w:val="18"/>
                  <w:b w:val="1"/>
                  <w:bCs w:val="1"/>
                  <w:color w:val="0000EE"/>
                  <w:w w:val="98"/>
                </w:rPr>
                <w:t>PRICE RANGE OF COMMON STOCK</w:t>
              </w:r>
            </w:hyperlink>
          </w:p>
        </w:tc>
        <w:tc>
          <w:tcPr>
            <w:tcW w:w="78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6"/>
              </w:rPr>
            </w:pPr>
            <w:hyperlink w:anchor="page152">
              <w:r>
                <w:rPr>
                  <w:rFonts w:ascii="Arial" w:cs="Arial" w:eastAsia="Arial" w:hAnsi="Arial"/>
                  <w:sz w:val="18"/>
                  <w:szCs w:val="18"/>
                  <w:b w:val="1"/>
                  <w:bCs w:val="1"/>
                  <w:color w:val="0000EE"/>
                  <w:w w:val="96"/>
                </w:rPr>
                <w:t>SALES OF COMMON STOCK BELOW NET ASSET VALUE</w:t>
              </w:r>
            </w:hyperlink>
          </w:p>
        </w:tc>
        <w:tc>
          <w:tcPr>
            <w:tcW w:w="61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DISTRIBUTIONS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159">
              <w:r>
                <w:rPr>
                  <w:rFonts w:ascii="Arial" w:cs="Arial" w:eastAsia="Arial" w:hAnsi="Arial"/>
                  <w:sz w:val="18"/>
                  <w:szCs w:val="18"/>
                  <w:b w:val="1"/>
                  <w:bCs w:val="1"/>
                  <w:color w:val="0000EE"/>
                  <w:w w:val="91"/>
                </w:rPr>
                <w:t>BUSINESS</w:t>
              </w:r>
            </w:hyperlink>
          </w:p>
        </w:tc>
        <w:tc>
          <w:tcPr>
            <w:tcW w:w="580" w:type="dxa"/>
            <w:vAlign w:val="bottom"/>
            <w:tcBorders>
              <w:top w:val="single" w:sz="8" w:color="0000EE"/>
            </w:tcBorders>
            <w:gridSpan w:val="3"/>
          </w:tcPr>
          <w:p>
            <w:pPr>
              <w:spacing w:after="0"/>
              <w:rPr>
                <w:sz w:val="17"/>
                <w:szCs w:val="17"/>
                <w:color w:val="auto"/>
              </w:rPr>
            </w:pPr>
          </w:p>
        </w:tc>
        <w:tc>
          <w:tcPr>
            <w:tcW w:w="950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8"/>
              </w:rPr>
            </w:pPr>
            <w:hyperlink w:anchor="page163">
              <w:r>
                <w:rPr>
                  <w:rFonts w:ascii="Arial" w:cs="Arial" w:eastAsia="Arial" w:hAnsi="Arial"/>
                  <w:sz w:val="18"/>
                  <w:szCs w:val="18"/>
                  <w:b w:val="1"/>
                  <w:bCs w:val="1"/>
                  <w:color w:val="0000EE"/>
                  <w:w w:val="98"/>
                </w:rPr>
                <w:t>INVESTMENT OBJECTIVES AND POLICIES</w:t>
              </w:r>
            </w:hyperlink>
          </w:p>
        </w:tc>
        <w:tc>
          <w:tcPr>
            <w:tcW w:w="728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170">
              <w:r>
                <w:rPr>
                  <w:rFonts w:ascii="Arial" w:cs="Arial" w:eastAsia="Arial" w:hAnsi="Arial"/>
                  <w:sz w:val="18"/>
                  <w:szCs w:val="18"/>
                  <w:b w:val="1"/>
                  <w:bCs w:val="1"/>
                  <w:color w:val="0000EE"/>
                  <w:w w:val="97"/>
                </w:rPr>
                <w:t>PORTFOLIO COMPANIES</w:t>
              </w:r>
            </w:hyperlink>
          </w:p>
        </w:tc>
        <w:tc>
          <w:tcPr>
            <w:tcW w:w="878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75">
              <w:r>
                <w:rPr>
                  <w:rFonts w:ascii="Arial" w:cs="Arial" w:eastAsia="Arial" w:hAnsi="Arial"/>
                  <w:sz w:val="18"/>
                  <w:szCs w:val="18"/>
                  <w:b w:val="1"/>
                  <w:bCs w:val="1"/>
                  <w:color w:val="0000EE"/>
                </w:rPr>
                <w:t>MANAGEMENT</w:t>
              </w:r>
            </w:hyperlink>
          </w:p>
        </w:tc>
        <w:tc>
          <w:tcPr>
            <w:tcW w:w="960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6"/>
              </w:rPr>
            </w:pPr>
            <w:hyperlink w:anchor="page182">
              <w:r>
                <w:rPr>
                  <w:rFonts w:ascii="Arial" w:cs="Arial" w:eastAsia="Arial" w:hAnsi="Arial"/>
                  <w:sz w:val="18"/>
                  <w:szCs w:val="18"/>
                  <w:b w:val="1"/>
                  <w:bCs w:val="1"/>
                  <w:color w:val="0000EE"/>
                  <w:w w:val="96"/>
                </w:rPr>
                <w:t>CONTROL PERSONS AND PRINCIPAL STOCKHOLDERS</w:t>
              </w:r>
            </w:hyperlink>
          </w:p>
        </w:tc>
        <w:tc>
          <w:tcPr>
            <w:tcW w:w="62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7"/>
              </w:rPr>
            </w:pPr>
            <w:hyperlink w:anchor="page184">
              <w:r>
                <w:rPr>
                  <w:rFonts w:ascii="Arial" w:cs="Arial" w:eastAsia="Arial" w:hAnsi="Arial"/>
                  <w:sz w:val="18"/>
                  <w:szCs w:val="18"/>
                  <w:b w:val="1"/>
                  <w:bCs w:val="1"/>
                  <w:color w:val="0000EE"/>
                  <w:w w:val="97"/>
                </w:rPr>
                <w:t>CERTAIN RELATIONSHIPS AND TRANSACTIONS</w:t>
              </w:r>
            </w:hyperlink>
          </w:p>
        </w:tc>
        <w:tc>
          <w:tcPr>
            <w:tcW w:w="68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0" w:type="dxa"/>
            <w:vAlign w:val="bottom"/>
            <w:gridSpan w:val="16"/>
            <w:vMerge w:val="restart"/>
          </w:tcPr>
          <w:p>
            <w:pPr>
              <w:spacing w:after="0"/>
              <w:rPr>
                <w:rFonts w:ascii="Arial" w:cs="Arial" w:eastAsia="Arial" w:hAnsi="Arial"/>
                <w:sz w:val="18"/>
                <w:szCs w:val="18"/>
                <w:b w:val="1"/>
                <w:bCs w:val="1"/>
                <w:color w:val="0000EE"/>
              </w:rPr>
            </w:pPr>
            <w:hyperlink w:anchor="page191">
              <w:r>
                <w:rPr>
                  <w:rFonts w:ascii="Arial" w:cs="Arial" w:eastAsia="Arial" w:hAnsi="Arial"/>
                  <w:sz w:val="18"/>
                  <w:szCs w:val="18"/>
                  <w:b w:val="1"/>
                  <w:bCs w:val="1"/>
                  <w:color w:val="0000EE"/>
                </w:rPr>
                <w:t>DETERMINATION OF NET ASSET VALUE</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16"/>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0"/>
        </w:trPr>
        <w:tc>
          <w:tcPr>
            <w:tcW w:w="34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194">
              <w:r>
                <w:rPr>
                  <w:rFonts w:ascii="Arial" w:cs="Arial" w:eastAsia="Arial" w:hAnsi="Arial"/>
                  <w:sz w:val="18"/>
                  <w:szCs w:val="18"/>
                  <w:b w:val="1"/>
                  <w:bCs w:val="1"/>
                  <w:color w:val="0000EE"/>
                </w:rPr>
                <w:t>DIVIDEND REINVESTMENT PLAN</w:t>
              </w:r>
            </w:hyperlink>
          </w:p>
        </w:tc>
        <w:tc>
          <w:tcPr>
            <w:tcW w:w="7540" w:type="dxa"/>
            <w:vAlign w:val="bottom"/>
            <w:gridSpan w:val="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6"/>
          </w:tcPr>
          <w:p>
            <w:pPr>
              <w:spacing w:after="0" w:line="196" w:lineRule="exact"/>
              <w:rPr>
                <w:rFonts w:ascii="Arial" w:cs="Arial" w:eastAsia="Arial" w:hAnsi="Arial"/>
                <w:sz w:val="18"/>
                <w:szCs w:val="18"/>
                <w:b w:val="1"/>
                <w:bCs w:val="1"/>
                <w:color w:val="0000EE"/>
              </w:rPr>
            </w:pPr>
            <w:hyperlink w:anchor="page195">
              <w:r>
                <w:rPr>
                  <w:rFonts w:ascii="Arial" w:cs="Arial" w:eastAsia="Arial" w:hAnsi="Arial"/>
                  <w:sz w:val="18"/>
                  <w:szCs w:val="18"/>
                  <w:b w:val="1"/>
                  <w:bCs w:val="1"/>
                  <w:color w:val="0000EE"/>
                </w:rPr>
                <w:t>DESCRIPTION OF OUR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6"/>
          </w:tcPr>
          <w:p>
            <w:pPr>
              <w:spacing w:after="0" w:line="196" w:lineRule="exact"/>
              <w:rPr>
                <w:rFonts w:ascii="Arial" w:cs="Arial" w:eastAsia="Arial" w:hAnsi="Arial"/>
                <w:sz w:val="18"/>
                <w:szCs w:val="18"/>
                <w:b w:val="1"/>
                <w:bCs w:val="1"/>
                <w:color w:val="0000EE"/>
              </w:rPr>
            </w:pPr>
            <w:hyperlink w:anchor="page201">
              <w:r>
                <w:rPr>
                  <w:rFonts w:ascii="Arial" w:cs="Arial" w:eastAsia="Arial" w:hAnsi="Arial"/>
                  <w:sz w:val="18"/>
                  <w:szCs w:val="18"/>
                  <w:b w:val="1"/>
                  <w:bCs w:val="1"/>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6"/>
              </w:rPr>
            </w:pPr>
            <w:hyperlink w:anchor="page202">
              <w:r>
                <w:rPr>
                  <w:rFonts w:ascii="Arial" w:cs="Arial" w:eastAsia="Arial" w:hAnsi="Arial"/>
                  <w:sz w:val="18"/>
                  <w:szCs w:val="18"/>
                  <w:b w:val="1"/>
                  <w:bCs w:val="1"/>
                  <w:color w:val="0000EE"/>
                  <w:w w:val="96"/>
                </w:rPr>
                <w:t>DESCRIPTION OF OUR WARRANTS</w:t>
              </w:r>
            </w:hyperlink>
          </w:p>
        </w:tc>
        <w:tc>
          <w:tcPr>
            <w:tcW w:w="720" w:type="dxa"/>
            <w:vAlign w:val="bottom"/>
            <w:tcBorders>
              <w:top w:val="single" w:sz="8" w:color="0000EE"/>
            </w:tcBorders>
            <w:gridSpan w:val="5"/>
          </w:tcPr>
          <w:p>
            <w:pPr>
              <w:spacing w:after="0"/>
              <w:rPr>
                <w:sz w:val="17"/>
                <w:szCs w:val="17"/>
                <w:color w:val="auto"/>
              </w:rPr>
            </w:pPr>
          </w:p>
        </w:tc>
        <w:tc>
          <w:tcPr>
            <w:tcW w:w="7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7"/>
              </w:rPr>
            </w:pPr>
            <w:hyperlink w:anchor="page204">
              <w:r>
                <w:rPr>
                  <w:rFonts w:ascii="Arial" w:cs="Arial" w:eastAsia="Arial" w:hAnsi="Arial"/>
                  <w:sz w:val="18"/>
                  <w:szCs w:val="18"/>
                  <w:b w:val="1"/>
                  <w:bCs w:val="1"/>
                  <w:color w:val="0000EE"/>
                  <w:w w:val="97"/>
                </w:rPr>
                <w:t>DESCRIPTION OF OUR SUBSCRIPTION RIGHTS</w:t>
              </w:r>
            </w:hyperlink>
          </w:p>
        </w:tc>
        <w:tc>
          <w:tcPr>
            <w:tcW w:w="69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7"/>
              </w:rPr>
            </w:pPr>
            <w:hyperlink w:anchor="page205">
              <w:r>
                <w:rPr>
                  <w:rFonts w:ascii="Arial" w:cs="Arial" w:eastAsia="Arial" w:hAnsi="Arial"/>
                  <w:sz w:val="18"/>
                  <w:szCs w:val="18"/>
                  <w:b w:val="1"/>
                  <w:bCs w:val="1"/>
                  <w:color w:val="0000EE"/>
                  <w:w w:val="97"/>
                </w:rPr>
                <w:t>DESCRIPTION OF OUR DEBT SECURITIES</w:t>
              </w:r>
            </w:hyperlink>
          </w:p>
        </w:tc>
        <w:tc>
          <w:tcPr>
            <w:tcW w:w="74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tcPr>
          <w:p>
            <w:pPr>
              <w:spacing w:after="0" w:line="196" w:lineRule="exact"/>
              <w:rPr>
                <w:rFonts w:ascii="Arial" w:cs="Arial" w:eastAsia="Arial" w:hAnsi="Arial"/>
                <w:sz w:val="18"/>
                <w:szCs w:val="18"/>
                <w:b w:val="1"/>
                <w:bCs w:val="1"/>
                <w:color w:val="0000EE"/>
                <w:w w:val="99"/>
              </w:rPr>
            </w:pPr>
            <w:hyperlink w:anchor="page219">
              <w:r>
                <w:rPr>
                  <w:rFonts w:ascii="Arial" w:cs="Arial" w:eastAsia="Arial" w:hAnsi="Arial"/>
                  <w:sz w:val="18"/>
                  <w:szCs w:val="18"/>
                  <w:b w:val="1"/>
                  <w:bCs w:val="1"/>
                  <w:color w:val="0000EE"/>
                  <w:w w:val="99"/>
                </w:rPr>
                <w:t>REGULATION</w:t>
              </w:r>
            </w:hyperlink>
          </w:p>
        </w:tc>
        <w:tc>
          <w:tcPr>
            <w:tcW w:w="98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224">
              <w:r>
                <w:rPr>
                  <w:rFonts w:ascii="Arial" w:cs="Arial" w:eastAsia="Arial" w:hAnsi="Arial"/>
                  <w:sz w:val="18"/>
                  <w:szCs w:val="18"/>
                  <w:b w:val="1"/>
                  <w:bCs w:val="1"/>
                  <w:color w:val="0000EE"/>
                  <w:w w:val="97"/>
                </w:rPr>
                <w:t>BROKERAGE ALLOCATIONS AND OTHER PRACTICES</w:t>
              </w:r>
            </w:hyperlink>
          </w:p>
        </w:tc>
        <w:tc>
          <w:tcPr>
            <w:tcW w:w="63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225">
              <w:r>
                <w:rPr>
                  <w:rFonts w:ascii="Arial" w:cs="Arial" w:eastAsia="Arial" w:hAnsi="Arial"/>
                  <w:sz w:val="18"/>
                  <w:szCs w:val="18"/>
                  <w:b w:val="1"/>
                  <w:bCs w:val="1"/>
                  <w:color w:val="0000EE"/>
                  <w:w w:val="98"/>
                </w:rPr>
                <w:t>MATERIAL U.S. FEDERAL INCOME TAX CONSIDERATIONS</w:t>
              </w:r>
            </w:hyperlink>
          </w:p>
        </w:tc>
        <w:tc>
          <w:tcPr>
            <w:tcW w:w="59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231">
              <w:r>
                <w:rPr>
                  <w:rFonts w:ascii="Arial" w:cs="Arial" w:eastAsia="Arial" w:hAnsi="Arial"/>
                  <w:sz w:val="18"/>
                  <w:szCs w:val="18"/>
                  <w:b w:val="1"/>
                  <w:bCs w:val="1"/>
                  <w:color w:val="0000EE"/>
                  <w:w w:val="99"/>
                </w:rPr>
                <w:t>PLAN OF DISTRIBUTION</w:t>
              </w:r>
            </w:hyperlink>
          </w:p>
        </w:tc>
        <w:tc>
          <w:tcPr>
            <w:tcW w:w="88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7"/>
              </w:rPr>
            </w:pPr>
            <w:hyperlink w:anchor="page233">
              <w:r>
                <w:rPr>
                  <w:rFonts w:ascii="Arial" w:cs="Arial" w:eastAsia="Arial" w:hAnsi="Arial"/>
                  <w:sz w:val="18"/>
                  <w:szCs w:val="18"/>
                  <w:b w:val="1"/>
                  <w:bCs w:val="1"/>
                  <w:color w:val="0000EE"/>
                  <w:w w:val="97"/>
                </w:rPr>
                <w:t>SUB-ADMINISTRATOR, CUSTODIAN, TRANSFER AGENT AND TRUSTEE</w:t>
              </w:r>
            </w:hyperlink>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11000" w:type="dxa"/>
            <w:vAlign w:val="bottom"/>
            <w:gridSpan w:val="16"/>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6"/>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34">
              <w:r>
                <w:rPr>
                  <w:rFonts w:ascii="Arial" w:cs="Arial" w:eastAsia="Arial" w:hAnsi="Arial"/>
                  <w:sz w:val="18"/>
                  <w:szCs w:val="18"/>
                  <w:b w:val="1"/>
                  <w:bCs w:val="1"/>
                  <w:color w:val="0000EE"/>
                </w:rPr>
                <w:t>INDEX TO FINANCIAL STATEMENTS</w:t>
              </w:r>
            </w:hyperlink>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subsidiary. Some of the statements in this prospectus supplement and the accompanying prospectus constitute forward-looking statements, which apply to both us and any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the accompanying prospectus. You should read carefully the more detailed information set forth under “Risk Factors” and the other information included in this prospectus supplement and the accompanying prospectus. In this prospectus supplement and the accompanying prospectus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PennantPark Floating Rate Capital Ltd. is a BDC whose objectives are to generate current income and capital appreciation. We seek to achieve our investment objective by investing primarily in Floating Rate Loans, and other instruments, made to U.S. middle-market private companies.</w:t>
      </w:r>
    </w:p>
    <w:p>
      <w:pPr>
        <w:spacing w:after="0" w:line="85"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investments purposes, will be invested in Floating Rate Loans and other investments bearing a variable-rate of interest which may, from time to time, include variable 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40"/>
        <w:spacing w:after="0" w:line="259" w:lineRule="auto"/>
        <w:rPr>
          <w:sz w:val="20"/>
          <w:szCs w:val="20"/>
          <w:color w:val="auto"/>
        </w:rPr>
      </w:pPr>
      <w:r>
        <w:rPr>
          <w:rFonts w:ascii="Arial" w:cs="Arial" w:eastAsia="Arial" w:hAnsi="Arial"/>
          <w:sz w:val="18"/>
          <w:szCs w:val="18"/>
          <w:color w:val="auto"/>
        </w:rPr>
        <w:t>economic environment and the competitive environment for the types of investments we make. We have used, and expect to continue to use, our credit facility, or the Credit Facility, proceeds from the rotation of our portfolio and proceeds from public and private offerings of securities to finance our investment objectives.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In addition, for tax purposes we elected to be treated, and intend to qualify annually, as a regulated investment company, or RIC, under the Internal Revenue Code of 1986, as amended, or the Code.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over 200 companies with over 100 different financial sponsors through its managed funds.</w:t>
      </w:r>
    </w:p>
    <w:p>
      <w:pPr>
        <w:spacing w:after="0" w:line="120"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1060" w:right="200" w:hanging="431"/>
        <w:spacing w:after="0" w:line="301"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180" w:hanging="431"/>
        <w:spacing w:after="0" w:line="26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or CLO, funds have withdrawn capital from the middle-market resulting in opportunities for alternative funding sources.</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480" w:hanging="431"/>
        <w:spacing w:after="0" w:line="25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for middle-market companies improves the risk-adjusted returns of our investments. </w:t>
      </w:r>
      <w:r>
        <w:rPr>
          <w:rFonts w:ascii="Arial" w:cs="Arial" w:eastAsia="Arial" w:hAnsi="Arial"/>
          <w:sz w:val="18"/>
          <w:szCs w:val="18"/>
          <w:color w:val="auto"/>
        </w:rPr>
        <w:t>In the current credit environment, market participants have reduced lending to middle-market and non-investment grade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As a result, we believe there is less competition in our market, more conservative capital structures, higher yields and stronger covenants.</w:t>
      </w:r>
    </w:p>
    <w:p>
      <w:pPr>
        <w:spacing w:after="0" w:line="55" w:lineRule="exact"/>
        <w:rPr>
          <w:rFonts w:ascii="Arial" w:cs="Arial" w:eastAsia="Arial" w:hAnsi="Arial"/>
          <w:sz w:val="18"/>
          <w:szCs w:val="18"/>
          <w:color w:val="auto"/>
        </w:rPr>
      </w:pPr>
    </w:p>
    <w:p>
      <w:pPr>
        <w:ind w:left="1060" w:right="20" w:hanging="431"/>
        <w:spacing w:after="0" w:line="29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1060" w:right="40" w:hanging="431"/>
        <w:spacing w:after="0" w:line="29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w:t>
      </w:r>
      <w:r>
        <w:rPr>
          <w:rFonts w:ascii="Arial" w:cs="Arial" w:eastAsia="Arial" w:hAnsi="Arial"/>
          <w:sz w:val="16"/>
          <w:szCs w:val="16"/>
          <w:color w:val="auto"/>
        </w:rPr>
        <w:t>A high volume of financings will come due in the next few years. Additionally,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20 years of experience in mezzanine lending, leveraged finance, distressed debt and private equity businesses. The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13"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firstLine="443"/>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in the accompanying prospectus for more information.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 Ability to Source and Evaluate Transactions through our Investment Adviser’s Research Capability and Established Network</w:t>
      </w:r>
    </w:p>
    <w:p>
      <w:pPr>
        <w:spacing w:after="0" w:line="1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34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0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Under terms agreed among us, the Investment Adviser and underwriters of our initial public offering, the Investment Adviser paid 2% of the underwriters’ sales load, or approximately $2.1 million in the aggregate, on our behalf in connection with our initial public offering.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to the Investment Adviser at the end of the quarter ended</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298" w:lineRule="auto"/>
        <w:rPr>
          <w:sz w:val="20"/>
          <w:szCs w:val="20"/>
          <w:color w:val="auto"/>
        </w:rPr>
      </w:pPr>
      <w:r>
        <w:rPr>
          <w:rFonts w:ascii="Arial" w:cs="Arial" w:eastAsia="Arial" w:hAnsi="Arial"/>
          <w:sz w:val="16"/>
          <w:szCs w:val="16"/>
          <w:color w:val="auto"/>
        </w:rPr>
        <w:t>December 31, 2012 and subsequently repaid approximately $2.1 million to the Investment Adviser. The Investment Adviser announced that it intends to purchase shares of our common stock in the secondary market over the applicable six-month purchase period. The Investment Adviser has since completed the required purchase of shares of our common stock in the secondary market. Certain investment professionals of the Investment Adviser purchased over $1 million of shares of our stock in transactions completed on or prior to February 21, 2013.</w:t>
      </w:r>
    </w:p>
    <w:p>
      <w:pPr>
        <w:spacing w:after="0" w:line="113"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On February 5, 2013, our stockholders elected four directors, including Messrs. Marshall Brozost and Samuel L. Katz, each of whom will serve as Class I directors until the 2015 annual meeting, or until his successor is duly elected and qualifies or until his earlier resignation, removal from office, death or incapacity, and Messrs. Adam K. Bernstein and Jeffrey Flug, each of whom will serve as Class II directors until the 2016 annual meeting, or until his successor is duly elected and qualifies or until his earlier resignation, removal from office, death or incapacity. Also on that date, our investment management agreement, or the Investment Management Agreement, and our administration agreement, or the Administration Agreement, were reapproved by our board of directors, including a majority of our directors who are not interested persons of PennantPark Investment.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left="200" w:right="8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60" w:firstLine="443"/>
        <w:spacing w:after="0" w:line="253" w:lineRule="auto"/>
        <w:rPr>
          <w:sz w:val="20"/>
          <w:szCs w:val="20"/>
          <w:color w:val="auto"/>
        </w:rPr>
      </w:pPr>
      <w:r>
        <w:rPr>
          <w:rFonts w:ascii="Arial" w:cs="Arial" w:eastAsia="Arial" w:hAnsi="Arial"/>
          <w:sz w:val="18"/>
          <w:szCs w:val="18"/>
          <w:color w:val="auto"/>
        </w:rPr>
        <w:t>We maintain a five-year, $100.0 million Credit Facility, which matures in May 2017, with SunTrust Bank, or the Lender. During the Credit Facility’s first three years beginning in May 2012, or the revolving period, it bears interest at LIBOR plus 225 basis points, and after the revolving period, the rate sets to LIBOR plus 425 basis points for the remaining two years. The Credit Facility is secured by all of the assets held by Funding I, under which we had drawn $85.8 million outstanding with a weighted average interest rate of 2.47%, excluding the unused commitment fee of 0.375%, as of December 31, 2012. We believe that our capital resources provide us with the flexibility to take advantage of market opportunities when they arise. See “Management’s Discussion and Analysis of Financial Condition and Results of Operations—Liquidity and Capital Resources” in this prospectus supplement and in the accompanying prospectus for more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3"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jc w:val="both"/>
        <w:ind w:left="200" w:right="140" w:firstLine="443"/>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8" w:lineRule="exact"/>
        <w:rPr>
          <w:sz w:val="20"/>
          <w:szCs w:val="20"/>
          <w:color w:val="auto"/>
        </w:rPr>
      </w:pPr>
    </w:p>
    <w:p>
      <w:pPr>
        <w:jc w:val="both"/>
        <w:ind w:left="200" w:right="40" w:firstLine="443"/>
        <w:spacing w:after="0" w:line="298"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“Additional Material U.S. Federal Income Tax Considerations” in this prospectus supplement and “Material U.S. Federal Income Tax Considerations” in the accompanying prospectus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or strategic purposes. See “Use of Proceeds” in this prospectus supplement for information regarding our outstanding borrowings as of December 31, 2012,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intend to continue to distribute monthly dividends to our common stockholders. Our monthly dividends, if any, are determined by our board of directors. See “Distributions” in the accompanying prospectus and “Price Range of Common Stock” in this prospectus supplement and in the accompanying prospectus for more information.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87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20878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supplement or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Sales load</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0.95%</w:t>
            </w:r>
            <w:r>
              <w:rPr>
                <w:rFonts w:ascii="Arial" w:cs="Arial" w:eastAsia="Arial" w:hAnsi="Arial"/>
                <w:sz w:val="11"/>
                <w:szCs w:val="11"/>
                <w:color w:val="auto"/>
                <w:w w:val="99"/>
              </w:rPr>
              <w:t>(2)</w:t>
            </w: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0" w:type="dxa"/>
            <w:vAlign w:val="bottom"/>
            <w:gridSpan w:val="2"/>
            <w:vMerge w:val="continue"/>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0.95%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Management fees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1.66%</w:t>
            </w:r>
            <w:r>
              <w:rPr>
                <w:rFonts w:ascii="Arial" w:cs="Arial" w:eastAsia="Arial" w:hAnsi="Arial"/>
                <w:sz w:val="11"/>
                <w:szCs w:val="11"/>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1.57%</w:t>
            </w:r>
            <w:r>
              <w:rPr>
                <w:rFonts w:ascii="Arial" w:cs="Arial" w:eastAsia="Arial" w:hAnsi="Arial"/>
                <w:sz w:val="11"/>
                <w:szCs w:val="11"/>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1.77%</w:t>
            </w:r>
            <w:r>
              <w:rPr>
                <w:rFonts w:ascii="Arial" w:cs="Arial" w:eastAsia="Arial" w:hAnsi="Arial"/>
                <w:sz w:val="11"/>
                <w:szCs w:val="11"/>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1.96%</w:t>
            </w:r>
            <w:r>
              <w:rPr>
                <w:rFonts w:ascii="Arial" w:cs="Arial" w:eastAsia="Arial" w:hAnsi="Arial"/>
                <w:sz w:val="11"/>
                <w:szCs w:val="11"/>
                <w:color w:val="auto"/>
                <w:w w:val="99"/>
              </w:rPr>
              <w:t>(7)</w:t>
            </w: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0" w:type="dxa"/>
            <w:vAlign w:val="bottom"/>
            <w:gridSpan w:val="2"/>
            <w:vMerge w:val="continue"/>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6.96%</w:t>
            </w:r>
            <w:r>
              <w:rPr>
                <w:rFonts w:ascii="Arial" w:cs="Arial" w:eastAsia="Arial" w:hAnsi="Arial"/>
                <w:sz w:val="11"/>
                <w:szCs w:val="11"/>
                <w:color w:val="auto"/>
                <w:w w:val="99"/>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240" w:hanging="332"/>
        <w:spacing w:after="0" w:line="239"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Investment Adviser has agreed to pay the entire underwriting discount and commission (sales load), which is a one-time fee of 3% of the offering price. We are not obligated to repay the sales load paid by our Investment Adviser.</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 reflects estimated offering expenses of approximately $400,000 and is based on the offering of 3,000,000 shares at the offering price of $14.00 per share.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assets attributable to common shares equals average net assets at December 31, 2012 plus the anticipated net proceeds from this offering but excluding the underwriters’ overallotment option.</w:t>
      </w:r>
    </w:p>
    <w:p>
      <w:pPr>
        <w:spacing w:after="0" w:line="78" w:lineRule="exact"/>
        <w:rPr>
          <w:rFonts w:ascii="Arial" w:cs="Arial" w:eastAsia="Arial" w:hAnsi="Arial"/>
          <w:sz w:val="12"/>
          <w:szCs w:val="12"/>
          <w:color w:val="auto"/>
        </w:rPr>
      </w:pPr>
    </w:p>
    <w:p>
      <w:pPr>
        <w:ind w:left="340" w:right="140" w:hanging="332"/>
        <w:spacing w:after="0" w:line="239"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total assets. See “Certain Relationships and Transactions—Investment Management Agreement” in the accompanying prospectus for more information.</w:t>
      </w:r>
    </w:p>
    <w:p>
      <w:pPr>
        <w:spacing w:after="0" w:line="43" w:lineRule="exact"/>
        <w:rPr>
          <w:rFonts w:ascii="Arial" w:cs="Arial" w:eastAsia="Arial" w:hAnsi="Arial"/>
          <w:sz w:val="14"/>
          <w:szCs w:val="14"/>
          <w:color w:val="auto"/>
        </w:rPr>
      </w:pPr>
    </w:p>
    <w:p>
      <w:pPr>
        <w:ind w:left="340" w:right="40" w:hanging="332"/>
        <w:spacing w:after="0" w:line="265"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December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December 31, 2012, our cumulative realized and unrealized capital gains exceeded our cumulative realized and unrealized capital losses and we accrued a capital gains incentive fee of less than $0.1 million in accordance with U.S. generally accepted accounting principles, or GAAP. However, “Incentive fees” does not include an accrual for capital gains incentive fee for the three months ended December 31, 2012 since no capital gains incentive fee was payable under our Investment Management Agreement as of December 31, 2012. As we cannot predict our future net investment income or capital gains, the incentive fee paid in future periods, if any, may be substantially different than the fee earned during the three months ended December 31, 2012. For more detailed information about the incentive fee, please see “Certain Relationships and Transactions—Investment Management Agreement” in the accompanying prospectus for more information.</w:t>
      </w:r>
    </w:p>
    <w:p>
      <w:pPr>
        <w:spacing w:after="0" w:line="29" w:lineRule="exact"/>
        <w:rPr>
          <w:rFonts w:ascii="Arial" w:cs="Arial" w:eastAsia="Arial" w:hAnsi="Arial"/>
          <w:sz w:val="12"/>
          <w:szCs w:val="12"/>
          <w:color w:val="auto"/>
        </w:rPr>
      </w:pPr>
    </w:p>
    <w:p>
      <w:pPr>
        <w:ind w:left="340" w:right="20" w:hanging="332"/>
        <w:spacing w:after="0" w:line="22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December 31, 2012, we had $85.8 million in borrowings outstanding under our $100.0 million Credit Facility.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45" w:lineRule="exact"/>
        <w:rPr>
          <w:rFonts w:ascii="Arial" w:cs="Arial" w:eastAsia="Arial" w:hAnsi="Arial"/>
          <w:sz w:val="14"/>
          <w:szCs w:val="14"/>
          <w:color w:val="auto"/>
        </w:rPr>
      </w:pPr>
    </w:p>
    <w:p>
      <w:pPr>
        <w:ind w:left="340" w:right="60" w:hanging="332"/>
        <w:spacing w:after="0" w:line="23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780"/>
        <w:spacing w:after="0" w:line="239" w:lineRule="auto"/>
        <w:rPr>
          <w:sz w:val="20"/>
          <w:szCs w:val="20"/>
          <w:color w:val="auto"/>
        </w:rPr>
      </w:pPr>
      <w:r>
        <w:rPr>
          <w:rFonts w:ascii="Arial" w:cs="Arial" w:eastAsia="Arial" w:hAnsi="Arial"/>
          <w:sz w:val="14"/>
          <w:szCs w:val="14"/>
          <w:color w:val="auto"/>
        </w:rPr>
        <w:t>months ended December 31, 2012, annualized for a full year. See the Consolidated Statement of Operations in our Consolidated Financial Statements in this prospectus supplement and in the accompanying prospectus for more information.</w:t>
      </w:r>
    </w:p>
    <w:p>
      <w:pPr>
        <w:spacing w:after="0" w:line="44" w:lineRule="exact"/>
        <w:rPr>
          <w:sz w:val="20"/>
          <w:szCs w:val="20"/>
          <w:color w:val="auto"/>
        </w:rPr>
      </w:pPr>
    </w:p>
    <w:p>
      <w:pPr>
        <w:ind w:left="340" w:right="140" w:hanging="332"/>
        <w:spacing w:after="0" w:line="27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estimated annual expenses based on average total assets, see page 38 of the accompanying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no sales load (underwriting discounts and commissions) as explained in note 1 above and included offering expenses totaling 0.95%, (2) total net estimated annual expenses of 5.39%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$ 63</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$ 169</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$ 274</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533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 for more information.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supplement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3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the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in the future that we may file with the SEC including annual and quarterly reports on Form 10-K/Q and current reports on Form 8-K.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80"/>
          </w:cols>
          <w:pgMar w:left="240" w:top="459"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may decline, and you may lose all or part of your investment.</w:t>
      </w:r>
    </w:p>
    <w:p>
      <w:pPr>
        <w:spacing w:after="0" w:line="12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and adversely affect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including as a result of the U.S. government spending cuts that took effect March 1, 2013.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estimate that the net proceeds we will receive from the sale of 3,000,000 shares of our common stock in this offering will be approximately $41.6 million (or approximately $47.9 million if the underwriters fully exercise their overallotment option), in each case based on a public offering price of $14.00 per share, excluding the underwriting discounts and commissions of approximately $1.3 million (or approximately $1.4 million if the underwriters fully exercise their overallotment option) but including estimated offering expenses of approximately $400,000 payable by us. The Investment Adviser has agreed to pay the entire underwriting discounts and commissions in connection with this offering (including the underwriters exercise of their full overallotment option).</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December 31, 2012, we had $85.8 million in borrowings outstanding under our $100.0 million Credit Facility. Borrowings under our Credit Facility bear interest at an annual rate equal to LIBOR plus 225 basis points per annum during the revolving period, and the rate resets to LIBOR plus 425 basis points per annum for the remaining two years. At December 31, 2012, we had a weighted average interest rate on our Credit Facility at the time of 2.47%, excluding the 0.375% undrawn commitment fee. The Credit Facility is a revolving facility that matures in May 2017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in this prospectus supplement and the accompanying prospectus for more information</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table sets forth our cash and capitalization on December 31, 2012 (1) on an actual basis and (2) on an as-adjusted basis to reflect the effects of the sale of 3,000,000 shares of our common stock based on the public offering price of $14.00 per share, excluding the estimated underwriting discounts and commissions of approximately $1.3 million payable by our Investment Adviser, which is 3% of the offering price, but including estimated offering expenses of $400,000.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As of December 31, 2012</w:t>
            </w: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(unaudited)</w:t>
            </w:r>
          </w:p>
        </w:tc>
      </w:tr>
      <w:tr>
        <w:trPr>
          <w:trHeight w:val="115"/>
        </w:trPr>
        <w:tc>
          <w:tcPr>
            <w:tcW w:w="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As-adjusted for</w:t>
            </w:r>
          </w:p>
        </w:tc>
        <w:tc>
          <w:tcPr>
            <w:tcW w:w="12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060" w:type="dxa"/>
            <w:vAlign w:val="bottom"/>
            <w:gridSpan w:val="2"/>
          </w:tcPr>
          <w:p>
            <w:pPr>
              <w:jc w:val="right"/>
              <w:ind w:right="240"/>
              <w:spacing w:after="0" w:line="176" w:lineRule="exact"/>
              <w:rPr>
                <w:sz w:val="20"/>
                <w:szCs w:val="20"/>
                <w:color w:val="auto"/>
              </w:rPr>
            </w:pPr>
            <w:r>
              <w:rPr>
                <w:rFonts w:ascii="Arial" w:cs="Arial" w:eastAsia="Arial" w:hAnsi="Arial"/>
                <w:sz w:val="13"/>
                <w:szCs w:val="13"/>
                <w:b w:val="1"/>
                <w:bCs w:val="1"/>
                <w:color w:val="auto"/>
                <w:w w:val="91"/>
              </w:rPr>
              <w:t>the offering</w:t>
            </w:r>
            <w:r>
              <w:rPr>
                <w:rFonts w:ascii="Arial" w:cs="Arial" w:eastAsia="Arial" w:hAnsi="Arial"/>
                <w:sz w:val="20"/>
                <w:szCs w:val="20"/>
                <w:b w:val="1"/>
                <w:bCs w:val="1"/>
                <w:color w:val="auto"/>
                <w:w w:val="91"/>
                <w:vertAlign w:val="superscript"/>
              </w:rPr>
              <w:t>(1)</w:t>
            </w: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3,987,645</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45,587,645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186,128,979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227,728,979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(cost—$85,775,000)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85,775,000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85,775,000</w:t>
            </w:r>
          </w:p>
        </w:tc>
        <w:tc>
          <w:tcPr>
            <w:tcW w:w="120" w:type="dxa"/>
            <w:vAlign w:val="bottom"/>
            <w:shd w:val="clear" w:color="auto" w:fill="CCEEFF"/>
          </w:tcPr>
          <w:p>
            <w:pPr>
              <w:spacing w:after="0"/>
              <w:rPr>
                <w:sz w:val="18"/>
                <w:szCs w:val="18"/>
                <w:color w:val="auto"/>
              </w:rPr>
            </w:pPr>
          </w:p>
        </w:tc>
      </w:tr>
      <w:tr>
        <w:trPr>
          <w:trHeight w:val="32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6,850,667 and 9,850,667 shares, as-adjusted, are issued and outstanding, respectively. Par value is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$0.001 per share and 100,000,000 shares are authorized</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95,192,222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136,789,222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net investment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(949,667)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(949,667)</w:t>
            </w: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1,666,756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1,666,756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(102,394)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(102,394)</w:t>
            </w: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95,813,768</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137,413,768</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Total capitalization</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181,588,768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223,188,768</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540" w:right="2340" w:hanging="5532"/>
        <w:spacing w:after="0" w:line="440"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Does not include the underwriters’ overallotment option and any shares issued pursuant to our dividend reinvestment plan. 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 for our common stock, the closing sale price as a percentage of net asset value, or NAV, and monthly dividends per share since April 8, 2011 (initial public offering). On March 20, 2013, the last reported closing price of our common stock was $14.35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Premium/</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Premium/</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6"/>
              </w:rPr>
              <w:t>Closing Sales Price</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Low Sales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60" w:type="dxa"/>
            <w:vAlign w:val="bottom"/>
            <w:gridSpan w:val="2"/>
            <w:vMerge w:val="restart"/>
          </w:tcPr>
          <w:p>
            <w:pPr>
              <w:jc w:val="right"/>
              <w:ind w:right="500"/>
              <w:spacing w:after="0" w:line="263" w:lineRule="exact"/>
              <w:rPr>
                <w:sz w:val="20"/>
                <w:szCs w:val="20"/>
                <w:color w:val="auto"/>
              </w:rPr>
            </w:pPr>
            <w:r>
              <w:rPr>
                <w:rFonts w:ascii="Arial" w:cs="Arial" w:eastAsia="Arial" w:hAnsi="Arial"/>
                <w:sz w:val="27"/>
                <w:szCs w:val="27"/>
                <w:b w:val="1"/>
                <w:bCs w:val="1"/>
                <w:color w:val="auto"/>
                <w:w w:val="85"/>
                <w:vertAlign w:val="subscript"/>
              </w:rPr>
              <w:t>NAV</w:t>
            </w:r>
            <w:r>
              <w:rPr>
                <w:rFonts w:ascii="Arial" w:cs="Arial" w:eastAsia="Arial" w:hAnsi="Arial"/>
                <w:sz w:val="11"/>
                <w:szCs w:val="11"/>
                <w:b w:val="1"/>
                <w:bCs w:val="1"/>
                <w:color w:val="auto"/>
                <w:w w:val="85"/>
              </w:rPr>
              <w:t>(1)</w:t>
            </w:r>
          </w:p>
        </w:tc>
        <w:tc>
          <w:tcPr>
            <w:tcW w:w="5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gridSpan w:val="2"/>
          </w:tcPr>
          <w:p>
            <w:pPr>
              <w:jc w:val="center"/>
              <w:ind w:right="600"/>
              <w:spacing w:after="0" w:line="102" w:lineRule="exact"/>
              <w:rPr>
                <w:sz w:val="20"/>
                <w:szCs w:val="20"/>
                <w:color w:val="auto"/>
              </w:rPr>
            </w:pPr>
            <w:r>
              <w:rPr>
                <w:rFonts w:ascii="Arial" w:cs="Arial" w:eastAsia="Arial" w:hAnsi="Arial"/>
                <w:sz w:val="11"/>
                <w:szCs w:val="11"/>
                <w:b w:val="1"/>
                <w:bCs w:val="1"/>
                <w:color w:val="auto"/>
              </w:rPr>
              <w:t>Price to</w:t>
            </w:r>
          </w:p>
        </w:tc>
        <w:tc>
          <w:tcPr>
            <w:tcW w:w="1120" w:type="dxa"/>
            <w:vAlign w:val="bottom"/>
            <w:gridSpan w:val="2"/>
          </w:tcPr>
          <w:p>
            <w:pPr>
              <w:jc w:val="center"/>
              <w:ind w:right="400"/>
              <w:spacing w:after="0" w:line="102" w:lineRule="exact"/>
              <w:rPr>
                <w:sz w:val="20"/>
                <w:szCs w:val="20"/>
                <w:color w:val="auto"/>
              </w:rPr>
            </w:pPr>
            <w:r>
              <w:rPr>
                <w:rFonts w:ascii="Arial" w:cs="Arial" w:eastAsia="Arial" w:hAnsi="Arial"/>
                <w:sz w:val="11"/>
                <w:szCs w:val="11"/>
                <w:b w:val="1"/>
                <w:bCs w:val="1"/>
                <w:color w:val="auto"/>
              </w:rPr>
              <w:t>Price to</w:t>
            </w:r>
          </w:p>
        </w:tc>
        <w:tc>
          <w:tcPr>
            <w:tcW w:w="200" w:type="dxa"/>
            <w:vAlign w:val="bottom"/>
          </w:tcPr>
          <w:p>
            <w:pPr>
              <w:spacing w:after="0"/>
              <w:rPr>
                <w:sz w:val="8"/>
                <w:szCs w:val="8"/>
                <w:color w:val="auto"/>
              </w:rPr>
            </w:pPr>
          </w:p>
        </w:tc>
        <w:tc>
          <w:tcPr>
            <w:tcW w:w="76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Dividends</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47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jc w:val="center"/>
              <w:ind w:right="5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1120" w:type="dxa"/>
            <w:vAlign w:val="bottom"/>
            <w:gridSpan w:val="2"/>
          </w:tcPr>
          <w:p>
            <w:pPr>
              <w:jc w:val="center"/>
              <w:ind w:right="3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2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90"/>
        </w:trPr>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Second quarter (through March 20, 2013)</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$14.43</w:t>
            </w:r>
          </w:p>
        </w:tc>
        <w:tc>
          <w:tcPr>
            <w:tcW w:w="24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$12.94</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center"/>
              <w:ind w:left="163"/>
              <w:spacing w:after="0"/>
              <w:rPr>
                <w:sz w:val="20"/>
                <w:szCs w:val="20"/>
                <w:color w:val="auto"/>
              </w:rPr>
            </w:pPr>
            <w:r>
              <w:rPr>
                <w:rFonts w:ascii="Arial" w:cs="Arial" w:eastAsia="Arial" w:hAnsi="Arial"/>
                <w:sz w:val="18"/>
                <w:szCs w:val="18"/>
                <w:color w:val="auto"/>
                <w:w w:val="95"/>
              </w:rPr>
              <w:t>N/A%</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$0.2550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12.35</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center"/>
              <w:ind w:left="143"/>
              <w:spacing w:after="0"/>
              <w:rPr>
                <w:sz w:val="20"/>
                <w:szCs w:val="20"/>
                <w:color w:val="auto"/>
              </w:rPr>
            </w:pPr>
            <w:r>
              <w:rPr>
                <w:rFonts w:ascii="Arial" w:cs="Arial" w:eastAsia="Arial" w:hAnsi="Arial"/>
                <w:sz w:val="18"/>
                <w:szCs w:val="18"/>
                <w:color w:val="auto"/>
                <w:w w:val="93"/>
              </w:rPr>
              <w:t>(12)</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0.2475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11.85</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center"/>
              <w:ind w:left="143"/>
              <w:spacing w:after="0"/>
              <w:rPr>
                <w:sz w:val="20"/>
                <w:szCs w:val="20"/>
                <w:color w:val="auto"/>
              </w:rPr>
            </w:pPr>
            <w:r>
              <w:rPr>
                <w:rFonts w:ascii="Arial" w:cs="Arial" w:eastAsia="Arial" w:hAnsi="Arial"/>
                <w:sz w:val="18"/>
                <w:szCs w:val="18"/>
                <w:color w:val="auto"/>
                <w:w w:val="93"/>
              </w:rPr>
              <w:t>(15)</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0.2400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13.94</w:t>
            </w:r>
          </w:p>
        </w:tc>
        <w:tc>
          <w:tcPr>
            <w:tcW w:w="4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11.93</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11.46</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center"/>
              <w:ind w:left="143"/>
              <w:spacing w:after="0"/>
              <w:rPr>
                <w:sz w:val="20"/>
                <w:szCs w:val="20"/>
                <w:color w:val="auto"/>
              </w:rPr>
            </w:pPr>
            <w:r>
              <w:rPr>
                <w:rFonts w:ascii="Arial" w:cs="Arial" w:eastAsia="Arial" w:hAnsi="Arial"/>
                <w:sz w:val="18"/>
                <w:szCs w:val="18"/>
                <w:color w:val="auto"/>
                <w:w w:val="93"/>
              </w:rPr>
              <w:t>(18)</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0.2350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10.52</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center"/>
              <w:ind w:left="143"/>
              <w:spacing w:after="0"/>
              <w:rPr>
                <w:sz w:val="20"/>
                <w:szCs w:val="20"/>
                <w:color w:val="auto"/>
              </w:rPr>
            </w:pPr>
            <w:r>
              <w:rPr>
                <w:rFonts w:ascii="Arial" w:cs="Arial" w:eastAsia="Arial" w:hAnsi="Arial"/>
                <w:sz w:val="18"/>
                <w:szCs w:val="18"/>
                <w:color w:val="auto"/>
                <w:w w:val="93"/>
              </w:rPr>
              <w:t>(25)</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0.2250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13.68</w:t>
            </w:r>
          </w:p>
        </w:tc>
        <w:tc>
          <w:tcPr>
            <w:tcW w:w="4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11.03</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10.01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1120" w:type="dxa"/>
            <w:vAlign w:val="bottom"/>
            <w:gridSpan w:val="2"/>
          </w:tcPr>
          <w:p>
            <w:pPr>
              <w:jc w:val="center"/>
              <w:ind w:left="143"/>
              <w:spacing w:after="0"/>
              <w:rPr>
                <w:sz w:val="20"/>
                <w:szCs w:val="20"/>
                <w:color w:val="auto"/>
              </w:rPr>
            </w:pPr>
            <w:r>
              <w:rPr>
                <w:rFonts w:ascii="Arial" w:cs="Arial" w:eastAsia="Arial" w:hAnsi="Arial"/>
                <w:sz w:val="18"/>
                <w:szCs w:val="18"/>
                <w:color w:val="auto"/>
                <w:w w:val="93"/>
              </w:rPr>
              <w:t>(27)</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13.44</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12.85</w:t>
            </w:r>
          </w:p>
        </w:tc>
        <w:tc>
          <w:tcPr>
            <w:tcW w:w="24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10.34</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center"/>
              <w:ind w:left="143"/>
              <w:spacing w:after="0"/>
              <w:rPr>
                <w:sz w:val="20"/>
                <w:szCs w:val="20"/>
                <w:color w:val="auto"/>
              </w:rPr>
            </w:pPr>
            <w:r>
              <w:rPr>
                <w:rFonts w:ascii="Arial" w:cs="Arial" w:eastAsia="Arial" w:hAnsi="Arial"/>
                <w:sz w:val="18"/>
                <w:szCs w:val="18"/>
                <w:color w:val="auto"/>
                <w:w w:val="93"/>
              </w:rPr>
              <w:t>(23)</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0.2000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12.27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center"/>
              <w:ind w:left="143"/>
              <w:spacing w:after="0"/>
              <w:rPr>
                <w:sz w:val="20"/>
                <w:szCs w:val="20"/>
                <w:color w:val="auto"/>
              </w:rPr>
            </w:pPr>
            <w:r>
              <w:rPr>
                <w:rFonts w:ascii="Arial" w:cs="Arial" w:eastAsia="Arial" w:hAnsi="Arial"/>
                <w:sz w:val="18"/>
                <w:szCs w:val="18"/>
                <w:color w:val="auto"/>
                <w:w w:val="93"/>
              </w:rPr>
              <w:t>(13)</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a dividend of $0.0875 per share payable April 1, 2013 to shareholders of record March 22, 2013. Shares purchased in this offering will not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entitled to the dividends to be paid April 1, 2013.</w:t>
      </w:r>
    </w:p>
    <w:p>
      <w:pPr>
        <w:spacing w:after="0" w:line="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April 8, 2011 (initial public offering) to June 30, 2011.</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below our NAV. Our shares traded on the NASDAQ Global Select Market at $12.70 and $12.67 as of December 31, 2012 and September 30, 2012, respectively. Our NAV was $13.99 and $13.98 per share, as of December 31, 2012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 this prospectus supplement and in the accompanying prospectus. Interim results as of and for the three months ended December 31, 2012, are not necessarily indicative of the results that may be expected for the year ending September 30, 2013. The unaudited selected financial data for the three months ended December 31, 2012 and 2011, should be read in conjunction with our consolidated financial statements and related notes thereto and “Management’s Discussion and Analysis of Financial Condition and Results of Operations” in this prospectus supplement.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40" w:type="dxa"/>
            <w:vAlign w:val="bottom"/>
            <w:gridSpan w:val="6"/>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4"/>
          </w:tcPr>
          <w:p>
            <w:pPr>
              <w:jc w:val="center"/>
              <w:ind w:left="511"/>
              <w:spacing w:after="0"/>
              <w:rPr>
                <w:sz w:val="20"/>
                <w:szCs w:val="20"/>
                <w:color w:val="auto"/>
              </w:rPr>
            </w:pPr>
            <w:r>
              <w:rPr>
                <w:rFonts w:ascii="Arial" w:cs="Arial" w:eastAsia="Arial" w:hAnsi="Arial"/>
                <w:sz w:val="14"/>
                <w:szCs w:val="14"/>
                <w:b w:val="1"/>
                <w:bCs w:val="1"/>
                <w:color w:val="auto"/>
                <w:w w:val="87"/>
              </w:rPr>
              <w:t>December 31,</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September 30,</w:t>
            </w: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5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8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3,963</w:t>
            </w:r>
          </w:p>
        </w:tc>
        <w:tc>
          <w:tcPr>
            <w:tcW w:w="4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2,467</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w w:val="99"/>
              </w:rPr>
              <w:t>$   12,099</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expenses after Credit Facility debt issuance and excise taxes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1,092</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5,789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2,626</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2,059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1,375</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6,310</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1,730</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5,651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1,765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3,105</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11,961</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asset value (at period end)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13.68</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0.20</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0.92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0.25</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 from operations</w:t>
            </w:r>
            <w:r>
              <w:rPr>
                <w:rFonts w:ascii="Arial" w:cs="Arial" w:eastAsia="Arial" w:hAnsi="Arial"/>
                <w:sz w:val="11"/>
                <w:szCs w:val="11"/>
                <w:color w:val="auto"/>
                <w:w w:val="99"/>
              </w:rPr>
              <w:t>(2)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0.45</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0.21</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Assets and Liabilities</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data (at period end):</w:t>
            </w: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assets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186,129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142,841</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178,367</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180,796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6"/>
              </w:rPr>
              <w:t>129,328</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171,834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Credit Facility payable, at fair value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85,775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34,749</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75,123</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12,927</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3,358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net asset value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95,814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93,739</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95,744</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92,072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(0.45)%</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45</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(1)</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8.3%</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spacing w:after="0" w:line="1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Unaudited.</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start-up and organizational costs.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2,059</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1,765</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13.99</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12.70</w:t>
            </w:r>
          </w:p>
        </w:tc>
        <w:tc>
          <w:tcPr>
            <w:tcW w:w="80" w:type="dxa"/>
            <w:vAlign w:val="bottom"/>
            <w:shd w:val="clear" w:color="auto" w:fill="CCEEFF"/>
          </w:tcPr>
          <w:p>
            <w:pPr>
              <w:spacing w:after="0"/>
              <w:rPr>
                <w:sz w:val="18"/>
                <w:szCs w:val="18"/>
                <w:color w:val="auto"/>
              </w:rPr>
            </w:pPr>
          </w:p>
        </w:tc>
      </w:tr>
      <w:tr>
        <w:trPr>
          <w:trHeight w:val="365"/>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Q4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Q3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3,201</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2,944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2,467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1,846</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1,545</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1,375</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2,980</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1,730</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3,944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4,525</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3,105</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0.66</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13.94</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14.12</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13.68</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11.75</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10.30</w:t>
            </w:r>
          </w:p>
        </w:tc>
        <w:tc>
          <w:tcPr>
            <w:tcW w:w="80" w:type="dxa"/>
            <w:vAlign w:val="bottom"/>
            <w:shd w:val="clear" w:color="auto" w:fill="CCEEFF"/>
          </w:tcPr>
          <w:p>
            <w:pPr>
              <w:spacing w:after="0"/>
              <w:rPr>
                <w:sz w:val="18"/>
                <w:szCs w:val="18"/>
                <w:color w:val="auto"/>
              </w:rPr>
            </w:pPr>
          </w:p>
        </w:tc>
      </w:tr>
      <w:tr>
        <w:trPr>
          <w:trHeight w:val="365"/>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Q4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9"/>
              </w:rPr>
              <w:t>Q3*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2,048</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(2,809)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 per common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540" w:right="4960" w:hanging="5532"/>
        <w:spacing w:after="0" w:line="576" w:lineRule="auto"/>
        <w:tabs>
          <w:tab w:leader="none" w:pos="446"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 the period March 4, 2011 (commencement of operations) to June 30, 2011. S-17</w:t>
      </w:r>
    </w:p>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investments bearing a variable-rate of interest which may, from time to time, include variable 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the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elected to be treated, and intend to qualify annually as a RIC under the Code.</w:t>
      </w:r>
    </w:p>
    <w:p>
      <w:pPr>
        <w:spacing w:after="0" w:line="11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over 200 companies with over 100 different financial sponsors through its managed funds.</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or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revenue in the form of interest income on the debt securities we hold. Capital gains, if any, are recorded on a trade date basis upon exiting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The principal amount of the debt securities and any accrued but unpaid interest generally becomes due at the maturity date. In addition, we may generate revenue in the form of original issue discount, or OID, commitment, origination, structuring or diligence fees, fees for providing managerial assistance and possibly consulting fees.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commitment fees on the unfunded debt under our Credit Facility.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2012, our portfolio totaled $180.8 million and consisted of $157.2 million of senior secured loans, $10.5 million of second lien secured debt and $13.1 million of subordinated debt, preferred and common equity investments. Our debt portfolio consisted of 87% variable-rate investments (including 81% with a LIBOR or prime floor) and 13% fixed-rate investments. Overall, the portfolio had unrealized depreciation of $0.1 million. Our overall portfolio consisted of 64 companies with an average investment size of $2.8 million, a weighted average yield on debt investments of 8.9%, and was invested 87% in senior secured loans, 6% in second lien secured debt and 7% in subordinated debt, preferred and common equity investments.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a weighted average yield on debt investments of 8.6%, and was invested 87% in senior secured loans, 7% in second lien secured debt and 6% in subordinated debt, preferred and common equity investments.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September 30, 2011, our portfolio totaled $110.7 million and consisted of $91.4 million of senior secured loans, $12.2 million of second lien secured debt, $7.1 million of subordinated debt, preferred and common equity investments. Our debt portfolio consisted of 84% variable-rate investments (including 78% with a LIBOR or prime floor) and 16% fixed-rate investments. Overall, the portfolio had net unrealized depreciation of $4.1 million. Our overall portfolio consisted of 38 companies with an average investment size of $2.9 million, a weighted average yield on debt investments of 8.0%, and was invested 83% in senior secured loans, 11% in second lien secured debt, 6% in subordinated debt, preferred and common equity investments.</w:t>
      </w:r>
    </w:p>
    <w:p>
      <w:pPr>
        <w:spacing w:after="0" w:line="11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For the three months ended December 31, 2012, we invested $38.9 million in 12 new portfolio companies and two existing portfolio companies with a weighted average yield on debt investments of 9.6%. Sales and repayments of investments for the three months ended December 31, 2012 totaled $30.3 million.</w:t>
      </w:r>
    </w:p>
    <w:p>
      <w:pPr>
        <w:spacing w:after="0" w:line="6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For the three months ended December 31, 2011, we invested $39.3 million in 13 new portfolio companies and two existing portfolio companies with a weighted average yield on debt investments of 9.4%. Sales and repayments of investments for the three months ended December 31, 2011 totaled $22.3 million.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from our valuations and the differences may be material.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2012 and 2011, the Credit Facility had a net change in unrealized (appreciation) depreciation of $(0.4) million and $0.4 million, respectively. As of December 31, 2012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and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net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Investment income for the three months ended December 31, 2012 was $4.0 million and was attributable to $3.3 million from senior secured loans, $0.3 million from second lien secured debt investments and $0.4 million from subordinated debt investments. This compares to investment income for the three months ended December 31, 2011, which was $2.5 million, and was attributable to $2.0 million from senior secured loan investments, $0.3 million from second lien secured debt investments and $0.2 million from subordinated debt investments. The increase in investment income is due to a larger portfolio which was funded through our Credit Facility, and rotation out of lower yielding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Expenses for the three months ended December 31, 2012 totaled $1.9 million. Base management fees for the same period totaled $0.5 million, performance-based incentive fees totaled $0.4 million, Credit Facility expenses totaled $0.5 million, general and administrative expenses totaled $0.5 million and excise taxes were less than $0.1 million. This compares to expenses for the three months ended December 31, 2011, which totaled $1.1 million. Base management fees for the same period totaled $0.3 million, performance-based incentive fees totaled zero, Credit Facility expenses totaled $0.3 million and general and administrative expenses totaled $0.5 million. The increase in management fees, incentive fees and Credit Facility expenses is due to the growth of our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investment income totaled $2.1 million, or $0.30 per share, for the three months ended December 31, 2012, and $1.4 million, or $0.20 per share, for the three months ended December 31, 2011. The increase in net investment income is due to a larger portfolio and higher yielding assets offset by higher Credit Facility expenses and management and incentive fees.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Sales and repayments of investments for the three months ended December 31, 2012 totaled $30.3 million and realized gains totaled $0.4 million. Sales and repayments of long-term investments totaled $22.3 million and realized gains totaled $0.3 million for the three months ended December 31, 2011. The increase in realized gains was driven by a higher volume of repayments than the comparable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three months ended December 31, 2012 and 2011, we reported unrealized (depreciation) appreciation on investments of $(0.4) million and $1.1 million, respectively. As of December 31, 2012 and September 30, 2012, net unrealized (depreciation) appreciation on investments totaled $(0.1) million and $0.3 million, respectively. The change in the three month period compared to last year is the result of the reversal of unrealized gains upon exiting our investments and changes in market values.</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For the three months ended December 31, 2012 and 2011, our long-term Credit Facility had a change in unrealized (appreciation) depreciation of $(0.4) million and $0.4 million, respectively. As of December 31, 2012 and September 30, 2012, net unrealized (appreciation) depreciation on our long-term Credit Facility totaled zero and $0.4 million, respectively. The change in the three month period compared to last year was due to changes in the leveraged finance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$1.8 million, or $0.26 per share, for the three months ended December 31, 2012. This compares to a net increase in net assets resulting from operations which totaled $3.1 million, or $0.45 per share, for the three months ended December 31, 2011. The decrease in net assets resulting from operations compared to last year is due to changes in fair value of our investments due to changes in the leveraged finance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Set forth below are the results of operations for the year ended September 30, 2012 and the period from March 4, 2011 (commencement of operations) to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year ended September 30, 2012 and for the period March 4, 2011 (commencement of operations) to September 30, 2011, our long-term Credit Facility had a change in unrealized depreciation of $0.4 million and zero, respectively. As of September 30, 2012 and September 30, 2011, net unrealized depreciation on our long-term Credit Facility totaled $0.4 million and zero, respectively. The net change in unrealized appreciation on the Credit Facility over the prior year was due to amending the terms and changes in the leveraged finance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or Decrease in Net Assets Resulting from Operations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Net increase in net assets resulting from operations totaled $12.0 million, or $1.75 per share,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$3.5 million, or $0.51 per share for the period March 4, 2011 (commencement of operations) to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Funding I’s amended and restated Credit Facility with the Lender matures in May 2017 and its revolving period ends in May 2015. The Credit Facility allows Funding I to borrow $100 million and contains an accordian feature whereby the Credit Facility can be expanded to $600 million. As of December 31, 2012 and September 30, 2012, Funding I had $85.8 million and $75.5 million of outstanding borrowings under the Credit Facility, respectively, and carried an interest rate of 2.47%, in each case excluding the 0.375% undrawn commitment fee, and had $10.0 million and $20.6 million available, respectively, subject to satisfaction of certain conditions and the regulatory restrictions that the 1940 Act imposes on us as a BDC. As of September 30, 2011, Funding I had $24.7 million of outstanding borrowings under the Credit Facility, and carried an interest rate of 2.53%, exclusive of the 0.50% undrawn commitment fee.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Credit Facility’s first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 For a complete list of such covenants see the amended and restated revolving credit and security agreement included as an exhibit to Form 10-Q filed on August 9, 2012. As of December 31, 2012, we were in compliance with the covenants relating to our Credit Facility.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fees owed with respect to such services are to be paid to the Company so long as the Investment Adviser remains the collateral manager.</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2012, we had cash equivalents of $4.0 million available for investing and general corporate purposes. We believe our liquidity and capital resources are sufficient to take advantage of market opportunities.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September 30, 2012 and 2011, we had cash equivalents of $3.8 million and $7.0 million, respectively,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Our operating activities used cash of $8.5 million for the three months ended December 31, 2012, and our financing activities provided net cash proceeds of $8.6 million for the same period. Our operating activities used cash primarily for net investing that was financed by net draws under the Credit Facility.</w:t>
      </w:r>
    </w:p>
    <w:p>
      <w:pPr>
        <w:spacing w:after="0" w:line="6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operating activities used cash of $11.3 million for the three months ended December 31, 2011, and our financing activities provided net cash proceeds of $9.0 million for the same period. Our operating activities used cash primarily for net investing that was financed by net draws under the Credit Facility.</w:t>
      </w:r>
    </w:p>
    <w:p>
      <w:pPr>
        <w:spacing w:after="0" w:line="6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operating activities used cash of $47.8 million for the year ended September 30, 2012, and our financing activities provided net cash proceeds of $44.7 million for the same period. Our operating activities used cash primarily for net investing that was provided from net draws under the Credit Facility.</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2012, including borrowings under our Credit Facility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left="40"/>
              <w:spacing w:after="0"/>
              <w:rPr>
                <w:sz w:val="20"/>
                <w:szCs w:val="20"/>
                <w:color w:val="auto"/>
              </w:rPr>
            </w:pPr>
            <w:r>
              <w:rPr>
                <w:rFonts w:ascii="Arial" w:cs="Arial" w:eastAsia="Arial" w:hAnsi="Arial"/>
                <w:sz w:val="14"/>
                <w:szCs w:val="14"/>
                <w:b w:val="1"/>
                <w:bCs w:val="1"/>
                <w:color w:val="auto"/>
                <w:w w:val="85"/>
              </w:rPr>
              <w:t>Payments due by period (millions)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8"/>
              </w:rPr>
              <w:t>1-3</w:t>
            </w:r>
          </w:p>
        </w:tc>
        <w:tc>
          <w:tcPr>
            <w:tcW w:w="820" w:type="dxa"/>
            <w:vAlign w:val="bottom"/>
            <w:gridSpan w:val="2"/>
          </w:tcPr>
          <w:p>
            <w:pPr>
              <w:jc w:val="center"/>
              <w:ind w:left="322"/>
              <w:spacing w:after="0" w:line="129" w:lineRule="exact"/>
              <w:rPr>
                <w:sz w:val="20"/>
                <w:szCs w:val="20"/>
                <w:color w:val="auto"/>
              </w:rPr>
            </w:pPr>
            <w:r>
              <w:rPr>
                <w:rFonts w:ascii="Arial" w:cs="Arial" w:eastAsia="Arial" w:hAnsi="Arial"/>
                <w:sz w:val="14"/>
                <w:szCs w:val="14"/>
                <w:b w:val="1"/>
                <w:bCs w:val="1"/>
                <w:color w:val="auto"/>
                <w:w w:val="88"/>
              </w:rPr>
              <w:t>3-5</w:t>
            </w:r>
          </w:p>
        </w:tc>
        <w:tc>
          <w:tcPr>
            <w:tcW w:w="4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1 year</w:t>
            </w:r>
          </w:p>
        </w:tc>
        <w:tc>
          <w:tcPr>
            <w:tcW w:w="4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years</w:t>
            </w:r>
          </w:p>
        </w:tc>
        <w:tc>
          <w:tcPr>
            <w:tcW w:w="42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2"/>
              </w:rPr>
              <w:t>years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$85.8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$85.8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Accrued sales load charges</w:t>
            </w:r>
          </w:p>
        </w:tc>
        <w:tc>
          <w:tcPr>
            <w:tcW w:w="26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left="342"/>
              <w:spacing w:after="0"/>
              <w:rPr>
                <w:sz w:val="20"/>
                <w:szCs w:val="20"/>
                <w:color w:val="auto"/>
              </w:rPr>
            </w:pPr>
            <w:r>
              <w:rPr>
                <w:rFonts w:ascii="Arial" w:cs="Arial" w:eastAsia="Arial" w:hAnsi="Arial"/>
                <w:sz w:val="18"/>
                <w:szCs w:val="18"/>
                <w:color w:val="auto"/>
                <w:w w:val="88"/>
              </w:rPr>
              <w:t>$85.8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were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through December 31, 2012, we met the conditions for repayment of the sales load.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terms agreed among us, the Investment Adviser and underwriters of our initial public offering, the Investment Adviser paid 2% of the underwriters’ sales load, or approximately $2.1 million in the aggregate, on our behalf.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to the Investment Adviser at the end of the quarter ended December 31, 2012 and repaid approximately $2.1 million to the Investment Adviser. The Investment Adviser announced that it intends to purchase shares of our common stock in the secondary market over the applicable six-month purchase period in compliance with applicable law and SEC guidance. The Investment Adviser has since completed the required purchase of shares of our common stock in the secondary market in compliance with applicable law and SEC guidance. Certain investment professionals of the Investment Adviser purchased over $1 million of shares of our stock in transactions completed on or prior to February 20, 2013.</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February 5, 2013, our stockholders elected four directors, including Messrs. Marshall Brozost and Samuel L. Katz, each of whom will serve as Class I directors until the 2015 annual meeting, or until his successor is duly elected and qualifies or until his earlier resignation, removal from office, death or incapacity, and Messrs. Adam K. Bernstein and Jeffrey Flug, each of whom will serve as Class II directors until the 2016 annual meeting, or until his successor is duly elected and qualifies or until his earlier resignation, removal from office, death or incapacity. Also on that date, our investment management agreement, or the Investment Management Agreement, and our administration agreement, or the Administration Agreement, were reapproved by our board of directors, including a majority of our directors who are not interested persons of PennantPark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Biographical Information of Independent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2012, Mr. Marshall Brozost became a partner at Schulte Roth &amp; Zabel LLP, where he practices in the real estate and private equity groups.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three months ended December 31, 2012 and 2011, we declared to stockholders distributions of approximately $0.25 and $0.21 per share, respectively, for total distributions of $1.7 million and $1.4 million, respectively. 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intend to continue to distribute monthly distributions to our stockholders. Our monthly distributions, if any, are determined by our board of directors quarterly.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financial market risks, including changes in interest rates. As of December 31, 2012, our debt portfolio consisted of 87% variable-rate investments (including 81% with a LIBOR or prime floor) and 13% fixed-rate investments. As of September 30, 2012, our debt portfolio consisted of 85% variable-rate investments (including 81% with a LIBOR or prime floor) and 15%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Assuming that the most recent statement of assets and liabilities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supplement, we did not engage in interest rate hedging activities.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Information about our senior securities is shown in the following table as of December 31, 2012 has been derived from our unaudited Consolidated Financial Statements. Information about our senior securities is shown in the following table as of September 30, 2012 and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in this prospectus supplement and in the accompanying prospectus for more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980" w:type="dxa"/>
            <w:vAlign w:val="bottom"/>
            <w:vMerge w:val="restart"/>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w:t>
            </w: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 Coverage</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0" w:type="dxa"/>
            <w:vAlign w:val="bottom"/>
          </w:tcPr>
          <w:p>
            <w:pPr>
              <w:spacing w:after="0"/>
              <w:rPr>
                <w:sz w:val="1"/>
                <w:szCs w:val="1"/>
                <w:color w:val="auto"/>
              </w:rPr>
            </w:pPr>
          </w:p>
        </w:tc>
      </w:tr>
      <w:tr>
        <w:trPr>
          <w:trHeight w:val="155"/>
        </w:trPr>
        <w:tc>
          <w:tcPr>
            <w:tcW w:w="940" w:type="dxa"/>
            <w:vAlign w:val="bottom"/>
            <w:tcBorders>
              <w:bottom w:val="single" w:sz="8" w:color="auto"/>
            </w:tcBorders>
            <w:vMerge w:val="continue"/>
          </w:tcPr>
          <w:p>
            <w:pPr>
              <w:spacing w:after="0"/>
              <w:rPr>
                <w:sz w:val="13"/>
                <w:szCs w:val="13"/>
                <w:color w:val="auto"/>
              </w:rPr>
            </w:pPr>
          </w:p>
        </w:tc>
        <w:tc>
          <w:tcPr>
            <w:tcW w:w="5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(1)</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1080"/>
              <w:spacing w:after="0" w:line="135" w:lineRule="exact"/>
              <w:rPr>
                <w:sz w:val="20"/>
                <w:szCs w:val="20"/>
                <w:color w:val="auto"/>
              </w:rPr>
            </w:pPr>
            <w:r>
              <w:rPr>
                <w:rFonts w:ascii="Arial" w:cs="Arial" w:eastAsia="Arial" w:hAnsi="Arial"/>
                <w:sz w:val="10"/>
                <w:szCs w:val="10"/>
                <w:b w:val="1"/>
                <w:bCs w:val="1"/>
                <w:color w:val="auto"/>
              </w:rPr>
              <w:t xml:space="preserve">per Unit </w:t>
            </w:r>
            <w:r>
              <w:rPr>
                <w:rFonts w:ascii="Arial" w:cs="Arial" w:eastAsia="Arial" w:hAnsi="Arial"/>
                <w:sz w:val="15"/>
                <w:szCs w:val="15"/>
                <w:b w:val="1"/>
                <w:bCs w:val="1"/>
                <w:color w:val="auto"/>
                <w:vertAlign w:val="superscript"/>
              </w:rPr>
              <w:t>(2)</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0"/>
                <w:szCs w:val="10"/>
                <w:b w:val="1"/>
                <w:bCs w:val="1"/>
                <w:color w:val="auto"/>
              </w:rPr>
              <w:t xml:space="preserve">Per Unit </w:t>
            </w:r>
            <w:r>
              <w:rPr>
                <w:rFonts w:ascii="Arial" w:cs="Arial" w:eastAsia="Arial" w:hAnsi="Arial"/>
                <w:sz w:val="15"/>
                <w:szCs w:val="15"/>
                <w:b w:val="1"/>
                <w:bCs w:val="1"/>
                <w:color w:val="auto"/>
                <w:vertAlign w:val="superscript"/>
              </w:rPr>
              <w:t>(4)</w:t>
            </w:r>
          </w:p>
        </w:tc>
        <w:tc>
          <w:tcPr>
            <w:tcW w:w="0" w:type="dxa"/>
            <w:vAlign w:val="bottom"/>
          </w:tcPr>
          <w:p>
            <w:pPr>
              <w:spacing w:after="0"/>
              <w:rPr>
                <w:sz w:val="1"/>
                <w:szCs w:val="1"/>
                <w:color w:val="auto"/>
              </w:rPr>
            </w:pPr>
          </w:p>
        </w:tc>
      </w:tr>
      <w:tr>
        <w:trPr>
          <w:trHeight w:val="190"/>
        </w:trPr>
        <w:tc>
          <w:tcPr>
            <w:tcW w:w="6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Fiscal 2013 (as of December 31, 2012)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85,775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2,117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75,500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2,268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24,650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4,735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 This information is unaudited.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and is unaudited.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MATERIAL U.S. FEDERAL INCOME TAX CONSIDERATIONS</w:t>
      </w:r>
    </w:p>
    <w:p>
      <w:pPr>
        <w:spacing w:after="0" w:line="17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described more fully in the accompanying prospectus, we intend to qualify annually as a RIC under Subchapter M of the Code and the applicable Treasury regulations. The following discussion, which supplements and updates the discussion under the heading “Material U.S. Federal Income Tax Considerations” in the accompanying prospectus, is a summary of certain additional material U.S. federal income tax considerations.</w:t>
      </w:r>
    </w:p>
    <w:p>
      <w:pPr>
        <w:spacing w:after="0" w:line="107"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Congress recently enacted, and the President recently signed, the American Taxpayer Relief Act of 2012, or ATRA. Among other things, ATRA provided for the permanent extension of the 2012 ordinary and long-term capital gains tax rates for individuals with taxable income at or below certain thresholds, which are indexed for inflation ($400,000 in the case of unmarried individuals and $450,000 in the case of married couples filing jointly). However, because ATRA did not extend the 2012 tax rates for all taxpayers, for taxable years beginning after December 31, 2012, non-corporate taxpayers will be subject to a maximum rate of tax on ordinary income of 39.6% and a maximum rate of tax on long-term capital gains of 20%.</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ATRA also provided for a permanent extension of the taxation of qualified dividends received by non-corporate taxpayers at the same maximum rates applicable to long-term capital gains. Accordingly, distributions of our investment company taxable income that are reported by us as being derived from “qualified dividend income” will be taxed in the hands of non-corporate U.S. stockholders at the rates applicable to long-term capital gain, provided that holding period and other requirements are met by both the stockholders and us. As discussed in the accompanying prospectus, dividends distributed by us will generally not be attributable to qualified dividend income.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in the case of non-U.S. stockholders, ATRA provided for a one-year extension (as well as the retroactive application to the beginning of 2012) of the special exemption from withholding for “interest-related dividends” and “short-term capital gain dividends.” Accordingly, for our taxable years beginning prior to January 1, 2014, properly designated dividends received by a non-U.S. stockholder generally are exempt from U.S. federal withholding tax when they (1) are paid in respect of our ‘‘qualified net interest income’’ (generally, our U.S. source interest income, other than certain contingent interest and interest from obligations of a corporation or partnership in which we are at least a 10% stockholder, reduced by expenses that are allocable to such income), or (2) were paid in connection with our ‘‘qualified short-term capital gains’’ (generally, the excess of our net short-term capital gain over our long-term capital loss for such taxable year). There can be no assurance that this provision will be further extended and, depending on the circumstances, we may designate all, some or none of our potentially eligible dividends as such qualified net interest income or as qualified short-term capital gains, or treat such dividends, in whole or in part, as ineligible for this exemption from withholding. Additionally, a portion of our distributions (e.g., interest from non-U.S. sources or any foreign currency gains) would be ineligible for this potential exemption from withholding. In order to qualify for this exemption from withholding, a non-U.S. stockholder must comply with applicable certification requirements relating to its non-U.S. status (including, in general, furnishing an IRS Form W-8BEN or an acceptable substitute or successor form). In the case of shares held through an intermediary, the intermediary could withhold even if we designate the payment as qualified net interest income or qualified short-term capital gain. Non-U.S. stockholders should contact their intermediaries with respect to the application of these rules to their accounts.</w:t>
      </w:r>
    </w:p>
    <w:p>
      <w:pPr>
        <w:spacing w:after="0" w:line="3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in shares by a non-U.S. stockholder may also be subject to U.S. federal estate tax. Non-U.S. stockholders should consult their own tax advisors with respect to the U.S. federal income tax, U.S. federal estate tax, withholding tax, and state, local and foreign tax consequences of acquiring, owning or disposing of our common stock.</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Tax matters are very complicated and the tax consequences to an investor of an investment in our shares will depend on the facts of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J.P. Morgan Securities LLC and Keefe, Bruyette &amp; Woods,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5"/>
              </w:rPr>
              <w:t>Underwriter Names</w:t>
            </w:r>
          </w:p>
        </w:tc>
        <w:tc>
          <w:tcPr>
            <w:tcW w:w="8300" w:type="dxa"/>
            <w:vAlign w:val="bottom"/>
            <w:vMerge w:val="restart"/>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8300" w:type="dxa"/>
            <w:vAlign w:val="bottom"/>
            <w:vMerge w:val="continue"/>
          </w:tcPr>
          <w:p>
            <w:pPr>
              <w:spacing w:after="0"/>
              <w:rPr>
                <w:sz w:val="14"/>
                <w:szCs w:val="14"/>
                <w:color w:val="auto"/>
              </w:rPr>
            </w:pPr>
          </w:p>
        </w:tc>
        <w:tc>
          <w:tcPr>
            <w:tcW w:w="96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3"/>
        </w:trPr>
        <w:tc>
          <w:tcPr>
            <w:tcW w:w="9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1,290,000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on the cover page of this prospectus supplement and to dealers at that price less a concession not in excess of $0.25 per share. After the public offering, the public offering price, concession and discount may be changed.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450,000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Without</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With</w:t>
            </w:r>
          </w:p>
        </w:tc>
      </w:tr>
      <w:tr>
        <w:trPr>
          <w:trHeight w:val="149"/>
        </w:trPr>
        <w:tc>
          <w:tcPr>
            <w:tcW w:w="7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Overallotment</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Overallotment</w:t>
            </w:r>
          </w:p>
        </w:tc>
      </w:tr>
      <w:tr>
        <w:trPr>
          <w:trHeight w:val="161"/>
        </w:trPr>
        <w:tc>
          <w:tcPr>
            <w:tcW w:w="7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r>
      <w:tr>
        <w:trPr>
          <w:trHeight w:val="210"/>
        </w:trPr>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14.0000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42,000,000</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48,300,000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11"/>
                <w:szCs w:val="11"/>
                <w:b w:val="1"/>
                <w:bCs w:val="1"/>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w w:val="97"/>
              </w:rPr>
              <w:t>Proceeds to PennantPark Floating Rate Capital Ltd. (before offering expenses of $400,000)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14.0000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42,000,000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Investment Adviser, has agreed to pay the underwriters the sales load in the amount of approximately $1.3 million, or $0.4200 per share (or approximately $1.4 million, or $0.4200 per share if the overallotment options is fully exercised), of the sales load in connection with this offering, which is not reflected in the above table. All other expenses of the offering including the sales load not paid by our Investment Adviser will be borne by 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450,000 additional shares at the public offering price less the underwriting discount solely to cover overallotments. The underwriters may exercise this overallotment option for 30 days from the date of this prospectus supplement.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90 days after the date of this prospectus without first obtaining the written consent of Morgan Stanley &amp; Co. LLC.</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“PFLT.”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us for which they received or will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us or any of our portfolio companies.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Affiliates of certain of the underwriters may serve as lenders under any future credit facility. Some of the underwriters and their affiliates were underwriters in connection with our initial public offering for which they received customary fees.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principal business addresses of the underwriters are: Morgan Stanley &amp; Co. LLC, 1585 Broadway, New York, NY 10036; J.P. Morgan Securities LLC, 383 Madison Avenue, New York, NY 10179; Keefe, Bruyette &amp; Woods, Inc., 787 Seventh Avenue, 4</w:t>
      </w:r>
      <w:r>
        <w:rPr>
          <w:rFonts w:ascii="Arial" w:cs="Arial" w:eastAsia="Arial" w:hAnsi="Arial"/>
          <w:sz w:val="10"/>
          <w:szCs w:val="10"/>
          <w:color w:val="auto"/>
        </w:rPr>
        <w:t>th</w:t>
      </w:r>
      <w:r>
        <w:rPr>
          <w:rFonts w:ascii="Arial" w:cs="Arial" w:eastAsia="Arial" w:hAnsi="Arial"/>
          <w:sz w:val="16"/>
          <w:szCs w:val="16"/>
          <w:color w:val="auto"/>
        </w:rPr>
        <w:t xml:space="preserve"> Floor, New York, NY 10019.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80" w:firstLine="443"/>
        <w:spacing w:after="0" w:line="268" w:lineRule="auto"/>
        <w:tabs>
          <w:tab w:leader="none" w:pos="11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20" w:firstLine="443"/>
        <w:spacing w:after="0" w:line="298" w:lineRule="auto"/>
        <w:tabs>
          <w:tab w:leader="none" w:pos="11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offering will be passed upon for the underwriters by Fried, Frank, Harris, Shriver &amp; Jacobson LLP, New York, NY.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80" w:type="dxa"/>
            <w:vAlign w:val="bottom"/>
            <w:gridSpan w:val="13"/>
          </w:tcPr>
          <w:p>
            <w:pPr>
              <w:jc w:val="center"/>
              <w:ind w:right="3380"/>
              <w:spacing w:after="0"/>
              <w:rPr>
                <w:sz w:val="20"/>
                <w:szCs w:val="20"/>
                <w:color w:val="auto"/>
              </w:rPr>
            </w:pPr>
            <w:r>
              <w:rPr>
                <w:rFonts w:ascii="Arial" w:cs="Arial" w:eastAsia="Arial" w:hAnsi="Arial"/>
                <w:sz w:val="18"/>
                <w:szCs w:val="18"/>
                <w:b w:val="1"/>
                <w:bCs w:val="1"/>
                <w:color w:val="auto"/>
                <w:w w:val="99"/>
              </w:rPr>
              <w:t>INDEX TO FINANCIAL STATEMENTS</w:t>
            </w:r>
          </w:p>
        </w:tc>
        <w:tc>
          <w:tcPr>
            <w:tcW w:w="620" w:type="dxa"/>
            <w:vAlign w:val="bottom"/>
          </w:tcPr>
          <w:p>
            <w:pPr>
              <w:spacing w:after="0"/>
              <w:rPr>
                <w:sz w:val="19"/>
                <w:szCs w:val="19"/>
                <w:color w:val="auto"/>
              </w:rPr>
            </w:pPr>
          </w:p>
        </w:tc>
      </w:tr>
      <w:tr>
        <w:trPr>
          <w:trHeight w:val="378"/>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Information for the Fiscal Ended September 30, 2012</w:t>
            </w:r>
          </w:p>
        </w:tc>
        <w:tc>
          <w:tcPr>
            <w:tcW w:w="620" w:type="dxa"/>
            <w:vAlign w:val="bottom"/>
          </w:tcPr>
          <w:p>
            <w:pPr>
              <w:spacing w:after="0"/>
              <w:rPr>
                <w:sz w:val="24"/>
                <w:szCs w:val="24"/>
                <w:color w:val="auto"/>
              </w:rPr>
            </w:pPr>
          </w:p>
        </w:tc>
      </w:tr>
      <w:tr>
        <w:trPr>
          <w:trHeight w:val="380"/>
        </w:trPr>
        <w:tc>
          <w:tcPr>
            <w:tcW w:w="4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Management’s Report on Internal Control Over Financial Reporting</w:t>
              </w:r>
            </w:hyperlink>
          </w:p>
        </w:tc>
        <w:tc>
          <w:tcPr>
            <w:tcW w:w="5900" w:type="dxa"/>
            <w:vAlign w:val="bottom"/>
            <w:gridSpan w:val="12"/>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78"/>
              </w:rPr>
              <w:t>S-42</w:t>
            </w: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S-43</w:t>
            </w:r>
          </w:p>
        </w:tc>
      </w:tr>
      <w:tr>
        <w:trPr>
          <w:trHeight w:val="20"/>
        </w:trPr>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 On Internal Control Over Financial Reporting</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S-44</w:t>
            </w:r>
          </w:p>
        </w:tc>
      </w:tr>
      <w:tr>
        <w:trPr>
          <w:trHeight w:val="196"/>
        </w:trPr>
        <w:tc>
          <w:tcPr>
            <w:tcW w:w="6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Consolidated Statements of Assets and Liabilities as of September 30, 2012 and 2011</w:t>
              </w:r>
            </w:hyperlink>
          </w:p>
        </w:tc>
        <w:tc>
          <w:tcPr>
            <w:tcW w:w="1360" w:type="dxa"/>
            <w:vAlign w:val="bottom"/>
            <w:tcBorders>
              <w:top w:val="single" w:sz="8" w:color="0000EE"/>
            </w:tcBorders>
            <w:gridSpan w:val="3"/>
          </w:tcPr>
          <w:p>
            <w:pPr>
              <w:spacing w:after="0"/>
              <w:rPr>
                <w:sz w:val="17"/>
                <w:szCs w:val="17"/>
                <w:color w:val="auto"/>
              </w:rPr>
            </w:pPr>
          </w:p>
        </w:tc>
        <w:tc>
          <w:tcPr>
            <w:tcW w:w="3320" w:type="dxa"/>
            <w:vAlign w:val="bottom"/>
            <w:gridSpan w:val="8"/>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S-45</w:t>
            </w:r>
          </w:p>
        </w:tc>
      </w:tr>
      <w:tr>
        <w:trPr>
          <w:trHeight w:val="196"/>
        </w:trPr>
        <w:tc>
          <w:tcPr>
            <w:tcW w:w="10700" w:type="dxa"/>
            <w:vAlign w:val="bottom"/>
            <w:gridSpan w:val="19"/>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Consolidated Statements of Operations for the year ended September 30, 2012 and for the period March 4, 2011 (commencement of operations) to</w:t>
              </w:r>
            </w:hyperlink>
          </w:p>
        </w:tc>
        <w:tc>
          <w:tcPr>
            <w:tcW w:w="6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September 30, 2011</w:t>
              </w:r>
            </w:hyperlink>
          </w:p>
        </w:tc>
        <w:tc>
          <w:tcPr>
            <w:tcW w:w="360" w:type="dxa"/>
            <w:vAlign w:val="bottom"/>
            <w:gridSpan w:val="2"/>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S-46</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Consolidated Statements of Changes in Net Assets for the year ended September 30, 2012 and for the period March 4, 2011 (commencement of</w:t>
              </w:r>
            </w:hyperlink>
          </w:p>
        </w:tc>
        <w:tc>
          <w:tcPr>
            <w:tcW w:w="6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operations) to September 30, 2011</w:t>
              </w:r>
            </w:hyperlink>
          </w:p>
        </w:tc>
        <w:tc>
          <w:tcPr>
            <w:tcW w:w="560" w:type="dxa"/>
            <w:vAlign w:val="bottom"/>
            <w:gridSpan w:val="3"/>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S-47</w:t>
            </w:r>
          </w:p>
        </w:tc>
      </w:tr>
      <w:tr>
        <w:trPr>
          <w:trHeight w:val="20"/>
        </w:trPr>
        <w:tc>
          <w:tcPr>
            <w:tcW w:w="2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Consolidated Statements of Cash Flows for the year ended September 30, 2012 and for the period March 4, 2011 (commencement of operations) to</w:t>
              </w:r>
            </w:hyperlink>
          </w:p>
        </w:tc>
        <w:tc>
          <w:tcPr>
            <w:tcW w:w="6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September 30, 2011</w:t>
              </w:r>
            </w:hyperlink>
          </w:p>
        </w:tc>
        <w:tc>
          <w:tcPr>
            <w:tcW w:w="300" w:type="dxa"/>
            <w:vAlign w:val="bottom"/>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S-48</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36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Consolidated Schedules of Investments as of September 30, 2012 and September 30, 2011</w:t>
              </w:r>
            </w:hyperlink>
          </w:p>
        </w:tc>
        <w:tc>
          <w:tcPr>
            <w:tcW w:w="4340" w:type="dxa"/>
            <w:vAlign w:val="bottom"/>
            <w:gridSpan w:val="10"/>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S-49</w:t>
            </w:r>
          </w:p>
        </w:tc>
      </w:tr>
      <w:tr>
        <w:trPr>
          <w:trHeight w:val="196"/>
        </w:trPr>
        <w:tc>
          <w:tcPr>
            <w:tcW w:w="33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Notes to the Consolidated Financial Statements</w:t>
              </w:r>
            </w:hyperlink>
          </w:p>
        </w:tc>
        <w:tc>
          <w:tcPr>
            <w:tcW w:w="7360" w:type="dxa"/>
            <w:vAlign w:val="bottom"/>
            <w:gridSpan w:val="15"/>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S-54</w:t>
            </w:r>
          </w:p>
        </w:tc>
      </w:tr>
      <w:tr>
        <w:trPr>
          <w:trHeight w:val="397"/>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Information for the Quarter Ended December 31, 2012</w:t>
            </w:r>
          </w:p>
        </w:tc>
        <w:tc>
          <w:tcPr>
            <w:tcW w:w="620" w:type="dxa"/>
            <w:vAlign w:val="bottom"/>
          </w:tcPr>
          <w:p>
            <w:pPr>
              <w:spacing w:after="0"/>
              <w:rPr>
                <w:sz w:val="24"/>
                <w:szCs w:val="24"/>
                <w:color w:val="auto"/>
              </w:rPr>
            </w:pPr>
          </w:p>
        </w:tc>
      </w:tr>
      <w:tr>
        <w:trPr>
          <w:trHeight w:val="380"/>
        </w:trPr>
        <w:tc>
          <w:tcPr>
            <w:tcW w:w="1070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 of Independent Registered Public Accounting Firm</w:t>
              </w:r>
            </w:hyperlink>
          </w:p>
        </w:tc>
        <w:tc>
          <w:tcPr>
            <w:tcW w:w="620" w:type="dxa"/>
            <w:vAlign w:val="bottom"/>
          </w:tcPr>
          <w:p>
            <w:pPr>
              <w:ind w:left="300"/>
              <w:spacing w:after="0"/>
              <w:rPr>
                <w:sz w:val="20"/>
                <w:szCs w:val="20"/>
                <w:color w:val="auto"/>
              </w:rPr>
            </w:pPr>
            <w:r>
              <w:rPr>
                <w:rFonts w:ascii="Arial" w:cs="Arial" w:eastAsia="Arial" w:hAnsi="Arial"/>
                <w:sz w:val="18"/>
                <w:szCs w:val="18"/>
                <w:color w:val="auto"/>
                <w:w w:val="78"/>
              </w:rPr>
              <w:t>S-69</w:t>
            </w:r>
          </w:p>
        </w:tc>
      </w:tr>
      <w:tr>
        <w:trPr>
          <w:trHeight w:val="20"/>
        </w:trPr>
        <w:tc>
          <w:tcPr>
            <w:tcW w:w="394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Assets and Liabilities as of December 31, 2012 (unaudited) and September 30, 2012</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S-70</w:t>
            </w:r>
          </w:p>
        </w:tc>
      </w:tr>
      <w:tr>
        <w:trPr>
          <w:trHeight w:val="196"/>
        </w:trPr>
        <w:tc>
          <w:tcPr>
            <w:tcW w:w="7940" w:type="dxa"/>
            <w:vAlign w:val="bottom"/>
            <w:tcBorders>
              <w:top w:val="single" w:sz="8" w:color="0000EE"/>
            </w:tcBorders>
            <w:gridSpan w:val="1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Consolidated Statements of Operations for the three months ended December 31, 2012 and 2011 (unaudited)</w:t>
              </w:r>
            </w:hyperlink>
          </w:p>
        </w:tc>
        <w:tc>
          <w:tcPr>
            <w:tcW w:w="2760" w:type="dxa"/>
            <w:vAlign w:val="bottom"/>
            <w:gridSpan w:val="5"/>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S-71</w:t>
            </w:r>
          </w:p>
        </w:tc>
      </w:tr>
      <w:tr>
        <w:trPr>
          <w:trHeight w:val="20"/>
        </w:trPr>
        <w:tc>
          <w:tcPr>
            <w:tcW w:w="3940" w:type="dxa"/>
            <w:vAlign w:val="bottom"/>
            <w:gridSpan w:val="5"/>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Changes in Net Assets for the three months ended December 31, 2012 and 2011 (unaudited)</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S-72</w:t>
            </w:r>
          </w:p>
        </w:tc>
      </w:tr>
      <w:tr>
        <w:trPr>
          <w:trHeight w:val="196"/>
        </w:trPr>
        <w:tc>
          <w:tcPr>
            <w:tcW w:w="7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Cash Flows for the three months ended December 31, 2012 and 2011 (unaudited)</w:t>
              </w:r>
            </w:hyperlink>
          </w:p>
        </w:tc>
        <w:tc>
          <w:tcPr>
            <w:tcW w:w="760" w:type="dxa"/>
            <w:vAlign w:val="bottom"/>
            <w:tcBorders>
              <w:top w:val="single" w:sz="8" w:color="0000EE"/>
            </w:tcBorders>
            <w:gridSpan w:val="2"/>
          </w:tcPr>
          <w:p>
            <w:pPr>
              <w:spacing w:after="0"/>
              <w:rPr>
                <w:sz w:val="17"/>
                <w:szCs w:val="17"/>
                <w:color w:val="auto"/>
              </w:rPr>
            </w:pPr>
          </w:p>
        </w:tc>
        <w:tc>
          <w:tcPr>
            <w:tcW w:w="2200" w:type="dxa"/>
            <w:vAlign w:val="bottom"/>
            <w:gridSpan w:val="4"/>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S-73</w:t>
            </w: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Schedules of Investments as of December 31, 2012 (unaudited) and September 30, 2012</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S-74</w:t>
            </w:r>
          </w:p>
        </w:tc>
      </w:tr>
      <w:tr>
        <w:trPr>
          <w:trHeight w:val="196"/>
        </w:trPr>
        <w:tc>
          <w:tcPr>
            <w:tcW w:w="72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 (unaudited)</w:t>
              </w:r>
            </w:hyperlink>
          </w:p>
        </w:tc>
        <w:tc>
          <w:tcPr>
            <w:tcW w:w="3480" w:type="dxa"/>
            <w:vAlign w:val="bottom"/>
            <w:gridSpan w:val="9"/>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S-80</w:t>
            </w:r>
          </w:p>
        </w:tc>
      </w:tr>
      <w:tr>
        <w:trPr>
          <w:trHeight w:val="383"/>
        </w:trPr>
        <w:tc>
          <w:tcPr>
            <w:tcW w:w="22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gridSpan w:val="12"/>
          </w:tcPr>
          <w:p>
            <w:pPr>
              <w:jc w:val="center"/>
              <w:ind w:right="4080"/>
              <w:spacing w:after="0"/>
              <w:rPr>
                <w:sz w:val="20"/>
                <w:szCs w:val="20"/>
                <w:color w:val="auto"/>
              </w:rPr>
            </w:pPr>
            <w:r>
              <w:rPr>
                <w:rFonts w:ascii="Arial" w:cs="Arial" w:eastAsia="Arial" w:hAnsi="Arial"/>
                <w:sz w:val="18"/>
                <w:szCs w:val="18"/>
                <w:color w:val="auto"/>
                <w:w w:val="89"/>
              </w:rPr>
              <w:t>S-41</w:t>
            </w:r>
          </w:p>
        </w:tc>
        <w:tc>
          <w:tcPr>
            <w:tcW w:w="6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of PennantPark Floating Rate Capital, Ltd., or “we,” “us,” “our” and “Company,”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Based on the assessment management believes that, as of September 30, 2012, our internal control over financial reporting is effective based on those criteria.</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that audited the financial statements has issued an audit report on the effectiveness of our internal control over financial reporting as of September 30, 2012. This report appears on page S-44.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 issued by the Committee of Sponsoring Organizations of the Treadway Commission (COSO), and our report dated November 14, 2012 expressed an</w:t>
      </w:r>
      <w:r>
        <w:rPr>
          <w:rFonts w:ascii="Arial" w:cs="Arial" w:eastAsia="Arial" w:hAnsi="Arial"/>
          <w:sz w:val="16"/>
          <w:szCs w:val="16"/>
          <w:i w:val="1"/>
          <w:iCs w:val="1"/>
          <w:color w:val="auto"/>
        </w:rPr>
        <w:t xml:space="preserve"> </w:t>
      </w:r>
      <w:r>
        <w:rPr>
          <w:rFonts w:ascii="Arial" w:cs="Arial" w:eastAsia="Arial" w:hAnsi="Arial"/>
          <w:sz w:val="16"/>
          <w:szCs w:val="16"/>
          <w:color w:val="auto"/>
        </w:rPr>
        <w:t>unqualified opinion on the effectiveness of the Company’s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53 of the Annual Report on Form 10-K, and Item 9A., Controls and Procedures— 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 (cost—$171,578,009 and $114,829,621,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3"/>
              </w:rPr>
              <w:t>171,834,400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110,724,241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3,845,803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1,388,867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732,695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986,278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311,313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163,374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178,366,661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121,075,260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548,053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479,547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3,357,500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2,323,250</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(cost—$75,500,000 and $24,650,000, respectively) (See Notes 5 and 10)</w:t>
            </w:r>
          </w:p>
        </w:tc>
        <w:tc>
          <w:tcPr>
            <w:tcW w:w="1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75,122,500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24,650,000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161,550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424,747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506,314</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447,120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143,680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Accrued sales load charges (See Note 3)</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2,055,000</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82,622,784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29,003,155</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6,851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95,192,222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97,251,174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(1,313,000)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1,223,913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256,391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unrealized appreciation on Credit Facility</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377,500</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95,743,877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178,366,661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121,075,260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w w:val="92"/>
              </w:rPr>
              <w:t>Year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2012</w:t>
            </w:r>
          </w:p>
        </w:tc>
        <w:tc>
          <w:tcPr>
            <w:tcW w:w="8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11,856,483</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242,065</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12,098,548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2,946,599</w:t>
            </w: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Performance-based incentive fees (Note 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564,540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1,482,339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583,613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1,310,084</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Expenses before Credit Facility costs and excise tax expense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5,435,192</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1,260,417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issuance costs (See Note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311,648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Excise tax</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5,788,867</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6,309,681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911,925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4,361,772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(See Note 5)</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4,739,272</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5,651,197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(3,793,392)</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11,960,878</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 per common share (See Note 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0.92</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(decrease) in net assets resulting from operations: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6,309,681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911,925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60" w:type="dxa"/>
            <w:vAlign w:val="bottom"/>
          </w:tcPr>
          <w:p>
            <w:pPr>
              <w:spacing w:after="0"/>
              <w:rPr>
                <w:sz w:val="18"/>
                <w:szCs w:val="18"/>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4,361,772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60" w:type="dxa"/>
            <w:vAlign w:val="bottom"/>
          </w:tcPr>
          <w:p>
            <w:pPr>
              <w:spacing w:after="0"/>
              <w:rPr>
                <w:sz w:val="20"/>
                <w:szCs w:val="20"/>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11,960,878</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9"/>
                <w:szCs w:val="19"/>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(6,234,106)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(1,712,667)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sales load charges (See Notes 1 and 3)</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(5,501,975)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(decrease) increase in net assets resulting from capital transactions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(2,055,000)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97,258,025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3,671,772</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92,072,105</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95,743,877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(1,313,000)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Capital Share Activity: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from offerings</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For the period</w:t>
            </w: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March 04, 2011</w:t>
            </w: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 of</w:t>
            </w: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operations) to</w:t>
            </w: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11,960,878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Adjustments to reconcile net increase (decrease) in net assets resulting from operations to net cash</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used by operating activities: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(4,361,772)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4,105,380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realized gain on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(911,925)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(311,988)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(704,452)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(136,975)</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w w:val="92"/>
              </w:rPr>
              <w:t>(128,673,695)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(147,545,077)</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(119,552)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(42,074)</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71,499,356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33,206,493</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receivable for investments sold</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1,481,222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(2,467,500)</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in interest receivable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(656,172)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(732,695)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prepaid expenses and other 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(147,939)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(163,374)</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in payable for investments purchased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2,367,500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(161,370)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158,315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fees payable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506,314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303,440</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(47,826,048)</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(113,687,455)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Proceeds from offerings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102,760,000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(5,501,975)</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Distributions paid to stockholders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(6,165,599)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(1,233,120)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Credit Facility (See Notes 5 and 10)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97,650,000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29,000,000</w:t>
            </w:r>
          </w:p>
        </w:tc>
      </w:tr>
      <w:tr>
        <w:trPr>
          <w:trHeight w:val="223"/>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Repayments under Credit Facility (See Notes 5 and 10)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(46,800,000)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(4,350,000)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44,684,401</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120,674,905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(3,141,647)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3,845,803</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1,471,035</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Par/</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0"/>
              </w:rPr>
              <w:t>Current</w:t>
            </w:r>
          </w:p>
        </w:tc>
        <w:tc>
          <w:tcPr>
            <w:tcW w:w="6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Issuer Name</w:t>
            </w: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1"/>
              </w:rPr>
              <w:t>Maturity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Industry</w:t>
            </w:r>
          </w:p>
        </w:tc>
        <w:tc>
          <w:tcPr>
            <w:tcW w:w="880" w:type="dxa"/>
            <w:vAlign w:val="bottom"/>
          </w:tcPr>
          <w:p>
            <w:pPr>
              <w:spacing w:after="0"/>
              <w:rPr>
                <w:sz w:val="12"/>
                <w:szCs w:val="12"/>
                <w:color w:val="auto"/>
              </w:rPr>
            </w:pPr>
          </w:p>
        </w:tc>
        <w:tc>
          <w:tcPr>
            <w:tcW w:w="10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6"/>
              </w:rPr>
              <w:t>Coupon</w:t>
            </w:r>
          </w:p>
        </w:tc>
        <w:tc>
          <w:tcPr>
            <w:tcW w:w="620" w:type="dxa"/>
            <w:vAlign w:val="bottom"/>
            <w:gridSpan w:val="2"/>
          </w:tcPr>
          <w:p>
            <w:pPr>
              <w:jc w:val="center"/>
              <w:ind w:right="1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200" w:type="dxa"/>
            <w:vAlign w:val="bottom"/>
          </w:tcPr>
          <w:p>
            <w:pPr>
              <w:spacing w:after="0"/>
              <w:rPr>
                <w:sz w:val="12"/>
                <w:szCs w:val="12"/>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78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w:t>
            </w:r>
          </w:p>
        </w:tc>
        <w:tc>
          <w:tcPr>
            <w:tcW w:w="5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7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b w:val="1"/>
                <w:bCs w:val="1"/>
                <w:color w:val="auto"/>
              </w:rPr>
              <w:t>Companies—179.5%</w:t>
            </w:r>
            <w:r>
              <w:rPr>
                <w:rFonts w:ascii="Arial" w:cs="Arial" w:eastAsia="Arial" w:hAnsi="Arial"/>
                <w:sz w:val="20"/>
                <w:szCs w:val="20"/>
                <w:b w:val="1"/>
                <w:bCs w:val="1"/>
                <w:color w:val="auto"/>
                <w:vertAlign w:val="superscript"/>
              </w:rPr>
              <w:t>(3),(4)</w:t>
            </w: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03/25/2015</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214,286</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214,838</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214,018</w:t>
            </w:r>
          </w:p>
        </w:tc>
        <w:tc>
          <w:tcPr>
            <w:tcW w:w="0" w:type="dxa"/>
            <w:vAlign w:val="bottom"/>
          </w:tcPr>
          <w:p>
            <w:pPr>
              <w:spacing w:after="0"/>
              <w:rPr>
                <w:sz w:val="1"/>
                <w:szCs w:val="1"/>
                <w:color w:val="auto"/>
              </w:rPr>
            </w:pPr>
          </w:p>
        </w:tc>
      </w:tr>
      <w:tr>
        <w:trPr>
          <w:trHeight w:val="138"/>
        </w:trPr>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Archipelago Learning, Inc.</w:t>
            </w:r>
          </w:p>
        </w:tc>
        <w:tc>
          <w:tcPr>
            <w:tcW w:w="128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05/17/2018</w:t>
            </w:r>
          </w:p>
        </w:tc>
        <w:tc>
          <w:tcPr>
            <w:tcW w:w="222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7"/>
              </w:rPr>
              <w:t>Media, Broadcasting and</w:t>
            </w:r>
          </w:p>
        </w:tc>
        <w:tc>
          <w:tcPr>
            <w:tcW w:w="100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987,500</w:t>
            </w:r>
          </w:p>
        </w:tc>
        <w:tc>
          <w:tcPr>
            <w:tcW w:w="8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959,574</w:t>
            </w:r>
          </w:p>
        </w:tc>
        <w:tc>
          <w:tcPr>
            <w:tcW w:w="82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8"/>
              </w:rPr>
              <w:t>Subscription</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10/06/2016</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Consumer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2,977,500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2,937,079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2,962,613</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11/22/2017</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2,943,750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2,888,381</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2,960,309</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07/28/2017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985,747</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02/15/2018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3,975,000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3,902,979</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4,014,750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08/17/2017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Consumer Goods: Durable</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7.25%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3,866,119</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3,801,408</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3,859,675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03/19/2018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3,733,125</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3,673,063</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3,677,128</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12/01/2016</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981,827</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08/29/2017</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3,980,000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3,904,846</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4,109,350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07/28/2017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P+350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950,104</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946,081</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945,353</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04/20/2018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3,990,000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3,952,867</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4,009,950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05/18/2018</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Chemicals, Plastics and Rubber</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1,995,000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1,975,762</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eResearchtechnology,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05/02/2018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2,884,003</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11/30/2017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2,977,500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2,898,672</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07/02/2018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1,995,000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1,956,496</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2,012,456</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(5),(8)</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09/02/2019</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9.63%</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3,120,000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05/27/2016</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Environmental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2,956,829</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2,933,351</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2,934,653</w:t>
            </w:r>
          </w:p>
        </w:tc>
        <w:tc>
          <w:tcPr>
            <w:tcW w:w="0" w:type="dxa"/>
            <w:vAlign w:val="bottom"/>
          </w:tcPr>
          <w:p>
            <w:pPr>
              <w:spacing w:after="0"/>
              <w:rPr>
                <w:sz w:val="1"/>
                <w:szCs w:val="1"/>
                <w:color w:val="auto"/>
              </w:rPr>
            </w:pPr>
          </w:p>
        </w:tc>
      </w:tr>
      <w:tr>
        <w:trPr>
          <w:trHeight w:val="138"/>
        </w:trPr>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Healogics, Inc.</w:t>
            </w: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7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(f/k/a National Healing Corp.)</w:t>
            </w:r>
          </w:p>
        </w:tc>
        <w:tc>
          <w:tcPr>
            <w:tcW w:w="12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11/30/2017</w:t>
            </w:r>
          </w:p>
        </w:tc>
        <w:tc>
          <w:tcPr>
            <w:tcW w:w="2220" w:type="dxa"/>
            <w:vAlign w:val="bottom"/>
            <w:gridSpan w:val="3"/>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8.25%</w:t>
            </w: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L+675</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4,962,500</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4,742,008</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4,925,281</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04/01/2019</w:t>
            </w:r>
          </w:p>
        </w:tc>
        <w:tc>
          <w:tcPr>
            <w:tcW w:w="820" w:type="dxa"/>
            <w:vAlign w:val="bottom"/>
          </w:tcPr>
          <w:p>
            <w:pPr>
              <w:spacing w:after="0"/>
              <w:rPr>
                <w:sz w:val="12"/>
                <w:szCs w:val="12"/>
                <w:color w:val="auto"/>
              </w:rPr>
            </w:pPr>
          </w:p>
        </w:tc>
        <w:tc>
          <w:tcPr>
            <w:tcW w:w="140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89"/>
              </w:rPr>
              <w:t>Retail</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2,985,000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2,929,228</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2,992,463</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08/03/2017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Wholesale</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2,743,125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2,702,953</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2,715,694</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(5),(8)</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03/30/2017</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11.50%</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1,963,159</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Ikaria,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06/22/2016</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1,691,500</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1,649,000</w:t>
            </w:r>
          </w:p>
        </w:tc>
        <w:tc>
          <w:tcPr>
            <w:tcW w:w="0" w:type="dxa"/>
            <w:vAlign w:val="bottom"/>
          </w:tcPr>
          <w:p>
            <w:pPr>
              <w:spacing w:after="0"/>
              <w:rPr>
                <w:sz w:val="1"/>
                <w:szCs w:val="1"/>
                <w:color w:val="auto"/>
              </w:rPr>
            </w:pPr>
          </w:p>
        </w:tc>
      </w:tr>
      <w:tr>
        <w:trPr>
          <w:trHeight w:val="138"/>
        </w:trPr>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Instant Web, Inc.</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91"/>
              </w:rPr>
              <w:t>Media: Advertising, Printing and</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3.59%</w:t>
            </w:r>
            <w:r>
              <w:rPr>
                <w:rFonts w:ascii="Arial" w:cs="Arial" w:eastAsia="Arial" w:hAnsi="Arial"/>
                <w:sz w:val="22"/>
                <w:szCs w:val="22"/>
                <w:color w:val="auto"/>
                <w:vertAlign w:val="superscript"/>
              </w:rPr>
              <w:t>(9)</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08/07/2014</w:t>
            </w:r>
          </w:p>
        </w:tc>
        <w:tc>
          <w:tcPr>
            <w:tcW w:w="222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6"/>
              </w:rPr>
              <w:t>Publishing</w:t>
            </w:r>
          </w:p>
        </w:tc>
        <w:tc>
          <w:tcPr>
            <w:tcW w:w="1000" w:type="dxa"/>
            <w:vAlign w:val="bottom"/>
            <w:gridSpan w:val="2"/>
            <w:vMerge w:val="continue"/>
          </w:tcPr>
          <w:p>
            <w:pPr>
              <w:spacing w:after="0"/>
              <w:rPr>
                <w:sz w:val="13"/>
                <w:szCs w:val="13"/>
                <w:color w:val="auto"/>
              </w:rPr>
            </w:pP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L+338</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6,836,508</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6,534,349</w:t>
            </w: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5,247,020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09/10/2015</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Chemicals, Plastics and Rubber</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5,476,250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5,512,699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5,558,394</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(6),(8)</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06/02/2014</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Consumer Goods: Non-Durable</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4,937,500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4,845,282</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4,863,438</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06/19/2017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1,844,649</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1,821,373</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1,766,252</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08/16/2019</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6.75%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3,400,000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3,349,374</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3,351,125</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05/07/2018</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3,950,000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3,916,596</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MOSAID Technologies Incorporated</w:t>
            </w:r>
            <w:r>
              <w:rPr>
                <w:rFonts w:ascii="Arial" w:cs="Arial" w:eastAsia="Arial" w:hAnsi="Arial"/>
                <w:sz w:val="17"/>
                <w:szCs w:val="17"/>
                <w:color w:val="auto"/>
                <w:vertAlign w:val="superscript"/>
              </w:rPr>
              <w:t>(6)</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12/23/2016</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2,887,500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2,826,368</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2,887,500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05/01/2017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2,985,000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2,943,607</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2,955,150</w:t>
            </w:r>
          </w:p>
        </w:tc>
        <w:tc>
          <w:tcPr>
            <w:tcW w:w="0" w:type="dxa"/>
            <w:vAlign w:val="bottom"/>
          </w:tcPr>
          <w:p>
            <w:pPr>
              <w:spacing w:after="0"/>
              <w:rPr>
                <w:sz w:val="1"/>
                <w:szCs w:val="1"/>
                <w:color w:val="auto"/>
              </w:rPr>
            </w:pPr>
          </w:p>
        </w:tc>
      </w:tr>
      <w:tr>
        <w:trPr>
          <w:trHeight w:val="138"/>
        </w:trPr>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NAB Holdings, LLC</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5"/>
              </w:rPr>
              <w:t>Banking, Finance, Insurance and</w:t>
            </w: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04/24/2018</w:t>
            </w:r>
          </w:p>
        </w:tc>
        <w:tc>
          <w:tcPr>
            <w:tcW w:w="222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2"/>
              </w:rPr>
              <w:t>Real Estate</w:t>
            </w:r>
          </w:p>
        </w:tc>
        <w:tc>
          <w:tcPr>
            <w:tcW w:w="10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987,500</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973,817</w:t>
            </w: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997,375</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07/11/2018</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Containers, Packaging and Glass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1,496,250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1,467,389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1,492,509</w:t>
            </w:r>
          </w:p>
        </w:tc>
        <w:tc>
          <w:tcPr>
            <w:tcW w:w="0" w:type="dxa"/>
            <w:vAlign w:val="bottom"/>
          </w:tcPr>
          <w:p>
            <w:pPr>
              <w:spacing w:after="0"/>
              <w:rPr>
                <w:sz w:val="1"/>
                <w:szCs w:val="1"/>
                <w:color w:val="auto"/>
              </w:rPr>
            </w:pPr>
          </w:p>
        </w:tc>
      </w:tr>
      <w:tr>
        <w:trPr>
          <w:trHeight w:val="138"/>
        </w:trPr>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5.00</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(PIK</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color w:val="auto"/>
              </w:rPr>
              <w:t>08/01/2014</w:t>
            </w:r>
          </w:p>
        </w:tc>
        <w:tc>
          <w:tcPr>
            <w:tcW w:w="222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Media: Diversified and Production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1.00%%)</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L+400</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5,497,407</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4,931,995</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4,439,156</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05/08/2017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Containers, Packaging and Glass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1,975,000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1,958,715</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1,967,594</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Pro Mach,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07/06/2017</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Capital Equipment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6.25%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978,077</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970,036</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967,889</w:t>
            </w:r>
          </w:p>
        </w:tc>
        <w:tc>
          <w:tcPr>
            <w:tcW w:w="0" w:type="dxa"/>
            <w:vAlign w:val="bottom"/>
          </w:tcPr>
          <w:p>
            <w:pPr>
              <w:spacing w:after="0"/>
              <w:rPr>
                <w:sz w:val="1"/>
                <w:szCs w:val="1"/>
                <w:color w:val="auto"/>
              </w:rPr>
            </w:pPr>
          </w:p>
        </w:tc>
      </w:tr>
      <w:tr>
        <w:trPr>
          <w:trHeight w:val="138"/>
        </w:trPr>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Renaissance Learning, Inc.</w:t>
            </w: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7"/>
              </w:rPr>
              <w:t>Media: Broadcasting and</w:t>
            </w: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10/19/2017</w:t>
            </w:r>
          </w:p>
        </w:tc>
        <w:tc>
          <w:tcPr>
            <w:tcW w:w="222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88"/>
              </w:rPr>
              <w:t>Subscription</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7.75%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L+625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1,980,000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1,909,788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1,994,850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Rocket Software,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02/08/2018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3,970,000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3,898,141</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3,970,000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08/24/2018</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Construction and Building</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2,955,509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2,973,126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Current</w:t>
            </w: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Above</w:t>
            </w:r>
          </w:p>
        </w:tc>
        <w:tc>
          <w:tcPr>
            <w:tcW w:w="2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2"/>
                <w:szCs w:val="12"/>
                <w:color w:val="auto"/>
              </w:rPr>
            </w:pPr>
          </w:p>
        </w:tc>
        <w:tc>
          <w:tcPr>
            <w:tcW w:w="142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94"/>
              </w:rPr>
              <w:t>Industry</w:t>
            </w:r>
          </w:p>
        </w:tc>
        <w:tc>
          <w:tcPr>
            <w:tcW w:w="10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Coupon</w:t>
            </w:r>
          </w:p>
        </w:tc>
        <w:tc>
          <w:tcPr>
            <w:tcW w:w="68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200" w:type="dxa"/>
            <w:vAlign w:val="bottom"/>
          </w:tcPr>
          <w:p>
            <w:pPr>
              <w:spacing w:after="0"/>
              <w:rPr>
                <w:sz w:val="12"/>
                <w:szCs w:val="12"/>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7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Securus Technologies, Inc.</w:t>
            </w:r>
          </w:p>
        </w:tc>
        <w:tc>
          <w:tcPr>
            <w:tcW w:w="92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05/31/2017</w:t>
            </w:r>
          </w:p>
        </w:tc>
        <w:tc>
          <w:tcPr>
            <w:tcW w:w="2240" w:type="dxa"/>
            <w:vAlign w:val="bottom"/>
            <w:gridSpan w:val="3"/>
            <w:shd w:val="clear" w:color="auto" w:fill="CCEEFF"/>
          </w:tcPr>
          <w:p>
            <w:pPr>
              <w:jc w:val="center"/>
              <w:ind w:right="80"/>
              <w:spacing w:after="0" w:line="12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4"/>
                <w:szCs w:val="14"/>
                <w:color w:val="auto"/>
              </w:rPr>
              <w:t>6.50%</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L+525</w:t>
            </w:r>
          </w:p>
        </w:tc>
        <w:tc>
          <w:tcPr>
            <w:tcW w:w="1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2,962,500</w:t>
            </w:r>
          </w:p>
        </w:tc>
        <w:tc>
          <w:tcPr>
            <w:tcW w:w="88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4"/>
                <w:szCs w:val="14"/>
                <w:color w:val="auto"/>
              </w:rPr>
              <w:t>$  2,938,182</w:t>
            </w:r>
          </w:p>
        </w:tc>
        <w:tc>
          <w:tcPr>
            <w:tcW w:w="104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4"/>
                <w:szCs w:val="14"/>
                <w:color w:val="auto"/>
              </w:rPr>
              <w:t>$  2,960,648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Seven Seas Cruises S. DE R.L.</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12/21/2018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1,485,300</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04/21/2017</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Aerospace and Defense</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2,962,512</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2,939,052</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2,932,887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147,935</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L+1,200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1,823,914</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10/27/2017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992,500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958,036</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04/16/2018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1,935,550</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1,950,113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06/19/2017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Services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2,962,500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2,938,318</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2,844,000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06/02/2017</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5.75%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1,481,250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1,474,945</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1,466,438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Vantage Specialties,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02/09/2018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Chemicals, Plastics and Rubber</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2,985,000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2,930,559</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2,999,925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04/19/2016</w:t>
            </w:r>
          </w:p>
        </w:tc>
        <w:tc>
          <w:tcPr>
            <w:tcW w:w="2240" w:type="dxa"/>
            <w:vAlign w:val="bottom"/>
            <w:gridSpan w:val="3"/>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90"/>
              </w:rPr>
              <w:t>Media: Advertising,</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7.00%</w:t>
            </w:r>
          </w:p>
        </w:tc>
        <w:tc>
          <w:tcPr>
            <w:tcW w:w="6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4,187,556</w:t>
            </w:r>
          </w:p>
        </w:tc>
        <w:tc>
          <w:tcPr>
            <w:tcW w:w="8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4,147,483</w:t>
            </w:r>
          </w:p>
        </w:tc>
        <w:tc>
          <w:tcPr>
            <w:tcW w:w="10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4,187,556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4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9"/>
              </w:rPr>
              <w:t>Printing and Publishing</w:t>
            </w: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12/22/2016</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7.75%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P+450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2,970,000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2,940,842</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2,643,300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10/31/2017</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Energy: Oil and Gas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1,916,035</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1,982,519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08/10/2017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Consumer Goods: Durable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6.75%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3,465,000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3,434,281</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03/23/2018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Environmental Industries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08/30/2018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Consumer Goods: Non-Durable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3,332,763</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3,417,000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(5),(8)</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07/15/2016</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11.38%</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4,000,000</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2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150,258,038</w:t>
            </w:r>
          </w:p>
        </w:tc>
        <w:tc>
          <w:tcPr>
            <w:tcW w:w="10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(5),(8)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09/01/2017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Metals and Mining</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11.50%</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Cannery Casino Resorts, LLC</w:t>
            </w:r>
            <w:r>
              <w:rPr>
                <w:rFonts w:ascii="Arial" w:cs="Arial" w:eastAsia="Arial" w:hAnsi="Arial"/>
                <w:sz w:val="17"/>
                <w:szCs w:val="17"/>
                <w:color w:val="auto"/>
                <w:vertAlign w:val="superscript"/>
              </w:rPr>
              <w:t>(8)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10/02/2019</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1,666,000</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11/06/2018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1,475,250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(5),(8)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09/01/2018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1,969,103</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05/09/2018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3"/>
              </w:rPr>
              <w:t>Utilities: Water</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(5),(6),(8)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05/15/2019</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9.13%</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11,608,643</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Subordinated Debt/Corporate Notes—8.7%</w:t>
            </w:r>
            <w:r>
              <w:rPr>
                <w:rFonts w:ascii="Arial" w:cs="Arial" w:eastAsia="Arial" w:hAnsi="Arial"/>
                <w:sz w:val="18"/>
                <w:szCs w:val="18"/>
                <w:b w:val="1"/>
                <w:bCs w:val="1"/>
                <w:color w:val="auto"/>
                <w:vertAlign w:val="superscript"/>
              </w:rPr>
              <w:t>(8)</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11/15/2015</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Consumer Goods: Non-Durable</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11.63%</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2,788,000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12/01/2017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13.00%</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980,074</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06/03/2019</w:t>
            </w:r>
          </w:p>
        </w:tc>
        <w:tc>
          <w:tcPr>
            <w:tcW w:w="2240" w:type="dxa"/>
            <w:vAlign w:val="bottom"/>
            <w:gridSpan w:val="3"/>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14.25%</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2.25%)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4,508,719</w:t>
            </w:r>
          </w:p>
        </w:tc>
        <w:tc>
          <w:tcPr>
            <w:tcW w:w="140" w:type="dxa"/>
            <w:vAlign w:val="bottom"/>
            <w:shd w:val="clear" w:color="auto" w:fill="CCEEFF"/>
          </w:tcPr>
          <w:p>
            <w:pPr>
              <w:spacing w:after="0"/>
              <w:rPr>
                <w:sz w:val="15"/>
                <w:szCs w:val="15"/>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4,432,092</w:t>
            </w:r>
          </w:p>
        </w:tc>
        <w:tc>
          <w:tcPr>
            <w:tcW w:w="28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4,508,719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9,194,181</w:t>
            </w:r>
          </w:p>
        </w:tc>
        <w:tc>
          <w:tcPr>
            <w:tcW w:w="10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8,296,719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Interests—0.2%</w:t>
            </w:r>
            <w:r>
              <w:rPr>
                <w:rFonts w:ascii="Arial" w:cs="Arial" w:eastAsia="Arial" w:hAnsi="Arial"/>
                <w:sz w:val="17"/>
                <w:szCs w:val="17"/>
                <w:b w:val="1"/>
                <w:bCs w:val="1"/>
                <w:color w:val="auto"/>
                <w:vertAlign w:val="superscript"/>
              </w:rPr>
              <w:t>(7),(8)</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w w:val="91"/>
              </w:rPr>
              <w:t>TrustHouse Services Holdings, LLC (TrustHouse Services Group,</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12.50%</w:t>
            </w:r>
          </w:p>
        </w:tc>
        <w:tc>
          <w:tcPr>
            <w:tcW w:w="6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176</w:t>
            </w:r>
          </w:p>
        </w:tc>
        <w:tc>
          <w:tcPr>
            <w:tcW w:w="14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110,697</w:t>
            </w:r>
          </w:p>
        </w:tc>
        <w:tc>
          <w:tcPr>
            <w:tcW w:w="2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200,571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Basis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Point</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Spread</w:t>
            </w: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4"/>
              </w:rPr>
              <w:t>Above</w:t>
            </w: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58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9"/>
              </w:rPr>
              <w:t>Maturity</w:t>
            </w:r>
          </w:p>
        </w:tc>
        <w:tc>
          <w:tcPr>
            <w:tcW w:w="580" w:type="dxa"/>
            <w:vAlign w:val="bottom"/>
          </w:tcPr>
          <w:p>
            <w:pPr>
              <w:spacing w:after="0"/>
              <w:rPr>
                <w:sz w:val="12"/>
                <w:szCs w:val="12"/>
                <w:color w:val="auto"/>
              </w:rPr>
            </w:pPr>
          </w:p>
        </w:tc>
        <w:tc>
          <w:tcPr>
            <w:tcW w:w="10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800" w:type="dxa"/>
            <w:vAlign w:val="bottom"/>
            <w:gridSpan w:val="2"/>
          </w:tcPr>
          <w:p>
            <w:pPr>
              <w:jc w:val="center"/>
              <w:ind w:right="32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960" w:type="dxa"/>
            <w:vAlign w:val="bottom"/>
            <w:gridSpan w:val="4"/>
          </w:tcPr>
          <w:p>
            <w:pPr>
              <w:ind w:left="16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2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06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Common Equity/Partnership</w:t>
            </w: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Interests—1.1%</w:t>
            </w:r>
            <w:r>
              <w:rPr>
                <w:rFonts w:ascii="Arial" w:cs="Arial" w:eastAsia="Arial" w:hAnsi="Arial"/>
                <w:sz w:val="20"/>
                <w:szCs w:val="20"/>
                <w:b w:val="1"/>
                <w:bCs w:val="1"/>
                <w:color w:val="auto"/>
                <w:vertAlign w:val="superscript"/>
              </w:rPr>
              <w:t>(7),(8)</w:t>
            </w: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60" w:type="dxa"/>
            <w:vAlign w:val="bottom"/>
            <w:gridSpan w:val="2"/>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Telecommunications</w:t>
            </w:r>
          </w:p>
        </w:tc>
        <w:tc>
          <w:tcPr>
            <w:tcW w:w="7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82"/>
              </w:rPr>
              <w:t>401,797</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rPr>
              <w:t>401,450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1,091,018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580" w:type="dxa"/>
            <w:vAlign w:val="bottom"/>
            <w:shd w:val="clear" w:color="auto" w:fill="CCEEFF"/>
          </w:tcPr>
          <w:p>
            <w:pPr>
              <w:spacing w:after="0"/>
              <w:rPr>
                <w:sz w:val="11"/>
                <w:szCs w:val="11"/>
                <w:color w:val="auto"/>
              </w:rPr>
            </w:pPr>
          </w:p>
        </w:tc>
        <w:tc>
          <w:tcPr>
            <w:tcW w:w="162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Beverage, Food and</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500"/>
              <w:spacing w:after="0" w:line="159" w:lineRule="exact"/>
              <w:rPr>
                <w:sz w:val="20"/>
                <w:szCs w:val="20"/>
                <w:color w:val="auto"/>
              </w:rPr>
            </w:pPr>
            <w:r>
              <w:rPr>
                <w:rFonts w:ascii="Arial" w:cs="Arial" w:eastAsia="Arial" w:hAnsi="Arial"/>
                <w:sz w:val="14"/>
                <w:szCs w:val="14"/>
                <w:color w:val="auto"/>
                <w:w w:val="85"/>
              </w:rPr>
              <w:t>Tobacco</w:t>
            </w:r>
          </w:p>
        </w:tc>
        <w:tc>
          <w:tcPr>
            <w:tcW w:w="7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8</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10,845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406,450</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1,101,863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4"/>
              </w:rPr>
              <w:t>171,578,009</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171,834,400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3,845,803</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175,423,812</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175,680,203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30"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7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400" w:type="dxa"/>
            <w:vAlign w:val="bottom"/>
          </w:tcPr>
          <w:p>
            <w:pPr>
              <w:spacing w:after="0"/>
              <w:rPr>
                <w:sz w:val="12"/>
                <w:szCs w:val="12"/>
                <w:color w:val="auto"/>
              </w:rPr>
            </w:pPr>
          </w:p>
        </w:tc>
        <w:tc>
          <w:tcPr>
            <w:tcW w:w="84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Maturity</w:t>
            </w:r>
          </w:p>
        </w:tc>
        <w:tc>
          <w:tcPr>
            <w:tcW w:w="1180" w:type="dxa"/>
            <w:vAlign w:val="bottom"/>
          </w:tcPr>
          <w:p>
            <w:pPr>
              <w:spacing w:after="0"/>
              <w:rPr>
                <w:sz w:val="12"/>
                <w:szCs w:val="12"/>
                <w:color w:val="auto"/>
              </w:rPr>
            </w:pPr>
          </w:p>
        </w:tc>
        <w:tc>
          <w:tcPr>
            <w:tcW w:w="1800" w:type="dxa"/>
            <w:vAlign w:val="bottom"/>
            <w:gridSpan w:val="2"/>
          </w:tcPr>
          <w:p>
            <w:pPr>
              <w:jc w:val="center"/>
              <w:ind w:right="1280"/>
              <w:spacing w:after="0" w:line="129" w:lineRule="exact"/>
              <w:rPr>
                <w:sz w:val="20"/>
                <w:szCs w:val="20"/>
                <w:color w:val="auto"/>
              </w:rPr>
            </w:pPr>
            <w:r>
              <w:rPr>
                <w:rFonts w:ascii="Arial" w:cs="Arial" w:eastAsia="Arial" w:hAnsi="Arial"/>
                <w:sz w:val="14"/>
                <w:szCs w:val="14"/>
                <w:b w:val="1"/>
                <w:bCs w:val="1"/>
                <w:color w:val="auto"/>
                <w:w w:val="94"/>
              </w:rPr>
              <w:t>Industry</w:t>
            </w: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3"/>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200" w:type="dxa"/>
            <w:vAlign w:val="bottom"/>
          </w:tcPr>
          <w:p>
            <w:pPr>
              <w:spacing w:after="0"/>
              <w:rPr>
                <w:sz w:val="12"/>
                <w:szCs w:val="12"/>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640" w:type="dxa"/>
            <w:vAlign w:val="bottom"/>
            <w:gridSpan w:val="3"/>
          </w:tcPr>
          <w:p>
            <w:pPr>
              <w:jc w:val="center"/>
              <w:ind w:right="18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04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w:t>
            </w:r>
          </w:p>
        </w:tc>
        <w:tc>
          <w:tcPr>
            <w:tcW w:w="4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Companies—120.2%</w:t>
            </w:r>
            <w:r>
              <w:rPr>
                <w:rFonts w:ascii="Arial" w:cs="Arial" w:eastAsia="Arial" w:hAnsi="Arial"/>
                <w:sz w:val="20"/>
                <w:szCs w:val="20"/>
                <w:b w:val="1"/>
                <w:bCs w:val="1"/>
                <w:color w:val="auto"/>
                <w:vertAlign w:val="superscript"/>
              </w:rPr>
              <w:t>(3),(4)</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Debt—99.2%</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03/25/2015</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1,209,524</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$ 1,213,365</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Artel, LLC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06/01/2016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987,500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978,043</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07/29/2017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Chester Downs and Marina, LLC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07/31/2016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L+988</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478,873</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488,220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08/17/2017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Consumer Goods: Durable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EAG,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07/28/2017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P+350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987,500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982,590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05/13/2016</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Frac Tech International, LLC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05/06/2016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Energy: Oil and Gas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2,073,930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2,054,330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05/27/2016</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Environmental Industries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7.01%</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Harmony Foods Corporation</w:t>
            </w:r>
            <w:r>
              <w:rPr>
                <w:rFonts w:ascii="Arial" w:cs="Arial" w:eastAsia="Arial" w:hAnsi="Arial"/>
                <w:sz w:val="17"/>
                <w:szCs w:val="17"/>
                <w:color w:val="auto"/>
                <w:vertAlign w:val="superscript"/>
              </w:rPr>
              <w:t>(5),(6),(11)</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05/01/2016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Insight Global,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08/16/2017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2,493,750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Instant Web, Inc.</w:t>
            </w:r>
            <w:r>
              <w:rPr>
                <w:rFonts w:ascii="Arial" w:cs="Arial" w:eastAsia="Arial" w:hAnsi="Arial"/>
                <w:sz w:val="17"/>
                <w:szCs w:val="17"/>
                <w:color w:val="auto"/>
                <w:vertAlign w:val="superscript"/>
              </w:rPr>
              <w:t>(5),(7)</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08/07/2014</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3.61%</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L+338</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6,981,823</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6,523,240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09/10/2015</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Chemicals, Plastics and Rubber</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P+675</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5,476,250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KAR Auction Services, Inc.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05/19/2017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2,978,487</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(5),(7)</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05/31/2014</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Consumer Goods: Non-Durable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4,987,500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Medpace Holdings,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06/17/2017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1,995,000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1,966,025</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(7)</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05/06/2018</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3,990,000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3,951,886</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Penton Media, Inc.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08/01/2014</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(8)</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5,498,048</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4,675,936</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05/08/2017</w:t>
            </w:r>
          </w:p>
        </w:tc>
        <w:tc>
          <w:tcPr>
            <w:tcW w:w="298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1,995,000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Pro Mach,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07/06/2017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Capital Equipment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997,500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987,986</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05/31/2017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Select Medical Corporation</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06/01/2018</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2,963,943</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04/22/2017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2,964,848</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Tank Intermediate Holding Corp.</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04/15/2016</w:t>
            </w:r>
          </w:p>
        </w:tc>
        <w:tc>
          <w:tcPr>
            <w:tcW w:w="29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1,835,472</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1,831,420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1,807,940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04/28/2017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Capital Equipment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1,980,598</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04/14/2016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High Tech Industries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4,968,750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4,923,769</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06/19/2017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Consumer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2,964,110</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U.S. Healthworks Holding Company,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06/15/2016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2,964,480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06/02/2017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1,496,250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1,489,223</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Viamedia Services Corp.</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04/19/2016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4,750,000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4,694,273</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4,690,625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12/22/2016</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P+450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2,963,172</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08/10/2017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Consumer Goods: Durable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3,500,000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3,465,501</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(11),(6),(5)</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07/15/2016</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4,000,000</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4,355,966</w:t>
            </w:r>
          </w:p>
        </w:tc>
        <w:tc>
          <w:tcPr>
            <w:tcW w:w="260" w:type="dxa"/>
            <w:vAlign w:val="bottom"/>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94,975,314</w:t>
            </w:r>
          </w:p>
        </w:tc>
        <w:tc>
          <w:tcPr>
            <w:tcW w:w="26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Debt—13.3%</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01/29/2018</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995,000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Ernest Health, Inc.</w:t>
            </w:r>
            <w:r>
              <w:rPr>
                <w:rFonts w:ascii="Arial" w:cs="Arial" w:eastAsia="Arial" w:hAnsi="Arial"/>
                <w:sz w:val="17"/>
                <w:szCs w:val="17"/>
                <w:color w:val="auto"/>
                <w:vertAlign w:val="superscript"/>
              </w:rPr>
              <w:t>(5)</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05/13/2017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(5),(7)</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11/06/2018</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1,485,581</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(5)</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09/01/2018</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05/09/2018</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Utilities: Water</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990,624</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(11),(6),(7),(5)</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05/15/2019</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9.13%</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3,000,000</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60" w:type="dxa"/>
            <w:vAlign w:val="bottom"/>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12,379,445</w:t>
            </w:r>
          </w:p>
        </w:tc>
        <w:tc>
          <w:tcPr>
            <w:tcW w:w="26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12,255,000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Maturity</w:t>
            </w:r>
          </w:p>
        </w:tc>
        <w:tc>
          <w:tcPr>
            <w:tcW w:w="760" w:type="dxa"/>
            <w:vAlign w:val="bottom"/>
          </w:tcPr>
          <w:p>
            <w:pPr>
              <w:spacing w:after="0"/>
              <w:rPr>
                <w:sz w:val="12"/>
                <w:szCs w:val="12"/>
                <w:color w:val="auto"/>
              </w:rPr>
            </w:pPr>
          </w:p>
        </w:tc>
        <w:tc>
          <w:tcPr>
            <w:tcW w:w="13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4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300" w:type="dxa"/>
            <w:vAlign w:val="bottom"/>
          </w:tcPr>
          <w:p>
            <w:pPr>
              <w:spacing w:after="0"/>
              <w:rPr>
                <w:sz w:val="12"/>
                <w:szCs w:val="12"/>
                <w:color w:val="auto"/>
              </w:rPr>
            </w:pPr>
          </w:p>
        </w:tc>
        <w:tc>
          <w:tcPr>
            <w:tcW w:w="6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4"/>
          </w:tcPr>
          <w:p>
            <w:pPr>
              <w:jc w:val="right"/>
              <w:ind w:right="42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2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38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Notes—7.6%</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(5),(11)</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11/15/2015</w:t>
            </w:r>
          </w:p>
        </w:tc>
        <w:tc>
          <w:tcPr>
            <w:tcW w:w="21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Consumer Goods: Non-Durable</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11.63%</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1,524,891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1,155,000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TrustHouse Services Group, Inc.</w:t>
            </w:r>
            <w:r>
              <w:rPr>
                <w:rFonts w:ascii="Arial" w:cs="Arial" w:eastAsia="Arial" w:hAnsi="Arial"/>
                <w:sz w:val="17"/>
                <w:szCs w:val="17"/>
                <w:color w:val="auto"/>
                <w:vertAlign w:val="superscript"/>
              </w:rPr>
              <w:t>(11),(7),(5)</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07/31/2018</w:t>
            </w:r>
          </w:p>
        </w:tc>
        <w:tc>
          <w:tcPr>
            <w:tcW w:w="2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3,762,500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3,688,091</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3,687,250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TrustHouse Services Group, Inc.</w:t>
            </w:r>
            <w:r>
              <w:rPr>
                <w:rFonts w:ascii="Arial" w:cs="Arial" w:eastAsia="Arial" w:hAnsi="Arial"/>
                <w:sz w:val="17"/>
                <w:szCs w:val="17"/>
                <w:color w:val="auto"/>
                <w:vertAlign w:val="superscript"/>
              </w:rPr>
              <w:t>(11),(9),(5)</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07/31/2018</w:t>
            </w:r>
          </w:p>
        </w:tc>
        <w:tc>
          <w:tcPr>
            <w:tcW w:w="21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2,206,000</w:t>
            </w: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2,161,880</w:t>
            </w: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2,161,880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7,374,862</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Preferred Equity/Partnership</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Interests—0.1%</w:t>
            </w:r>
            <w:r>
              <w:rPr>
                <w:rFonts w:ascii="Arial" w:cs="Arial" w:eastAsia="Arial" w:hAnsi="Arial"/>
                <w:sz w:val="20"/>
                <w:szCs w:val="20"/>
                <w:b w:val="1"/>
                <w:bCs w:val="1"/>
                <w:color w:val="auto"/>
                <w:vertAlign w:val="superscript"/>
              </w:rPr>
              <w:t>(5),(10)</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100" w:type="dxa"/>
            <w:vAlign w:val="bottom"/>
            <w:gridSpan w:val="3"/>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12.50%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96,985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(5),(10)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100" w:type="dxa"/>
            <w:vAlign w:val="bottom"/>
            <w:gridSpan w:val="3"/>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3"/>
                <w:szCs w:val="13"/>
                <w:color w:val="auto"/>
              </w:rPr>
            </w:pPr>
          </w:p>
        </w:tc>
        <w:tc>
          <w:tcPr>
            <w:tcW w:w="8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Total Investments in Non-Controlled, Non-Affiliated Portfolio Companies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w w:val="84"/>
              </w:rPr>
              <w:t>114,829,621</w:t>
            </w: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4"/>
              </w:rPr>
              <w:t>110,724,241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Equivalents—127.8%</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6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w w:val="84"/>
              </w:rPr>
              <w:t>121,817,071</w:t>
            </w: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4"/>
              </w:rPr>
              <w:t>117,711,691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Assets—(27.8%)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8"/>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4"/>
              </w:rPr>
              <w:t>92,072,105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right="6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w:t>
      </w:r>
    </w:p>
    <w:p>
      <w:pPr>
        <w:ind w:left="34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all intercompany balances and transactions, if any. References to the Accounting Standards Codification, or ASC, serve as a single source of accounting literature.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Subsequent events are evaluated and disclosed as appropriate for events occurring through the date the Consolidated Financial Statements are issued.</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479"/>
        <w:spacing w:after="0"/>
        <w:tabs>
          <w:tab w:leader="none" w:pos="14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9" w:lineRule="exact"/>
        <w:rPr>
          <w:sz w:val="20"/>
          <w:szCs w:val="20"/>
          <w:color w:val="auto"/>
        </w:rPr>
      </w:pPr>
    </w:p>
    <w:p>
      <w:pPr>
        <w:ind w:left="900" w:right="18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480" w:hanging="479"/>
        <w:spacing w:after="0"/>
        <w:tabs>
          <w:tab w:leader="none" w:pos="14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0" w:right="2760"/>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65" w:lineRule="exact"/>
        <w:rPr>
          <w:sz w:val="20"/>
          <w:szCs w:val="20"/>
          <w:color w:val="auto"/>
        </w:rPr>
      </w:pPr>
    </w:p>
    <w:p>
      <w:pPr>
        <w:ind w:left="1480" w:hanging="479"/>
        <w:spacing w:after="0"/>
        <w:tabs>
          <w:tab w:leader="none" w:pos="148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1480" w:hanging="479"/>
        <w:spacing w:after="0"/>
        <w:tabs>
          <w:tab w:leader="none" w:pos="148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 Transfers and Servicing</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any its assets and are not intended to be available to the creditors of PennantPark Floating Rate Capital Ltd. (or any affiliate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4" w:lineRule="exact"/>
        <w:rPr>
          <w:sz w:val="20"/>
          <w:szCs w:val="20"/>
          <w:color w:val="auto"/>
        </w:rPr>
      </w:pPr>
    </w:p>
    <w:p>
      <w:pPr>
        <w:ind w:right="80" w:firstLine="8"/>
        <w:spacing w:after="0" w:line="288" w:lineRule="auto"/>
        <w:tabs>
          <w:tab w:leader="none" w:pos="2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Purchases of long-term investments, including PIK, for the year ended September 30, 2012 totaled $128.8 million. Sales and repayments of long-term investments for the year ended September 30, 2012 totaled $71.5 million. Purchases of long-term investments, including PIK, for the period March 4, 2011 (commencement of operations) to September 30, 2011, totaled $147.5 million. Sales and repayments for the same period totaled $33.2 million.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540" w:type="dxa"/>
            <w:vAlign w:val="bottom"/>
          </w:tcPr>
          <w:p>
            <w:pPr>
              <w:spacing w:after="0"/>
              <w:rPr>
                <w:sz w:val="14"/>
                <w:szCs w:val="14"/>
                <w:color w:val="auto"/>
              </w:rPr>
            </w:pPr>
          </w:p>
        </w:tc>
        <w:tc>
          <w:tcPr>
            <w:tcW w:w="250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September 30, 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2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Borders>
              <w:top w:val="single" w:sz="8" w:color="auto"/>
            </w:tcBorders>
            <w:gridSpan w:val="2"/>
          </w:tcPr>
          <w:p>
            <w:pPr>
              <w:ind w:left="380"/>
              <w:spacing w:after="0" w:line="129"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$ 150,258,038</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$ 150,209,747</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94,975,314</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91,363,126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000" w:type="dxa"/>
            <w:vAlign w:val="bottom"/>
            <w:gridSpan w:val="3"/>
          </w:tcPr>
          <w:p>
            <w:pPr>
              <w:jc w:val="right"/>
              <w:ind w:right="420"/>
              <w:spacing w:after="0"/>
              <w:rPr>
                <w:sz w:val="20"/>
                <w:szCs w:val="20"/>
                <w:color w:val="auto"/>
              </w:rPr>
            </w:pPr>
            <w:r>
              <w:rPr>
                <w:rFonts w:ascii="Arial" w:cs="Arial" w:eastAsia="Arial" w:hAnsi="Arial"/>
                <w:sz w:val="18"/>
                <w:szCs w:val="18"/>
                <w:color w:val="auto"/>
              </w:rPr>
              <w:t>11,608,643</w:t>
            </w:r>
          </w:p>
        </w:tc>
        <w:tc>
          <w:tcPr>
            <w:tcW w:w="1040" w:type="dxa"/>
            <w:vAlign w:val="bottom"/>
          </w:tcPr>
          <w:p>
            <w:pPr>
              <w:jc w:val="right"/>
              <w:spacing w:after="0"/>
              <w:rPr>
                <w:sz w:val="20"/>
                <w:szCs w:val="20"/>
                <w:color w:val="auto"/>
              </w:rPr>
            </w:pPr>
            <w:r>
              <w:rPr>
                <w:rFonts w:ascii="Arial" w:cs="Arial" w:eastAsia="Arial" w:hAnsi="Arial"/>
                <w:sz w:val="18"/>
                <w:szCs w:val="18"/>
                <w:color w:val="auto"/>
              </w:rPr>
              <w:t>12,025,500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12,379,445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9,194,181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171,578,009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171,834,400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114,829,621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110,724,241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$ 175,423,812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$ 175,680,203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121,817,071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226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35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Energy: Oil and Gas</w:t>
            </w:r>
          </w:p>
        </w:tc>
        <w:tc>
          <w:tcPr>
            <w:tcW w:w="3500" w:type="dxa"/>
            <w:vAlign w:val="bottom"/>
          </w:tcPr>
          <w:p>
            <w:pPr>
              <w:spacing w:after="0"/>
              <w:rPr>
                <w:sz w:val="18"/>
                <w:szCs w:val="18"/>
                <w:color w:val="auto"/>
              </w:rPr>
            </w:pPr>
          </w:p>
        </w:tc>
        <w:tc>
          <w:tcPr>
            <w:tcW w:w="10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5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500" w:type="dxa"/>
            <w:vAlign w:val="bottom"/>
            <w:gridSpan w:val="3"/>
          </w:tcPr>
          <w:p>
            <w:pPr>
              <w:jc w:val="right"/>
              <w:ind w:right="52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65"/>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500" w:type="dxa"/>
            <w:vAlign w:val="bottom"/>
            <w:gridSpan w:val="3"/>
          </w:tcPr>
          <w:p>
            <w:pPr>
              <w:jc w:val="right"/>
              <w:ind w:right="3640"/>
              <w:spacing w:after="0"/>
              <w:rPr>
                <w:sz w:val="20"/>
                <w:szCs w:val="20"/>
                <w:color w:val="auto"/>
              </w:rPr>
            </w:pPr>
            <w:r>
              <w:rPr>
                <w:rFonts w:ascii="Arial" w:cs="Arial" w:eastAsia="Arial" w:hAnsi="Arial"/>
                <w:sz w:val="18"/>
                <w:szCs w:val="18"/>
                <w:color w:val="auto"/>
              </w:rPr>
              <w:t>S-60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2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98"/>
              <w:spacing w:after="0"/>
              <w:rPr>
                <w:sz w:val="20"/>
                <w:szCs w:val="20"/>
                <w:color w:val="auto"/>
              </w:rPr>
            </w:pPr>
            <w:r>
              <w:rPr>
                <w:rFonts w:ascii="Arial" w:cs="Arial" w:eastAsia="Arial" w:hAnsi="Arial"/>
                <w:sz w:val="14"/>
                <w:szCs w:val="14"/>
                <w:b w:val="1"/>
                <w:bCs w:val="1"/>
                <w:color w:val="auto"/>
              </w:rPr>
              <w:t>Fair Value as of</w:t>
            </w: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8"/>
              <w:spacing w:after="0" w:line="148" w:lineRule="exact"/>
              <w:rPr>
                <w:sz w:val="20"/>
                <w:szCs w:val="20"/>
                <w:color w:val="auto"/>
              </w:rPr>
            </w:pPr>
            <w:r>
              <w:rPr>
                <w:rFonts w:ascii="Arial" w:cs="Arial" w:eastAsia="Arial" w:hAnsi="Arial"/>
                <w:sz w:val="14"/>
                <w:szCs w:val="14"/>
                <w:b w:val="1"/>
                <w:bCs w:val="1"/>
                <w:color w:val="auto"/>
                <w:w w:val="87"/>
              </w:rPr>
              <w:t>September 30, 2012</w:t>
            </w:r>
          </w:p>
        </w:tc>
        <w:tc>
          <w:tcPr>
            <w:tcW w:w="340" w:type="dxa"/>
            <w:vAlign w:val="bottom"/>
          </w:tcPr>
          <w:p>
            <w:pPr>
              <w:spacing w:after="0"/>
              <w:rPr>
                <w:sz w:val="14"/>
                <w:szCs w:val="14"/>
                <w:color w:val="auto"/>
              </w:rPr>
            </w:pPr>
          </w:p>
        </w:tc>
        <w:tc>
          <w:tcPr>
            <w:tcW w:w="24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2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(Weighted Average)</w:t>
            </w:r>
          </w:p>
        </w:tc>
        <w:tc>
          <w:tcPr>
            <w:tcW w:w="0" w:type="dxa"/>
            <w:vAlign w:val="bottom"/>
          </w:tcPr>
          <w:p>
            <w:pPr>
              <w:spacing w:after="0"/>
              <w:rPr>
                <w:sz w:val="1"/>
                <w:szCs w:val="1"/>
                <w:color w:val="auto"/>
              </w:rPr>
            </w:pPr>
          </w:p>
        </w:tc>
      </w:tr>
      <w:tr>
        <w:trPr>
          <w:trHeight w:val="181"/>
        </w:trPr>
        <w:tc>
          <w:tcPr>
            <w:tcW w:w="31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Broker/</w:t>
            </w:r>
          </w:p>
        </w:tc>
        <w:tc>
          <w:tcPr>
            <w:tcW w:w="22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155,983,312</w:t>
            </w:r>
          </w:p>
        </w:tc>
        <w:tc>
          <w:tcPr>
            <w:tcW w:w="34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Dealer bid quotes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 – 6</w:t>
            </w:r>
          </w:p>
        </w:tc>
        <w:tc>
          <w:tcPr>
            <w:tcW w:w="0" w:type="dxa"/>
            <w:vAlign w:val="bottom"/>
          </w:tcPr>
          <w:p>
            <w:pPr>
              <w:spacing w:after="0"/>
              <w:rPr>
                <w:sz w:val="1"/>
                <w:szCs w:val="1"/>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11,760,650</w:t>
            </w:r>
          </w:p>
        </w:tc>
        <w:tc>
          <w:tcPr>
            <w:tcW w:w="340" w:type="dxa"/>
            <w:vAlign w:val="bottom"/>
          </w:tcPr>
          <w:p>
            <w:pPr>
              <w:spacing w:after="0"/>
              <w:rPr>
                <w:sz w:val="19"/>
                <w:szCs w:val="19"/>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Market Yield</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7.3% – 15.3% (11.9%)</w:t>
            </w:r>
          </w:p>
        </w:tc>
        <w:tc>
          <w:tcPr>
            <w:tcW w:w="0" w:type="dxa"/>
            <w:vAlign w:val="bottom"/>
          </w:tcPr>
          <w:p>
            <w:pPr>
              <w:spacing w:after="0"/>
              <w:rPr>
                <w:sz w:val="1"/>
                <w:szCs w:val="1"/>
                <w:color w:val="auto"/>
              </w:rPr>
            </w:pPr>
          </w:p>
        </w:tc>
      </w:tr>
      <w:tr>
        <w:trPr>
          <w:trHeight w:val="218"/>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1,302,438</w:t>
            </w:r>
          </w:p>
        </w:tc>
        <w:tc>
          <w:tcPr>
            <w:tcW w:w="3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Enterprise Market Value</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EBITDA multiple</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6.5x – 8.5x (6.8x)</w:t>
            </w:r>
          </w:p>
        </w:tc>
        <w:tc>
          <w:tcPr>
            <w:tcW w:w="0" w:type="dxa"/>
            <w:vAlign w:val="bottom"/>
          </w:tcPr>
          <w:p>
            <w:pPr>
              <w:spacing w:after="0"/>
              <w:rPr>
                <w:sz w:val="1"/>
                <w:szCs w:val="1"/>
                <w:color w:val="auto"/>
              </w:rPr>
            </w:pPr>
          </w:p>
        </w:tc>
      </w:tr>
      <w:tr>
        <w:trPr>
          <w:trHeight w:val="222"/>
        </w:trPr>
        <w:tc>
          <w:tcPr>
            <w:tcW w:w="318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169,046,400</w:t>
            </w: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75,122,500</w:t>
            </w:r>
          </w:p>
        </w:tc>
        <w:tc>
          <w:tcPr>
            <w:tcW w:w="3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Discount rate</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363"/>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gridSpan w:val="2"/>
          </w:tcPr>
          <w:p>
            <w:pPr>
              <w:ind w:left="540"/>
              <w:spacing w:after="0"/>
              <w:rPr>
                <w:sz w:val="20"/>
                <w:szCs w:val="20"/>
                <w:color w:val="auto"/>
              </w:rPr>
            </w:pPr>
            <w:r>
              <w:rPr>
                <w:rFonts w:ascii="Arial" w:cs="Arial" w:eastAsia="Arial" w:hAnsi="Arial"/>
                <w:sz w:val="18"/>
                <w:szCs w:val="18"/>
                <w:color w:val="auto"/>
              </w:rPr>
              <w:t>S-62</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w w:val="91"/>
              </w:rPr>
              <w:t>Fair Value Measurements at September 30, 2012</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Level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$150,209,747</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12,025,500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8,296,719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1,302,434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171,834,400</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3,845,803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3,845,803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3,845,803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75,122,500</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00" w:type="dxa"/>
            <w:vAlign w:val="bottom"/>
            <w:vMerge w:val="restart"/>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w w:val="91"/>
              </w:rPr>
              <w:t>Fair Value Measurements at September 30, 2011</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91,363,126</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$2,033,747</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12,255,000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7,004,130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1,155,000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6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110,724,241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3,188,747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6,987,450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6,987,450</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117,711,691</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6,987,450</w:t>
            </w:r>
          </w:p>
        </w:tc>
        <w:tc>
          <w:tcPr>
            <w:tcW w:w="580" w:type="dxa"/>
            <w:vAlign w:val="bottom"/>
            <w:shd w:val="clear" w:color="auto" w:fill="CCEEFF"/>
          </w:tcPr>
          <w:p>
            <w:pPr>
              <w:spacing w:after="0"/>
              <w:rPr>
                <w:sz w:val="18"/>
                <w:szCs w:val="18"/>
                <w:color w:val="auto"/>
              </w:rPr>
            </w:pPr>
          </w:p>
        </w:tc>
        <w:tc>
          <w:tcPr>
            <w:tcW w:w="82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3,188,747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24,650,000</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6"/>
              </w:rPr>
              <w:t>Year Ended September 30, 2012</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6"/>
              </w:rPr>
              <w:t>subordinated debt</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440" w:type="dxa"/>
            <w:vAlign w:val="bottom"/>
          </w:tcPr>
          <w:p>
            <w:pPr>
              <w:spacing w:after="0"/>
              <w:rPr>
                <w:sz w:val="14"/>
                <w:szCs w:val="14"/>
                <w:color w:val="auto"/>
              </w:rPr>
            </w:pPr>
          </w:p>
        </w:tc>
        <w:tc>
          <w:tcPr>
            <w:tcW w:w="2220" w:type="dxa"/>
            <w:vAlign w:val="bottom"/>
            <w:gridSpan w:val="3"/>
          </w:tcPr>
          <w:p>
            <w:pPr>
              <w:jc w:val="center"/>
              <w:ind w:right="760"/>
              <w:spacing w:after="0" w:line="162" w:lineRule="exact"/>
              <w:rPr>
                <w:sz w:val="20"/>
                <w:szCs w:val="20"/>
                <w:color w:val="auto"/>
              </w:rPr>
            </w:pPr>
            <w:r>
              <w:rPr>
                <w:rFonts w:ascii="Arial" w:cs="Arial" w:eastAsia="Arial" w:hAnsi="Arial"/>
                <w:sz w:val="12"/>
                <w:szCs w:val="12"/>
                <w:b w:val="1"/>
                <w:bCs w:val="1"/>
                <w:color w:val="auto"/>
                <w:w w:val="98"/>
              </w:rPr>
              <w:t>and equity investments</w:t>
            </w:r>
            <w:r>
              <w:rPr>
                <w:rFonts w:ascii="Arial" w:cs="Arial" w:eastAsia="Arial" w:hAnsi="Arial"/>
                <w:sz w:val="18"/>
                <w:szCs w:val="18"/>
                <w:b w:val="1"/>
                <w:bCs w:val="1"/>
                <w:color w:val="auto"/>
                <w:w w:val="98"/>
                <w:vertAlign w:val="superscript"/>
              </w:rPr>
              <w:t>(1)</w:t>
            </w: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630,647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278,832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3,543,311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114,967,516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7,945,929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122,913,445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 / exchanges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(58,261,106)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(9,016,225)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(67,277,331)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150,209,747</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18,836,653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169,046,400</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w w:val="88"/>
              </w:rPr>
              <w:t>Net change in unrealized appreciation for the year ended September 30, 2012</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2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w w:val="88"/>
              </w:rPr>
              <w:t>reported within the net change in unrealized appreciation on investments in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w w:val="87"/>
              </w:rPr>
              <w:t>our Consolidated Statement of Operations attributable to our Level 3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still held at the reporting date.</w:t>
            </w:r>
          </w:p>
        </w:tc>
        <w:tc>
          <w:tcPr>
            <w:tcW w:w="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4,140,166</w:t>
            </w:r>
          </w:p>
        </w:tc>
        <w:tc>
          <w:tcPr>
            <w:tcW w:w="3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1,424,404</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5,564,570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60" w:type="dxa"/>
            <w:vAlign w:val="bottom"/>
            <w:gridSpan w:val="2"/>
          </w:tcPr>
          <w:p>
            <w:pPr>
              <w:jc w:val="right"/>
              <w:ind w:right="512"/>
              <w:spacing w:after="0"/>
              <w:rPr>
                <w:sz w:val="20"/>
                <w:szCs w:val="20"/>
                <w:color w:val="auto"/>
              </w:rPr>
            </w:pPr>
            <w:r>
              <w:rPr>
                <w:rFonts w:ascii="Arial" w:cs="Arial" w:eastAsia="Arial" w:hAnsi="Arial"/>
                <w:sz w:val="18"/>
                <w:szCs w:val="18"/>
                <w:color w:val="auto"/>
                <w:w w:val="89"/>
              </w:rPr>
              <w:t>S-63</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7"/>
              </w:rPr>
              <w:t>For the period March 4, 2011 (commencement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85"/>
              </w:rPr>
              <w:t>September 30, 2011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right"/>
              <w:ind w:right="600"/>
              <w:spacing w:after="0" w:line="148" w:lineRule="exact"/>
              <w:rPr>
                <w:sz w:val="20"/>
                <w:szCs w:val="20"/>
                <w:color w:val="auto"/>
              </w:rPr>
            </w:pPr>
            <w:r>
              <w:rPr>
                <w:rFonts w:ascii="Arial" w:cs="Arial" w:eastAsia="Arial" w:hAnsi="Arial"/>
                <w:sz w:val="14"/>
                <w:szCs w:val="14"/>
                <w:b w:val="1"/>
                <w:bCs w:val="1"/>
                <w:color w:val="auto"/>
              </w:rPr>
              <w:t>First Lien</w:t>
            </w:r>
          </w:p>
        </w:tc>
        <w:tc>
          <w:tcPr>
            <w:tcW w:w="340" w:type="dxa"/>
            <w:vAlign w:val="bottom"/>
          </w:tcPr>
          <w:p>
            <w:pPr>
              <w:spacing w:after="0"/>
              <w:rPr>
                <w:sz w:val="12"/>
                <w:szCs w:val="12"/>
                <w:color w:val="auto"/>
              </w:rPr>
            </w:pPr>
          </w:p>
        </w:tc>
        <w:tc>
          <w:tcPr>
            <w:tcW w:w="2100" w:type="dxa"/>
            <w:vAlign w:val="bottom"/>
            <w:gridSpan w:val="3"/>
          </w:tcPr>
          <w:p>
            <w:pPr>
              <w:jc w:val="center"/>
              <w:ind w:right="740"/>
              <w:spacing w:after="0" w:line="148" w:lineRule="exact"/>
              <w:rPr>
                <w:sz w:val="20"/>
                <w:szCs w:val="20"/>
                <w:color w:val="auto"/>
              </w:rPr>
            </w:pPr>
            <w:r>
              <w:rPr>
                <w:rFonts w:ascii="Arial" w:cs="Arial" w:eastAsia="Arial" w:hAnsi="Arial"/>
                <w:sz w:val="14"/>
                <w:szCs w:val="14"/>
                <w:b w:val="1"/>
                <w:bCs w:val="1"/>
                <w:color w:val="auto"/>
                <w:w w:val="84"/>
              </w:rPr>
              <w:t>and equity investments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8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218,684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93,319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(3,591,606)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(123,301)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8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121,246,206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22,766,732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144,012,938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0"/>
              </w:rPr>
              <w:t>(28,543,905)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(4,530,635)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7"/>
              </w:rPr>
              <w:t>89,329,379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18,206,115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107,535,494</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appreciation (depreciation) for the period reported within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the net change in unrealized depreciation on investments in our Consolidated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Statement of Operations attributable to our Level 3 assets still held at the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reporting date.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(3,591,606)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(123,301)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4"/>
          </w:tcPr>
          <w:p>
            <w:pPr>
              <w:jc w:val="right"/>
              <w:ind w:right="1420"/>
              <w:spacing w:after="0"/>
              <w:rPr>
                <w:sz w:val="20"/>
                <w:szCs w:val="20"/>
                <w:color w:val="auto"/>
              </w:rPr>
            </w:pPr>
            <w:r>
              <w:rPr>
                <w:rFonts w:ascii="Arial" w:cs="Arial" w:eastAsia="Arial" w:hAnsi="Arial"/>
                <w:sz w:val="14"/>
                <w:szCs w:val="14"/>
                <w:b w:val="1"/>
                <w:bCs w:val="1"/>
                <w:color w:val="auto"/>
                <w:w w:val="99"/>
              </w:rPr>
              <w:t>Carrying / Fair Value</w:t>
            </w: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Year Ended</w:t>
            </w:r>
          </w:p>
        </w:tc>
        <w:tc>
          <w:tcPr>
            <w:tcW w:w="9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For the period March 4, 2011</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00" w:type="dxa"/>
            <w:vAlign w:val="bottom"/>
          </w:tcPr>
          <w:p>
            <w:pPr>
              <w:spacing w:after="0"/>
              <w:rPr>
                <w:sz w:val="12"/>
                <w:szCs w:val="12"/>
                <w:color w:val="auto"/>
              </w:rPr>
            </w:pPr>
          </w:p>
        </w:tc>
        <w:tc>
          <w:tcPr>
            <w:tcW w:w="1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(commencement of operations)</w:t>
            </w: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to September 30, 2011</w:t>
            </w:r>
          </w:p>
        </w:tc>
      </w:tr>
      <w:tr>
        <w:trPr>
          <w:trHeight w:val="196"/>
        </w:trPr>
        <w:tc>
          <w:tcPr>
            <w:tcW w:w="20" w:type="dxa"/>
            <w:vAlign w:val="bottom"/>
          </w:tcPr>
          <w:p>
            <w:pPr>
              <w:spacing w:after="0"/>
              <w:rPr>
                <w:sz w:val="17"/>
                <w:szCs w:val="17"/>
                <w:color w:val="auto"/>
              </w:rPr>
            </w:pPr>
          </w:p>
        </w:tc>
        <w:tc>
          <w:tcPr>
            <w:tcW w:w="7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Credit Facility</w:t>
            </w: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Beginning Balance, September 30, 2011 (cost—$24,650,000)</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$ 24,650,000</w:t>
            </w:r>
          </w:p>
        </w:tc>
        <w:tc>
          <w:tcPr>
            <w:tcW w:w="220" w:type="dxa"/>
            <w:vAlign w:val="bottom"/>
          </w:tcPr>
          <w:p>
            <w:pPr>
              <w:spacing w:after="0"/>
              <w:rPr>
                <w:sz w:val="18"/>
                <w:szCs w:val="18"/>
                <w:color w:val="auto"/>
              </w:rPr>
            </w:pP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depreciation included in earnings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(377,500)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940" w:type="dxa"/>
            <w:vAlign w:val="bottom"/>
          </w:tcPr>
          <w:p>
            <w:pPr>
              <w:jc w:val="right"/>
              <w:spacing w:after="0"/>
              <w:rPr>
                <w:sz w:val="20"/>
                <w:szCs w:val="20"/>
                <w:color w:val="auto"/>
              </w:rPr>
            </w:pPr>
            <w:r>
              <w:rPr>
                <w:rFonts w:ascii="Arial" w:cs="Arial" w:eastAsia="Arial" w:hAnsi="Arial"/>
                <w:sz w:val="18"/>
                <w:szCs w:val="18"/>
                <w:color w:val="auto"/>
              </w:rPr>
              <w:t>97,650,000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29,000,000</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(46,800,000)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(4,350,000)</w:t>
            </w: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2012 (cost—$75,500,000 and $24,650,000, respectively)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$ 75,122,500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24,650,000</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60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(commencement of operations) to</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1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September 30, 2011 *</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11,960,878</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6,850,667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6,826,105</w:t>
            </w:r>
          </w:p>
        </w:tc>
        <w:tc>
          <w:tcPr>
            <w:tcW w:w="0" w:type="dxa"/>
            <w:vAlign w:val="bottom"/>
          </w:tcPr>
          <w:p>
            <w:pPr>
              <w:spacing w:after="0"/>
              <w:rPr>
                <w:sz w:val="1"/>
                <w:szCs w:val="1"/>
                <w:color w:val="auto"/>
              </w:rPr>
            </w:pPr>
          </w:p>
        </w:tc>
      </w:tr>
      <w:tr>
        <w:trPr>
          <w:trHeight w:val="208"/>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Weighted average shares is based on the initial public offering issuance date of April 13,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68" w:lineRule="exact"/>
        <w:rPr>
          <w:sz w:val="20"/>
          <w:szCs w:val="20"/>
          <w:color w:val="auto"/>
        </w:rPr>
      </w:pPr>
    </w:p>
    <w:p>
      <w:pPr>
        <w:jc w:val="center"/>
        <w:ind w:left="10060"/>
        <w:spacing w:after="0"/>
        <w:rPr>
          <w:sz w:val="20"/>
          <w:szCs w:val="20"/>
          <w:color w:val="auto"/>
        </w:rPr>
      </w:pPr>
      <w:r>
        <w:rPr>
          <w:rFonts w:ascii="Arial" w:cs="Arial" w:eastAsia="Arial" w:hAnsi="Arial"/>
          <w:sz w:val="14"/>
          <w:szCs w:val="14"/>
          <w:b w:val="1"/>
          <w:bCs w:val="1"/>
          <w:color w:val="auto"/>
        </w:rPr>
        <w:t>Year Ended</w:t>
      </w:r>
    </w:p>
    <w:p>
      <w:pPr>
        <w:jc w:val="center"/>
        <w:ind w:left="10060"/>
        <w:spacing w:after="0" w:line="221" w:lineRule="auto"/>
        <w:rPr>
          <w:sz w:val="20"/>
          <w:szCs w:val="20"/>
          <w:color w:val="auto"/>
        </w:rPr>
      </w:pPr>
      <w:r>
        <w:rPr>
          <w:rFonts w:ascii="Arial" w:cs="Arial" w:eastAsia="Arial" w:hAnsi="Arial"/>
          <w:sz w:val="14"/>
          <w:szCs w:val="14"/>
          <w:b w:val="1"/>
          <w:bCs w:val="1"/>
          <w:color w:val="auto"/>
        </w:rPr>
        <w:t>September 30, 2012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Increase in undistributed net investment 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gridSpan w:val="3"/>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3,952</w:t>
            </w:r>
          </w:p>
        </w:tc>
      </w:tr>
      <w:tr>
        <w:trPr>
          <w:trHeight w:val="451"/>
        </w:trPr>
        <w:tc>
          <w:tcPr>
            <w:tcW w:w="6820" w:type="dxa"/>
            <w:vAlign w:val="bottom"/>
            <w:gridSpan w:val="2"/>
          </w:tcPr>
          <w:p>
            <w:pPr>
              <w:spacing w:after="0"/>
              <w:rPr>
                <w:sz w:val="20"/>
                <w:szCs w:val="20"/>
                <w:color w:val="auto"/>
              </w:rPr>
            </w:pPr>
            <w:r>
              <w:rPr>
                <w:rFonts w:ascii="Arial" w:cs="Arial" w:eastAsia="Arial" w:hAnsi="Arial"/>
                <w:sz w:val="18"/>
                <w:szCs w:val="18"/>
                <w:color w:val="auto"/>
                <w:w w:val="90"/>
              </w:rPr>
              <w:t>The following reconciles net increase in net assets resulting from operations to taxable income: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4, 2011</w:t>
            </w: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2"/>
                <w:szCs w:val="12"/>
                <w:color w:val="auto"/>
              </w:rPr>
            </w:pPr>
          </w:p>
        </w:tc>
        <w:tc>
          <w:tcPr>
            <w:tcW w:w="2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9"/>
              </w:rPr>
              <w:t>(commencement of operations) to</w:t>
            </w: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620" w:type="dxa"/>
            <w:vAlign w:val="bottom"/>
          </w:tcPr>
          <w:p>
            <w:pPr>
              <w:spacing w:after="0"/>
              <w:rPr>
                <w:sz w:val="14"/>
                <w:szCs w:val="14"/>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 2011</w:t>
            </w: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11,960,878</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(3,473,253)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 investments and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Facility transactions not taxable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(4,739,272)</w:t>
            </w: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4,105,380</w:t>
            </w: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book-to-tax differences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307,975</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1,297,741</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non deductible expenses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Taxable net income before deductions for distribution</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7,571,608</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1,929,868</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surplus (deficit) on book basis and a reconciliation to accumulated surplus (deficit) on a tax basis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right"/>
              <w:ind w:right="1120"/>
              <w:spacing w:after="0" w:line="149" w:lineRule="exact"/>
              <w:rPr>
                <w:sz w:val="20"/>
                <w:szCs w:val="20"/>
                <w:color w:val="auto"/>
              </w:rPr>
            </w:pPr>
            <w:r>
              <w:rPr>
                <w:rFonts w:ascii="Arial" w:cs="Arial" w:eastAsia="Arial" w:hAnsi="Arial"/>
                <w:sz w:val="14"/>
                <w:szCs w:val="14"/>
                <w:b w:val="1"/>
                <w:bCs w:val="1"/>
                <w:color w:val="auto"/>
              </w:rPr>
              <w:t>As of</w:t>
            </w:r>
          </w:p>
        </w:tc>
        <w:tc>
          <w:tcPr>
            <w:tcW w:w="64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2012</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2,139,738</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Dividends payable and other temporary differences</w:t>
            </w:r>
          </w:p>
        </w:tc>
        <w:tc>
          <w:tcPr>
            <w:tcW w:w="220" w:type="dxa"/>
            <w:vAlign w:val="bottom"/>
          </w:tcPr>
          <w:p>
            <w:pPr>
              <w:spacing w:after="0"/>
              <w:rPr>
                <w:sz w:val="18"/>
                <w:szCs w:val="18"/>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(2,228,826)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(1,777,288)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Total accumulated surplus (deficit)</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544,803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(5,185,920)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Section 19(a) under the 1940 Act, $103,884 of the Company’s distributions paid to stockholders during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represent a distribution of long-term realized capital gains. The tax characteristics of dividends accrued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Ordinary income</w:t>
            </w:r>
          </w:p>
        </w:tc>
        <w:tc>
          <w:tcPr>
            <w:tcW w:w="3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6,130,222</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Long-Term capital gain</w:t>
            </w:r>
          </w:p>
        </w:tc>
        <w:tc>
          <w:tcPr>
            <w:tcW w:w="3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103,884</w:t>
            </w: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3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6,234,106</w:t>
            </w:r>
          </w:p>
        </w:tc>
        <w:tc>
          <w:tcPr>
            <w:tcW w:w="1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w:t>
            </w:r>
          </w:p>
        </w:tc>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60" w:type="dxa"/>
            <w:vAlign w:val="bottom"/>
            <w:gridSpan w:val="2"/>
            <w:vMerge w:val="continue"/>
          </w:tcPr>
          <w:p>
            <w:pPr>
              <w:spacing w:after="0"/>
              <w:rPr>
                <w:sz w:val="18"/>
                <w:szCs w:val="18"/>
                <w:color w:val="auto"/>
              </w:rPr>
            </w:pPr>
          </w:p>
        </w:tc>
        <w:tc>
          <w:tcPr>
            <w:tcW w:w="3320" w:type="dxa"/>
            <w:vAlign w:val="bottom"/>
            <w:gridSpan w:val="2"/>
          </w:tcPr>
          <w:p>
            <w:pPr>
              <w:ind w:left="316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0.91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20" w:type="dxa"/>
            <w:vAlign w:val="bottom"/>
            <w:gridSpan w:val="2"/>
          </w:tcPr>
          <w:p>
            <w:pPr>
              <w:ind w:left="1780"/>
              <w:spacing w:after="0"/>
              <w:rPr>
                <w:sz w:val="20"/>
                <w:szCs w:val="20"/>
                <w:color w:val="auto"/>
              </w:rPr>
            </w:pPr>
            <w:r>
              <w:rPr>
                <w:rFonts w:ascii="Arial" w:cs="Arial" w:eastAsia="Arial" w:hAnsi="Arial"/>
                <w:sz w:val="18"/>
                <w:szCs w:val="18"/>
                <w:color w:val="auto"/>
              </w:rPr>
              <w:t>S-66</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net assets and net asset value per share on September 30, 2012 and 2011 were $95.7 million and $13.98 per share and $92.1 million and $13.44 per share, respectively. Below are the financial highlights: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4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change in realized and unrealized gain (loss)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(0.91)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Offering costs</w:t>
            </w:r>
          </w:p>
        </w:tc>
        <w:tc>
          <w:tcPr>
            <w:tcW w:w="1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(0.30)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12.67</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6,850,667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6,850,667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Ratios / Supplemental Data*: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16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4.20%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interest and expenses to average net assets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6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6.09%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95,743,877</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46,133,607</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6.73</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annualized for period less than a year.</w:t>
      </w:r>
    </w:p>
    <w:p>
      <w:pPr>
        <w:spacing w:after="0" w:line="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Based on the weighted average shares outstanding for the period except for net asset value.</w:t>
      </w:r>
    </w:p>
    <w:p>
      <w:pPr>
        <w:spacing w:after="0" w:line="7"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8" w:lineRule="exact"/>
        <w:rPr>
          <w:rFonts w:ascii="Arial" w:cs="Arial" w:eastAsia="Arial" w:hAnsi="Arial"/>
          <w:sz w:val="20"/>
          <w:szCs w:val="20"/>
          <w:color w:val="auto"/>
          <w:vertAlign w:val="superscript"/>
        </w:rPr>
      </w:pPr>
    </w:p>
    <w:p>
      <w:pPr>
        <w:ind w:left="340" w:right="100" w:hanging="332"/>
        <w:spacing w:after="0" w:line="221" w:lineRule="auto"/>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340" w:hanging="332"/>
        <w:spacing w:after="0" w:line="205" w:lineRule="auto"/>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Operating expenses exclude Credit Facility related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44"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PennantPark Floating Rate Capital Ltd. and Funding I have made customary representations and warranties and are required to comply with various covenants, reporting requirements and other customary requirements for similar credit facilities.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Subsidiary (the “Company”), including the consolidated schedule of investments, as of December 31, 2012 and the consolidated statement of operations, changes in net assets, and cash flows for the three months ended December 31, 2012 and 2011. These consolidated financial statements are the responsibility of the Company’s management.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7, 2013</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(unaudited)</w:t>
            </w: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 (cost—$180,898,304 and $171,578,009,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180,795,910</w:t>
            </w: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171,834,400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3,987,645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3,845,803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1,089,228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256,196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186,128,979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178,366,661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565,180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Credit Facility payable (cost—$85,775,000 and $75,500,000, respectively) (See Notes 5 and 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85,775,000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75,122,500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458,986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fees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713,068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585,177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load charges (See Note 3)</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90,315,211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82,622,784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95,192,222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95,192,222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(949,667)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1,666,756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(102,394)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95,813,768</w:t>
            </w:r>
          </w:p>
        </w:tc>
        <w:tc>
          <w:tcPr>
            <w:tcW w:w="42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186,128,979</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178,366,661</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13.99</w:t>
            </w:r>
          </w:p>
        </w:tc>
        <w:tc>
          <w:tcPr>
            <w:tcW w:w="42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3,638,227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324,446</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3,962,673</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2,467,028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fees (See Note 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458,986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Performance-based incentive fees (See Note 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417,029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471,068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155,145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367,500</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b w:val="1"/>
                <w:bCs w:val="1"/>
                <w:color w:val="auto"/>
              </w:rPr>
              <w:t>Expenses before excise tax expense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1,869,728</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1,092,129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1,903,800</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1,092,129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2,058,873</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1,374,899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442,843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(358,785)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1,069,091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16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(377,500)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 on investments and Credit Facility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(736,285)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1,420,091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and unrealized (loss) gain from investments and Credit Facility</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(293,442)</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1,730,266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1,765,431</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3,105,165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(See Note 6)</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680" w:type="dxa"/>
            <w:vAlign w:val="bottom"/>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Three months ended December 31,</w:t>
            </w:r>
          </w:p>
        </w:tc>
      </w:tr>
      <w:tr>
        <w:trPr>
          <w:trHeight w:val="142"/>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2,058,873</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1,374,899</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442,843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310,175</w:t>
            </w: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(358,785)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1,069,091</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(377,500)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351,000</w:t>
            </w:r>
          </w:p>
        </w:tc>
      </w:tr>
      <w:tr>
        <w:trPr>
          <w:trHeight w:val="230"/>
        </w:trPr>
        <w:tc>
          <w:tcPr>
            <w:tcW w:w="20" w:type="dxa"/>
            <w:vAlign w:val="bottom"/>
          </w:tcPr>
          <w:p>
            <w:pPr>
              <w:spacing w:after="0"/>
              <w:rPr>
                <w:sz w:val="20"/>
                <w:szCs w:val="20"/>
                <w:color w:val="auto"/>
              </w:rPr>
            </w:pPr>
          </w:p>
        </w:tc>
        <w:tc>
          <w:tcPr>
            <w:tcW w:w="708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1,765,431</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3,105,165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(1,695,540)</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(1,438,640)</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69,891</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1,666,525</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95,743,877</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92,072,105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95,813,768</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93,738,630</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(949,667)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(1,456,269)</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1,765,431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3,105,165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reconcile net increase in net assets resulting from operations to net cash used for operating</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358,785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(1,069,091)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Net realized gain on investments</w:t>
            </w: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(442,843)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(236,560)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(38,911,333)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(39,340,500)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(65,478)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30,335,919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22,294,290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299,639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Decrease (increase) in receivables for investments sold</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986,278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(5,455,000)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55,117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(3,357,500)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9,613,630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Increase in management fee payable</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34,239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206,754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Increase in accrued expenses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138,057</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(8,454,745)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(11,337,518)</w:t>
            </w: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(1,678,413)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(1,438,640)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Notes 5 and 9)</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30,950,000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Notes 5 and 9)</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(20,675,000)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(12,550,000)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8,596,587</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9,011,360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141,842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(2,326,158)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3,987,645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4,661,292</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469,788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Basis</w:t>
      </w:r>
    </w:p>
    <w:p>
      <w:pPr>
        <w:spacing w:after="0" w:line="1"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Point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392"/>
        </w:trPr>
        <w:tc>
          <w:tcPr>
            <w:tcW w:w="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Above</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0"/>
        </w:trPr>
        <w:tc>
          <w:tcPr>
            <w:tcW w:w="7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Par /</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w:t>
            </w:r>
          </w:p>
        </w:tc>
      </w:tr>
      <w:tr>
        <w:trPr>
          <w:trHeight w:val="162"/>
        </w:trPr>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Issuer Name</w:t>
            </w: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5"/>
              </w:rPr>
              <w:t>Maturity</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Industry</w:t>
            </w:r>
          </w:p>
        </w:tc>
        <w:tc>
          <w:tcPr>
            <w:tcW w:w="1340" w:type="dxa"/>
            <w:vAlign w:val="bottom"/>
          </w:tcPr>
          <w:p>
            <w:pPr>
              <w:spacing w:after="0"/>
              <w:rPr>
                <w:sz w:val="14"/>
                <w:szCs w:val="14"/>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Coupon</w:t>
            </w:r>
          </w:p>
        </w:tc>
        <w:tc>
          <w:tcPr>
            <w:tcW w:w="580" w:type="dxa"/>
            <w:vAlign w:val="bottom"/>
            <w:gridSpan w:val="2"/>
          </w:tcPr>
          <w:p>
            <w:pPr>
              <w:jc w:val="center"/>
              <w:ind w:right="120"/>
              <w:spacing w:after="0" w:line="142" w:lineRule="exact"/>
              <w:rPr>
                <w:sz w:val="20"/>
                <w:szCs w:val="20"/>
                <w:color w:val="auto"/>
              </w:rPr>
            </w:pPr>
            <w:r>
              <w:rPr>
                <w:rFonts w:ascii="Arial" w:cs="Arial" w:eastAsia="Arial" w:hAnsi="Arial"/>
                <w:sz w:val="11"/>
                <w:szCs w:val="11"/>
                <w:b w:val="1"/>
                <w:bCs w:val="1"/>
                <w:color w:val="auto"/>
              </w:rPr>
              <w:t>Index</w:t>
            </w:r>
            <w:r>
              <w:rPr>
                <w:rFonts w:ascii="Arial" w:cs="Arial" w:eastAsia="Arial" w:hAnsi="Arial"/>
                <w:sz w:val="16"/>
                <w:szCs w:val="16"/>
                <w:b w:val="1"/>
                <w:bCs w:val="1"/>
                <w:color w:val="auto"/>
                <w:vertAlign w:val="superscript"/>
              </w:rPr>
              <w:t>(1)</w:t>
            </w:r>
          </w:p>
        </w:tc>
        <w:tc>
          <w:tcPr>
            <w:tcW w:w="140" w:type="dxa"/>
            <w:vAlign w:val="bottom"/>
          </w:tcPr>
          <w:p>
            <w:pPr>
              <w:spacing w:after="0"/>
              <w:rPr>
                <w:sz w:val="14"/>
                <w:szCs w:val="14"/>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4"/>
                <w:szCs w:val="14"/>
                <w:color w:val="auto"/>
              </w:rPr>
            </w:pPr>
          </w:p>
        </w:tc>
        <w:tc>
          <w:tcPr>
            <w:tcW w:w="7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6"/>
                <w:szCs w:val="16"/>
                <w:b w:val="1"/>
                <w:bCs w:val="1"/>
                <w:color w:val="auto"/>
                <w:vertAlign w:val="superscript"/>
              </w:rPr>
              <w:t>(2)</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89"/>
        </w:trPr>
        <w:tc>
          <w:tcPr>
            <w:tcW w:w="346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r>
        <w:trPr>
          <w:trHeight w:val="176"/>
        </w:trPr>
        <w:tc>
          <w:tcPr>
            <w:tcW w:w="34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b w:val="1"/>
                <w:bCs w:val="1"/>
                <w:color w:val="auto"/>
              </w:rPr>
              <w:t>Companies—188.7%</w:t>
            </w:r>
            <w:r>
              <w:rPr>
                <w:rFonts w:ascii="Arial" w:cs="Arial" w:eastAsia="Arial" w:hAnsi="Arial"/>
                <w:sz w:val="20"/>
                <w:szCs w:val="20"/>
                <w:b w:val="1"/>
                <w:bCs w:val="1"/>
                <w:color w:val="auto"/>
                <w:vertAlign w:val="superscript"/>
              </w:rPr>
              <w:t>(3),(4)</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Debt—164.0%</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 Con-Cise Optical Group LLC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10/24/2018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Wholesale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1,700,000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$1,683,400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$1,712,750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03/25/2015</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L+800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80,952</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81,160</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80,952</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ARC Auto Group,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11/15/2018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2,550,000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2,524,834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2,524,500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Archipelago Learning,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05/17/2018</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Media, Broadcasting and Subscription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948,508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975,000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10/06/2016</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2,970,000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2,930,861</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2,799,225</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11/22/2017</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2,887,500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2,834,313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2,907,094</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07/28/2017</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983,597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988,117</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C.H.I. Overhead Doors,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08/17/2017</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3,846,594</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3,785,671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3,853,006</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03/19/2018</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3,723,750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3,667,029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3,667,894</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12/01/2016</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985,689</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977,469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980,761</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08/29/2017</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L+900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3,970,000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3,898,734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4,074,212</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EAG,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07/28/2017</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P+350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925,363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921,658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920,736</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11/11/2019</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1,980,369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05/18/2018</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2,488,748</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2,468,631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2,494,970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05/02/2018</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2,992,500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2,881,158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2,955,094</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Fishnet Security,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11/30/2017</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2,970,167</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2,970,000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07/02/2018</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1,945,000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1,909,110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1,964,450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(5),(8)</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09/02/2019</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9.63%</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3,213,750</w:t>
            </w:r>
          </w:p>
        </w:tc>
      </w:tr>
      <w:tr>
        <w:trPr>
          <w:trHeight w:val="138"/>
        </w:trPr>
        <w:tc>
          <w:tcPr>
            <w:tcW w:w="3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GSE Environmental, Inc.</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9"/>
        </w:trPr>
        <w:tc>
          <w:tcPr>
            <w:tcW w:w="34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(f/k/aGundle/SLT Environmental, Inc.)</w:t>
            </w:r>
          </w:p>
        </w:tc>
        <w:tc>
          <w:tcPr>
            <w:tcW w:w="10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05/27/2016</w:t>
            </w:r>
          </w:p>
        </w:tc>
        <w:tc>
          <w:tcPr>
            <w:tcW w:w="304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8"/>
              </w:rPr>
              <w:t>Environmental Industries</w:t>
            </w:r>
          </w:p>
        </w:tc>
        <w:tc>
          <w:tcPr>
            <w:tcW w:w="9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9"/>
              </w:rPr>
              <w:t>2,949,343</w:t>
            </w:r>
          </w:p>
        </w:tc>
        <w:tc>
          <w:tcPr>
            <w:tcW w:w="7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2,927,771</w:t>
            </w:r>
          </w:p>
        </w:tc>
        <w:tc>
          <w:tcPr>
            <w:tcW w:w="7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2,934,596</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Healogics,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11/30/2017</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8.25%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4,950,000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4,735,663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4,956,187</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04/01/2019</w:t>
            </w:r>
          </w:p>
        </w:tc>
        <w:tc>
          <w:tcPr>
            <w:tcW w:w="11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1340"/>
              <w:spacing w:after="0" w:line="149" w:lineRule="exact"/>
              <w:rPr>
                <w:sz w:val="20"/>
                <w:szCs w:val="20"/>
                <w:color w:val="auto"/>
              </w:rPr>
            </w:pPr>
            <w:r>
              <w:rPr>
                <w:rFonts w:ascii="Arial" w:cs="Arial" w:eastAsia="Arial" w:hAnsi="Arial"/>
                <w:sz w:val="14"/>
                <w:szCs w:val="14"/>
                <w:color w:val="auto"/>
                <w:w w:val="89"/>
              </w:rPr>
              <w:t>Retail</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2,977,500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2,924,082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2,984,944</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Howard Berger Co. LLC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08/03/2017</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5"/>
              </w:rPr>
              <w:t>Wholesale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2,736,250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2,698,396</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2,708,887</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03/30/2017</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1,964,778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2,155,000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Ikaria,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06/22/2016</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1,695,750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1,687,478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1,704,229</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InfuSystem Holdings,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11/30/2016</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P+625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2,175,000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2,175,000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2,180,297</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08/07/2014</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3.59%</w:t>
            </w:r>
            <w:r>
              <w:rPr>
                <w:rFonts w:ascii="Arial" w:cs="Arial" w:eastAsia="Arial" w:hAnsi="Arial"/>
                <w:sz w:val="17"/>
                <w:szCs w:val="17"/>
                <w:color w:val="auto"/>
                <w:vertAlign w:val="superscript"/>
              </w:rPr>
              <w:t>(9)</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L+338</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6,836,508</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6,574,255</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5,247,020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10/16/2017</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L+850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3,400,000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3,269,730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3,272,500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09/10/2015</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P+675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5,474,773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5,509,569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5,420,025</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06/02/2014</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4,925,000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4,846,902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4,826,500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Medpace Intermediateco,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06/19/2017</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1,844,649</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1,822,635</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1,752,417</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Milk Specialties Company</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11/09/2018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L+475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3,400,000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3,366,959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3,383,000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08/16/2019</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3,391,596</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3,342,843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3,238,974</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05/07/2018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2,366,529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2,347,524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2,358,837</w:t>
            </w:r>
          </w:p>
        </w:tc>
      </w:tr>
      <w:tr>
        <w:trPr>
          <w:trHeight w:val="122"/>
        </w:trPr>
        <w:tc>
          <w:tcPr>
            <w:tcW w:w="3460" w:type="dxa"/>
            <w:vAlign w:val="bottom"/>
            <w:gridSpan w:val="2"/>
          </w:tcPr>
          <w:p>
            <w:pPr>
              <w:spacing w:after="0" w:line="122" w:lineRule="exact"/>
              <w:rPr>
                <w:sz w:val="20"/>
                <w:szCs w:val="20"/>
                <w:color w:val="auto"/>
              </w:rPr>
            </w:pPr>
            <w:r>
              <w:rPr>
                <w:rFonts w:ascii="Arial" w:cs="Arial" w:eastAsia="Arial" w:hAnsi="Arial"/>
                <w:sz w:val="14"/>
                <w:szCs w:val="14"/>
                <w:color w:val="auto"/>
              </w:rPr>
              <w:t>MOSAID Technologies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6"/>
        </w:trPr>
        <w:tc>
          <w:tcPr>
            <w:tcW w:w="3460" w:type="dxa"/>
            <w:vAlign w:val="bottom"/>
            <w:gridSpan w:val="2"/>
          </w:tcPr>
          <w:p>
            <w:pPr>
              <w:ind w:left="220"/>
              <w:spacing w:after="0" w:line="176" w:lineRule="exact"/>
              <w:rPr>
                <w:sz w:val="20"/>
                <w:szCs w:val="20"/>
                <w:color w:val="auto"/>
              </w:rPr>
            </w:pPr>
            <w:r>
              <w:rPr>
                <w:rFonts w:ascii="Arial" w:cs="Arial" w:eastAsia="Arial" w:hAnsi="Arial"/>
                <w:sz w:val="13"/>
                <w:szCs w:val="13"/>
                <w:color w:val="auto"/>
              </w:rPr>
              <w:t>Incorporated</w:t>
            </w:r>
            <w:r>
              <w:rPr>
                <w:rFonts w:ascii="Arial" w:cs="Arial" w:eastAsia="Arial" w:hAnsi="Arial"/>
                <w:sz w:val="20"/>
                <w:szCs w:val="20"/>
                <w:color w:val="auto"/>
                <w:vertAlign w:val="superscript"/>
              </w:rPr>
              <w:t>(6)</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12/23/2016</w:t>
            </w:r>
          </w:p>
        </w:tc>
        <w:tc>
          <w:tcPr>
            <w:tcW w:w="304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High Tech Industries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8.50%</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2,831,250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2,773,496</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2,831,250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MX USA,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05/01/2017</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2,977,500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2,938,674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2,977,500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NAB Holdings, LLC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04/24/2018</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Banking, Finance, Insurance and Real Estate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962,244</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979,875</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12/19/2018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4,500,000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4,410,278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4,455,000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Pelican Products,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07/11/2018</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1,492,500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1,464,991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1,462,650</w:t>
            </w:r>
          </w:p>
        </w:tc>
      </w:tr>
      <w:tr>
        <w:trPr>
          <w:trHeight w:val="138"/>
        </w:trPr>
        <w:tc>
          <w:tcPr>
            <w:tcW w:w="3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0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08/01/2014</w:t>
            </w:r>
          </w:p>
        </w:tc>
        <w:tc>
          <w:tcPr>
            <w:tcW w:w="304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5.00%</w:t>
            </w:r>
          </w:p>
        </w:tc>
        <w:tc>
          <w:tcPr>
            <w:tcW w:w="5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L+400</w:t>
            </w:r>
          </w:p>
        </w:tc>
        <w:tc>
          <w:tcPr>
            <w:tcW w:w="7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9"/>
              </w:rPr>
              <w:t>5,497,273</w:t>
            </w:r>
          </w:p>
        </w:tc>
        <w:tc>
          <w:tcPr>
            <w:tcW w:w="7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5,005,505</w:t>
            </w: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4,833,021</w:t>
            </w:r>
          </w:p>
        </w:tc>
      </w:tr>
      <w:tr>
        <w:trPr>
          <w:trHeight w:val="173"/>
        </w:trPr>
        <w:tc>
          <w:tcPr>
            <w:tcW w:w="7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1.00%)</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2"/>
        </w:trPr>
        <w:tc>
          <w:tcPr>
            <w:tcW w:w="3460" w:type="dxa"/>
            <w:vAlign w:val="bottom"/>
            <w:gridSpan w:val="2"/>
          </w:tcPr>
          <w:p>
            <w:pPr>
              <w:spacing w:after="0"/>
              <w:rPr>
                <w:sz w:val="20"/>
                <w:szCs w:val="20"/>
                <w:color w:val="auto"/>
              </w:rPr>
            </w:pPr>
            <w:r>
              <w:rPr>
                <w:rFonts w:ascii="Arial" w:cs="Arial" w:eastAsia="Arial" w:hAnsi="Arial"/>
                <w:sz w:val="14"/>
                <w:szCs w:val="14"/>
                <w:color w:val="auto"/>
              </w:rPr>
              <w:t>Premier Dental Services, Inc.</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11/01/2018</w:t>
            </w:r>
          </w:p>
        </w:tc>
        <w:tc>
          <w:tcPr>
            <w:tcW w:w="304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Consumer Services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8.25%</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3,400,000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3,299,842</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3,298,000</w:t>
            </w: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Basis</w:t>
      </w:r>
    </w:p>
    <w:p>
      <w:pPr>
        <w:spacing w:after="0" w:line="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Point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Current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Above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Par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Fair</w:t>
            </w:r>
          </w:p>
        </w:tc>
      </w:tr>
      <w:tr>
        <w:trPr>
          <w:trHeight w:val="162"/>
        </w:trPr>
        <w:tc>
          <w:tcPr>
            <w:tcW w:w="3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Issuer Name</w:t>
            </w:r>
          </w:p>
        </w:tc>
        <w:tc>
          <w:tcPr>
            <w:tcW w:w="380" w:type="dxa"/>
            <w:vAlign w:val="bottom"/>
          </w:tcPr>
          <w:p>
            <w:pPr>
              <w:spacing w:after="0"/>
              <w:rPr>
                <w:sz w:val="14"/>
                <w:szCs w:val="14"/>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spacing w:after="0"/>
              <w:rPr>
                <w:sz w:val="14"/>
                <w:szCs w:val="14"/>
                <w:color w:val="auto"/>
              </w:rPr>
            </w:pPr>
          </w:p>
        </w:tc>
        <w:tc>
          <w:tcPr>
            <w:tcW w:w="1780" w:type="dxa"/>
            <w:vAlign w:val="bottom"/>
            <w:gridSpan w:val="2"/>
          </w:tcPr>
          <w:p>
            <w:pPr>
              <w:jc w:val="center"/>
              <w:ind w:right="1280"/>
              <w:spacing w:after="0" w:line="142" w:lineRule="exact"/>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Coupon</w:t>
            </w:r>
          </w:p>
        </w:tc>
        <w:tc>
          <w:tcPr>
            <w:tcW w:w="620" w:type="dxa"/>
            <w:vAlign w:val="bottom"/>
            <w:gridSpan w:val="2"/>
          </w:tcPr>
          <w:p>
            <w:pPr>
              <w:jc w:val="center"/>
              <w:ind w:right="80"/>
              <w:spacing w:after="0" w:line="142" w:lineRule="exact"/>
              <w:rPr>
                <w:sz w:val="20"/>
                <w:szCs w:val="20"/>
                <w:color w:val="auto"/>
              </w:rPr>
            </w:pPr>
            <w:r>
              <w:rPr>
                <w:rFonts w:ascii="Arial" w:cs="Arial" w:eastAsia="Arial" w:hAnsi="Arial"/>
                <w:sz w:val="11"/>
                <w:szCs w:val="11"/>
                <w:b w:val="1"/>
                <w:bCs w:val="1"/>
                <w:color w:val="auto"/>
              </w:rPr>
              <w:t>Index</w:t>
            </w:r>
            <w:r>
              <w:rPr>
                <w:rFonts w:ascii="Arial" w:cs="Arial" w:eastAsia="Arial" w:hAnsi="Arial"/>
                <w:sz w:val="16"/>
                <w:szCs w:val="16"/>
                <w:b w:val="1"/>
                <w:bCs w:val="1"/>
                <w:color w:val="auto"/>
                <w:vertAlign w:val="superscript"/>
              </w:rPr>
              <w:t>(1)</w:t>
            </w:r>
          </w:p>
        </w:tc>
        <w:tc>
          <w:tcPr>
            <w:tcW w:w="160" w:type="dxa"/>
            <w:vAlign w:val="bottom"/>
          </w:tcPr>
          <w:p>
            <w:pPr>
              <w:spacing w:after="0"/>
              <w:rPr>
                <w:sz w:val="14"/>
                <w:szCs w:val="14"/>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74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4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6"/>
                <w:szCs w:val="16"/>
                <w:b w:val="1"/>
                <w:bCs w:val="1"/>
                <w:color w:val="auto"/>
                <w:vertAlign w:val="superscript"/>
              </w:rPr>
              <w:t>(2)</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RiverBoat Corporation of Mississippi</w:t>
            </w:r>
          </w:p>
        </w:tc>
        <w:tc>
          <w:tcPr>
            <w:tcW w:w="1180" w:type="dxa"/>
            <w:vAlign w:val="bottom"/>
            <w:gridSpan w:val="3"/>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11/29/2016</w:t>
            </w:r>
          </w:p>
        </w:tc>
        <w:tc>
          <w:tcPr>
            <w:tcW w:w="2940" w:type="dxa"/>
            <w:vAlign w:val="bottom"/>
            <w:gridSpan w:val="3"/>
            <w:shd w:val="clear" w:color="auto" w:fill="CCEEFF"/>
          </w:tcPr>
          <w:p>
            <w:pPr>
              <w:jc w:val="center"/>
              <w:ind w:right="120"/>
              <w:spacing w:after="0" w:line="12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10.00%</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L+875</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4,250,000</w:t>
            </w:r>
          </w:p>
        </w:tc>
        <w:tc>
          <w:tcPr>
            <w:tcW w:w="84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4"/>
                <w:szCs w:val="14"/>
                <w:color w:val="auto"/>
              </w:rPr>
              <w:t>$  4,165,526</w:t>
            </w:r>
          </w:p>
        </w:tc>
        <w:tc>
          <w:tcPr>
            <w:tcW w:w="92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4"/>
                <w:szCs w:val="14"/>
                <w:color w:val="auto"/>
              </w:rPr>
              <w:t>$  4,186,250</w:t>
            </w: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08/24/2018</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Construction and Building</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2,957,148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3,004,821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05/31/2017</w:t>
            </w:r>
          </w:p>
        </w:tc>
        <w:tc>
          <w:tcPr>
            <w:tcW w:w="29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2,931,995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2,960,541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Seven Seas Cruises S. DE R.L.</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12/21/2018</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6.25%</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1,481,250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1,467,035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1,496,062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04/21/2017</w:t>
            </w:r>
          </w:p>
        </w:tc>
        <w:tc>
          <w:tcPr>
            <w:tcW w:w="29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Aerospace and Defense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2,780,743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2,760,235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2,739,032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12/20/2017</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Consumer Services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2,550,000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2,499,043</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2,508,562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01/29/2018</w:t>
            </w:r>
          </w:p>
        </w:tc>
        <w:tc>
          <w:tcPr>
            <w:tcW w:w="29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L+1,200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1,825,500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1,912,500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UniTek Global Services,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04/16/2018</w:t>
            </w:r>
          </w:p>
        </w:tc>
        <w:tc>
          <w:tcPr>
            <w:tcW w:w="29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1,932,949</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1,945,225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06/19/2017</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Consumer Services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L+475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2,932,445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2,858,962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06/02/2017</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5.75%</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L+450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1,477,500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1,471,641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1,451,644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Vantage Specialties,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02/09/2018</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Chemicals, Plastics and Rubber</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2,977,500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2,925,526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2,992,388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Viamedia Services Corp.</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04/19/2016</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Media: Advertising, Printing and Publishing</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4,031,333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3,995,934</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4,031,334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12/22/2016</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P+450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2,927,746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2,541,300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W3 CO.</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10/31/2017</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1,913,327</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1,977,525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 Pik,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08/10/2017</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Consumer Goods: Durable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3,447,500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3,418,540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3,430,263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08/30/2018</w:t>
            </w:r>
          </w:p>
        </w:tc>
        <w:tc>
          <w:tcPr>
            <w:tcW w:w="29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7"/>
              </w:rPr>
              <w:t>Consumer Goods: Non- Durable</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3,357,500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3,293,647</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3,374,288</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12.50%</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Z Wireless</w:t>
            </w:r>
          </w:p>
        </w:tc>
        <w:tc>
          <w:tcPr>
            <w:tcW w:w="11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12/21/2016</w:t>
            </w:r>
          </w:p>
        </w:tc>
        <w:tc>
          <w:tcPr>
            <w:tcW w:w="11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center"/>
              <w:ind w:right="1300"/>
              <w:spacing w:after="0" w:line="159" w:lineRule="exact"/>
              <w:rPr>
                <w:sz w:val="20"/>
                <w:szCs w:val="20"/>
                <w:color w:val="auto"/>
              </w:rPr>
            </w:pPr>
            <w:r>
              <w:rPr>
                <w:rFonts w:ascii="Arial" w:cs="Arial" w:eastAsia="Arial" w:hAnsi="Arial"/>
                <w:sz w:val="14"/>
                <w:szCs w:val="14"/>
                <w:color w:val="auto"/>
                <w:w w:val="89"/>
              </w:rPr>
              <w:t>Retail</w:t>
            </w:r>
          </w:p>
        </w:tc>
        <w:tc>
          <w:tcPr>
            <w:tcW w:w="10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95"/>
              </w:rPr>
              <w:t>(PIK 1.50%)</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7"/>
              </w:rPr>
              <w:t>L+1,225</w:t>
            </w:r>
          </w:p>
        </w:tc>
        <w:tc>
          <w:tcPr>
            <w:tcW w:w="7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2,700,000</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2,646,083</w:t>
            </w:r>
          </w:p>
        </w:tc>
        <w:tc>
          <w:tcPr>
            <w:tcW w:w="160" w:type="dxa"/>
            <w:vAlign w:val="bottom"/>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2,700,000</w:t>
            </w:r>
          </w:p>
        </w:tc>
        <w:tc>
          <w:tcPr>
            <w:tcW w:w="60" w:type="dxa"/>
            <w:vAlign w:val="bottom"/>
            <w:shd w:val="clear" w:color="auto" w:fill="CCEEFF"/>
          </w:tcPr>
          <w:p>
            <w:pPr>
              <w:spacing w:after="0"/>
              <w:rPr>
                <w:sz w:val="13"/>
                <w:szCs w:val="13"/>
                <w:color w:val="auto"/>
              </w:rPr>
            </w:pPr>
          </w:p>
        </w:tc>
      </w:tr>
      <w:tr>
        <w:trPr>
          <w:trHeight w:val="163"/>
        </w:trPr>
        <w:tc>
          <w:tcPr>
            <w:tcW w:w="3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157,559,604</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157,153,917</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Debt—11.0%</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(5),(8)</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09/01/2017</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Metals and Mining</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3,090,000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01/29/2018</w:t>
            </w:r>
          </w:p>
        </w:tc>
        <w:tc>
          <w:tcPr>
            <w:tcW w:w="29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L+900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995,566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w:t>
            </w:r>
          </w:p>
        </w:tc>
        <w:tc>
          <w:tcPr>
            <w:tcW w:w="60" w:type="dxa"/>
            <w:vAlign w:val="bottom"/>
            <w:shd w:val="clear" w:color="auto" w:fill="CCEEFF"/>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3100" w:type="dxa"/>
            <w:vAlign w:val="bottom"/>
            <w:gridSpan w:val="2"/>
          </w:tcPr>
          <w:p>
            <w:pPr>
              <w:spacing w:after="0" w:line="122" w:lineRule="exact"/>
              <w:rPr>
                <w:sz w:val="20"/>
                <w:szCs w:val="20"/>
                <w:color w:val="auto"/>
              </w:rPr>
            </w:pPr>
            <w:r>
              <w:rPr>
                <w:rFonts w:ascii="Arial" w:cs="Arial" w:eastAsia="Arial" w:hAnsi="Arial"/>
                <w:sz w:val="14"/>
                <w:szCs w:val="14"/>
                <w:color w:val="auto"/>
              </w:rPr>
              <w:t>Cannery Casino Resorts,</w:t>
            </w: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LLC</w:t>
            </w:r>
            <w:r>
              <w:rPr>
                <w:rFonts w:ascii="Arial" w:cs="Arial" w:eastAsia="Arial" w:hAnsi="Arial"/>
                <w:sz w:val="20"/>
                <w:szCs w:val="20"/>
                <w:color w:val="auto"/>
                <w:vertAlign w:val="superscript"/>
              </w:rPr>
              <w:t>(8)</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10/02/2019</w:t>
            </w:r>
          </w:p>
        </w:tc>
        <w:tc>
          <w:tcPr>
            <w:tcW w:w="2940" w:type="dxa"/>
            <w:vAlign w:val="bottom"/>
            <w:gridSpan w:val="3"/>
          </w:tcPr>
          <w:p>
            <w:pPr>
              <w:jc w:val="center"/>
              <w:ind w:right="120"/>
              <w:spacing w:after="0"/>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L+875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1,700,000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1,667,338</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1,606,500</w:t>
            </w:r>
          </w:p>
        </w:tc>
        <w:tc>
          <w:tcPr>
            <w:tcW w:w="6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(5),(8)</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09/01/2018</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1,970,677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2,310,000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05/09/2018</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Utilities: Water</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992,061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(5),(6),(8)</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05/15/2019</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1,586,250</w:t>
            </w:r>
          </w:p>
        </w:tc>
        <w:tc>
          <w:tcPr>
            <w:tcW w:w="60" w:type="dxa"/>
            <w:vAlign w:val="bottom"/>
            <w:shd w:val="clear" w:color="auto" w:fill="CCEEFF"/>
          </w:tcPr>
          <w:p>
            <w:pPr>
              <w:spacing w:after="0"/>
              <w:rPr>
                <w:sz w:val="12"/>
                <w:szCs w:val="12"/>
                <w:color w:val="auto"/>
              </w:rPr>
            </w:pPr>
          </w:p>
        </w:tc>
      </w:tr>
      <w:tr>
        <w:trPr>
          <w:trHeight w:val="163"/>
        </w:trPr>
        <w:tc>
          <w:tcPr>
            <w:tcW w:w="3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10,125,642</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10,542,750</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Subordinated Debt/Corporate Notes—12.1%</w:t>
            </w:r>
            <w:r>
              <w:rPr>
                <w:rFonts w:ascii="Arial" w:cs="Arial" w:eastAsia="Arial" w:hAnsi="Arial"/>
                <w:sz w:val="17"/>
                <w:szCs w:val="17"/>
                <w:b w:val="1"/>
                <w:bCs w:val="1"/>
                <w:color w:val="auto"/>
                <w:vertAlign w:val="superscript"/>
              </w:rPr>
              <w:t>(8)</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11/15/2015</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Consumer Goods: Non-Durable</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11.63%</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3,798,673</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2,644,501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12/01/2017</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980,340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1,007,500</w:t>
            </w:r>
          </w:p>
        </w:tc>
        <w:tc>
          <w:tcPr>
            <w:tcW w:w="6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Basis</w:t>
      </w:r>
    </w:p>
    <w:p>
      <w:pPr>
        <w:spacing w:after="0" w:line="1"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Point</w:t>
      </w:r>
    </w:p>
    <w:p>
      <w:pPr>
        <w:spacing w:after="0" w:line="217"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Spread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w w:val="93"/>
              </w:rPr>
              <w:t>Above</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 /</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3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4"/>
                <w:szCs w:val="14"/>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spacing w:after="0"/>
              <w:rPr>
                <w:sz w:val="14"/>
                <w:szCs w:val="14"/>
                <w:color w:val="auto"/>
              </w:rPr>
            </w:pPr>
          </w:p>
        </w:tc>
        <w:tc>
          <w:tcPr>
            <w:tcW w:w="1800" w:type="dxa"/>
            <w:vAlign w:val="bottom"/>
            <w:gridSpan w:val="2"/>
          </w:tcPr>
          <w:p>
            <w:pPr>
              <w:jc w:val="center"/>
              <w:ind w:right="1300"/>
              <w:spacing w:after="0" w:line="142" w:lineRule="exact"/>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spacing w:after="0" w:line="142" w:lineRule="exact"/>
              <w:rPr>
                <w:sz w:val="20"/>
                <w:szCs w:val="20"/>
                <w:color w:val="auto"/>
              </w:rPr>
            </w:pPr>
            <w:r>
              <w:rPr>
                <w:rFonts w:ascii="Arial" w:cs="Arial" w:eastAsia="Arial" w:hAnsi="Arial"/>
                <w:sz w:val="11"/>
                <w:szCs w:val="11"/>
                <w:b w:val="1"/>
                <w:bCs w:val="1"/>
                <w:color w:val="auto"/>
              </w:rPr>
              <w:t>Index</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20"/>
              <w:spacing w:after="0" w:line="14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336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TrustHouse Services Group, Inc.</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14.25%</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06/03/2019</w:t>
            </w:r>
          </w:p>
        </w:tc>
        <w:tc>
          <w:tcPr>
            <w:tcW w:w="296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95"/>
              </w:rPr>
              <w:t>(PIK 2.25%)</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4,560,151</w:t>
            </w:r>
          </w:p>
        </w:tc>
        <w:tc>
          <w:tcPr>
            <w:tcW w:w="90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4,483,524</w:t>
            </w:r>
          </w:p>
        </w:tc>
        <w:tc>
          <w:tcPr>
            <w:tcW w:w="6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4,560,151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1"/>
                <w:szCs w:val="11"/>
                <w:color w:val="auto"/>
              </w:rPr>
              <w:t>Vestcom International, Inc.</w:t>
            </w:r>
            <w:r>
              <w:rPr>
                <w:rFonts w:ascii="Arial" w:cs="Arial" w:eastAsia="Arial" w:hAnsi="Arial"/>
                <w:sz w:val="17"/>
                <w:szCs w:val="17"/>
                <w:color w:val="auto"/>
                <w:vertAlign w:val="superscript"/>
              </w:rPr>
              <w:t>(8)</w:t>
            </w: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06/27/2019</w:t>
            </w:r>
          </w:p>
        </w:tc>
        <w:tc>
          <w:tcPr>
            <w:tcW w:w="29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9"/>
              </w:rPr>
              <w:t>Media: Advertising, Printingand Publishing</w:t>
            </w:r>
          </w:p>
        </w:tc>
        <w:tc>
          <w:tcPr>
            <w:tcW w:w="10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12.00%</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3,333,333</w:t>
            </w: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3,266,707</w:t>
            </w:r>
          </w:p>
        </w:tc>
        <w:tc>
          <w:tcPr>
            <w:tcW w:w="6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3,333,333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12,529,244</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11,545,485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Interests—0.2%</w:t>
            </w:r>
            <w:r>
              <w:rPr>
                <w:rFonts w:ascii="Arial" w:cs="Arial" w:eastAsia="Arial" w:hAnsi="Arial"/>
                <w:sz w:val="17"/>
                <w:szCs w:val="17"/>
                <w:b w:val="1"/>
                <w:bCs w:val="1"/>
                <w:color w:val="auto"/>
                <w:vertAlign w:val="superscript"/>
              </w:rPr>
              <w:t>(7),(8)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96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12.50%</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176</w:t>
            </w:r>
          </w:p>
        </w:tc>
        <w:tc>
          <w:tcPr>
            <w:tcW w:w="90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110,697</w:t>
            </w:r>
          </w:p>
        </w:tc>
        <w:tc>
          <w:tcPr>
            <w:tcW w:w="6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194,585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Equity/Partnership Interests—1.4%</w:t>
            </w:r>
            <w:r>
              <w:rPr>
                <w:rFonts w:ascii="Arial" w:cs="Arial" w:eastAsia="Arial" w:hAnsi="Arial"/>
                <w:sz w:val="17"/>
                <w:szCs w:val="17"/>
                <w:b w:val="1"/>
                <w:bCs w:val="1"/>
                <w:color w:val="auto"/>
                <w:vertAlign w:val="superscript"/>
              </w:rPr>
              <w:t>(7),(8)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9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401,797</w:t>
            </w: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401,450</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1,118,935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14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96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8</w:t>
            </w:r>
          </w:p>
        </w:tc>
        <w:tc>
          <w:tcPr>
            <w:tcW w:w="900" w:type="dxa"/>
            <w:vAlign w:val="bottom"/>
            <w:gridSpan w:val="4"/>
          </w:tcPr>
          <w:p>
            <w:pPr>
              <w:jc w:val="right"/>
              <w:ind w:right="180"/>
              <w:spacing w:after="0" w:line="15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3"/>
                <w:szCs w:val="13"/>
                <w:color w:val="auto"/>
              </w:rPr>
            </w:pPr>
          </w:p>
        </w:tc>
        <w:tc>
          <w:tcPr>
            <w:tcW w:w="7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10,571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Vestcom Parent Holdings, Inc. (Vestcom International, Inc.)</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96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9"/>
              </w:rPr>
              <w:t>Media: Advertising, Printing and Publishing</w:t>
            </w: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15,179</w:t>
            </w: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166,667</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166,667</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Common Equity</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573,117</w:t>
            </w:r>
          </w:p>
        </w:tc>
        <w:tc>
          <w:tcPr>
            <w:tcW w:w="60" w:type="dxa"/>
            <w:vAlign w:val="bottom"/>
          </w:tcPr>
          <w:p>
            <w:pPr>
              <w:spacing w:after="0"/>
              <w:rPr>
                <w:sz w:val="13"/>
                <w:szCs w:val="13"/>
                <w:color w:val="auto"/>
              </w:rPr>
            </w:pPr>
          </w:p>
        </w:tc>
        <w:tc>
          <w:tcPr>
            <w:tcW w:w="76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1,359,173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8"/>
              </w:rPr>
              <w:t>Total Investments in Non-Controlled, Non-Affiliated</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w w:val="89"/>
              </w:rPr>
              <w:t>180,898,304</w:t>
            </w:r>
          </w:p>
        </w:tc>
        <w:tc>
          <w:tcPr>
            <w:tcW w:w="6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w w:val="84"/>
              </w:rPr>
              <w:t>180,795,910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3,987,645</w:t>
            </w:r>
          </w:p>
        </w:tc>
        <w:tc>
          <w:tcPr>
            <w:tcW w:w="6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3,987,645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Equivalents—192.9%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184,885,949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184,783,555</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Assets—(92.9)%</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w w:val="88"/>
              </w:rPr>
              <w:t>(88,969,787)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95,813,768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30"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8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8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Point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Current</w:t>
            </w: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Issuer Name</w:t>
            </w: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5"/>
              </w:rPr>
              <w:t>Maturity</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Coupon</w:t>
            </w:r>
          </w:p>
        </w:tc>
        <w:tc>
          <w:tcPr>
            <w:tcW w:w="600" w:type="dxa"/>
            <w:vAlign w:val="bottom"/>
            <w:gridSpan w:val="2"/>
          </w:tcPr>
          <w:p>
            <w:pPr>
              <w:jc w:val="center"/>
              <w:ind w:right="14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1"/>
              </w:rPr>
              <w:t>Shares</w:t>
            </w:r>
          </w:p>
        </w:tc>
        <w:tc>
          <w:tcPr>
            <w:tcW w:w="78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Companies—179.5%</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ind w:left="220"/>
              <w:spacing w:after="0"/>
              <w:rPr>
                <w:sz w:val="20"/>
                <w:szCs w:val="20"/>
                <w:color w:val="auto"/>
              </w:rPr>
            </w:pPr>
            <w:r>
              <w:rPr>
                <w:rFonts w:ascii="Arial" w:cs="Arial" w:eastAsia="Arial" w:hAnsi="Arial"/>
                <w:sz w:val="11"/>
                <w:szCs w:val="11"/>
                <w:b w:val="1"/>
                <w:bCs w:val="1"/>
                <w:color w:val="auto"/>
              </w:rPr>
              <w:t>(3),(4)</w:t>
            </w: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03/25/2015</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L+800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214,286</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  214,838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214,018</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Archipelago Learning,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05/17/2018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Media, Broadcasting and Subscription</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987,500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959,574</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10/06/2016</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2,937,079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2,962,613</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11/22/2017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2,943,750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2,888,381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2,960,309</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07/28/2017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985,747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02/15/2018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3,975,000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3,902,979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4,014,750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08/17/2017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3,866,119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3,801,408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3,859,675</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03/19/2018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3,733,125</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3,673,063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3,677,128</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12/01/2016</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981,827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08/29/2017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L+900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3,980,000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3,904,846</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4,109,350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07/28/2017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P+350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950,104</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946,081</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945,353</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04/20/2018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L+625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3,990,000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3,952,867</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4,009,950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05/18/2018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1,975,762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eResearchtechnology,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05/02/2018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L+650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2,884,003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11/30/2017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L+600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2,898,672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07/02/2018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1,956,496</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2,012,456</w:t>
            </w:r>
          </w:p>
        </w:tc>
        <w:tc>
          <w:tcPr>
            <w:tcW w:w="0" w:type="dxa"/>
            <w:vAlign w:val="bottom"/>
          </w:tcPr>
          <w:p>
            <w:pPr>
              <w:spacing w:after="0"/>
              <w:rPr>
                <w:sz w:val="1"/>
                <w:szCs w:val="1"/>
                <w:color w:val="auto"/>
              </w:rPr>
            </w:pPr>
          </w:p>
        </w:tc>
      </w:tr>
      <w:tr>
        <w:trPr>
          <w:trHeight w:val="122"/>
        </w:trPr>
        <w:tc>
          <w:tcPr>
            <w:tcW w:w="46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Graton Economic Development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color w:val="auto"/>
              </w:rPr>
              <w:t>Authority</w:t>
            </w:r>
            <w:r>
              <w:rPr>
                <w:rFonts w:ascii="Arial" w:cs="Arial" w:eastAsia="Arial" w:hAnsi="Arial"/>
                <w:sz w:val="20"/>
                <w:szCs w:val="20"/>
                <w:color w:val="auto"/>
                <w:vertAlign w:val="superscript"/>
              </w:rPr>
              <w:t>(5),(8)</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09/02/2019</w:t>
            </w:r>
          </w:p>
        </w:tc>
        <w:tc>
          <w:tcPr>
            <w:tcW w:w="22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3,120,000</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Gundle/SLT Environmental,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05/27/2016</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2,956,829</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2,933,351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2,934,653</w:t>
            </w:r>
          </w:p>
        </w:tc>
        <w:tc>
          <w:tcPr>
            <w:tcW w:w="0" w:type="dxa"/>
            <w:vAlign w:val="bottom"/>
          </w:tcPr>
          <w:p>
            <w:pPr>
              <w:spacing w:after="0"/>
              <w:rPr>
                <w:sz w:val="1"/>
                <w:szCs w:val="1"/>
                <w:color w:val="auto"/>
              </w:rPr>
            </w:pPr>
          </w:p>
        </w:tc>
      </w:tr>
      <w:tr>
        <w:trPr>
          <w:trHeight w:val="138"/>
        </w:trPr>
        <w:tc>
          <w:tcPr>
            <w:tcW w:w="4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Healogics, Inc.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(f/k/a National Healing Corp.)</w:t>
            </w:r>
          </w:p>
        </w:tc>
        <w:tc>
          <w:tcPr>
            <w:tcW w:w="8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9"/>
              </w:rPr>
              <w:t>11/30/2017</w:t>
            </w:r>
          </w:p>
        </w:tc>
        <w:tc>
          <w:tcPr>
            <w:tcW w:w="222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8.25%</w:t>
            </w: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L+675</w:t>
            </w: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4,962,500</w:t>
            </w:r>
          </w:p>
        </w:tc>
        <w:tc>
          <w:tcPr>
            <w:tcW w:w="7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4,742,008</w:t>
            </w:r>
          </w:p>
        </w:tc>
        <w:tc>
          <w:tcPr>
            <w:tcW w:w="7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4,925,281</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04/01/2019</w:t>
            </w:r>
          </w:p>
        </w:tc>
        <w:tc>
          <w:tcPr>
            <w:tcW w:w="880" w:type="dxa"/>
            <w:vAlign w:val="bottom"/>
          </w:tcPr>
          <w:p>
            <w:pPr>
              <w:spacing w:after="0"/>
              <w:rPr>
                <w:sz w:val="12"/>
                <w:szCs w:val="12"/>
                <w:color w:val="auto"/>
              </w:rPr>
            </w:pPr>
          </w:p>
        </w:tc>
        <w:tc>
          <w:tcPr>
            <w:tcW w:w="13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4"/>
              </w:rPr>
              <w:t>Retail</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2,985,000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2,929,228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2,992,463</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08/03/2017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Wholesale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2,743,125</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2,702,953</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2,715,694</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03/30/2017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11.50%</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1,963,159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Ikaria,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06/22/2016</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L+650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1,691,500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1,649,000</w:t>
            </w:r>
          </w:p>
        </w:tc>
        <w:tc>
          <w:tcPr>
            <w:tcW w:w="0" w:type="dxa"/>
            <w:vAlign w:val="bottom"/>
          </w:tcPr>
          <w:p>
            <w:pPr>
              <w:spacing w:after="0"/>
              <w:rPr>
                <w:sz w:val="1"/>
                <w:szCs w:val="1"/>
                <w:color w:val="auto"/>
              </w:rPr>
            </w:pPr>
          </w:p>
        </w:tc>
      </w:tr>
      <w:tr>
        <w:trPr>
          <w:trHeight w:val="138"/>
        </w:trPr>
        <w:tc>
          <w:tcPr>
            <w:tcW w:w="4600" w:type="dxa"/>
            <w:vAlign w:val="bottom"/>
            <w:gridSpan w:val="2"/>
          </w:tcPr>
          <w:p>
            <w:pPr>
              <w:spacing w:after="0" w:line="138" w:lineRule="exact"/>
              <w:rPr>
                <w:sz w:val="20"/>
                <w:szCs w:val="20"/>
                <w:color w:val="auto"/>
              </w:rPr>
            </w:pPr>
            <w:r>
              <w:rPr>
                <w:rFonts w:ascii="Arial" w:cs="Arial" w:eastAsia="Arial" w:hAnsi="Arial"/>
                <w:sz w:val="14"/>
                <w:szCs w:val="14"/>
                <w:color w:val="auto"/>
              </w:rPr>
              <w:t>Instant Web,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2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6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L+338</w:t>
            </w:r>
          </w:p>
        </w:tc>
        <w:tc>
          <w:tcPr>
            <w:tcW w:w="76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6,836,508</w:t>
            </w:r>
          </w:p>
        </w:tc>
        <w:tc>
          <w:tcPr>
            <w:tcW w:w="7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6,534,349</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5,247,020</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99"/>
              </w:rPr>
              <w:t>08/07/2014</w:t>
            </w:r>
          </w:p>
        </w:tc>
        <w:tc>
          <w:tcPr>
            <w:tcW w:w="22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09/10/2015</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L+775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5,476,250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5,512,699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5,558,394</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06/02/2014</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L+700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4,937,500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4,845,282</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4,863,438</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06/19/2017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1,844,649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1,821,373</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1,766,252</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08/16/2019</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3,400,000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3,349,374</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3,351,125</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05/07/2018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3,916,596</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1"/>
                <w:szCs w:val="11"/>
                <w:color w:val="auto"/>
              </w:rPr>
              <w:t>MOSAID Technologies Incorporated</w:t>
            </w:r>
            <w:r>
              <w:rPr>
                <w:rFonts w:ascii="Arial" w:cs="Arial" w:eastAsia="Arial" w:hAnsi="Arial"/>
                <w:sz w:val="17"/>
                <w:szCs w:val="17"/>
                <w:color w:val="auto"/>
                <w:vertAlign w:val="superscript"/>
              </w:rPr>
              <w:t>(6)</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12/23/2016</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L+700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2,887,500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2,826,368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2,887,500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05/01/2017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L+525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2,985,000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2,943,607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2,955,150</w:t>
            </w:r>
          </w:p>
        </w:tc>
        <w:tc>
          <w:tcPr>
            <w:tcW w:w="0" w:type="dxa"/>
            <w:vAlign w:val="bottom"/>
          </w:tcPr>
          <w:p>
            <w:pPr>
              <w:spacing w:after="0"/>
              <w:rPr>
                <w:sz w:val="1"/>
                <w:szCs w:val="1"/>
                <w:color w:val="auto"/>
              </w:rPr>
            </w:pPr>
          </w:p>
        </w:tc>
      </w:tr>
      <w:tr>
        <w:trPr>
          <w:trHeight w:val="138"/>
        </w:trPr>
        <w:tc>
          <w:tcPr>
            <w:tcW w:w="4600" w:type="dxa"/>
            <w:vAlign w:val="bottom"/>
            <w:gridSpan w:val="2"/>
          </w:tcPr>
          <w:p>
            <w:pPr>
              <w:spacing w:after="0" w:line="138" w:lineRule="exact"/>
              <w:rPr>
                <w:sz w:val="20"/>
                <w:szCs w:val="20"/>
                <w:color w:val="auto"/>
              </w:rPr>
            </w:pPr>
            <w:r>
              <w:rPr>
                <w:rFonts w:ascii="Arial" w:cs="Arial" w:eastAsia="Arial" w:hAnsi="Arial"/>
                <w:sz w:val="14"/>
                <w:szCs w:val="14"/>
                <w:color w:val="auto"/>
              </w:rPr>
              <w:t>NAB Holdings, LLC</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99"/>
              </w:rPr>
              <w:t>04/24/2018</w:t>
            </w:r>
          </w:p>
        </w:tc>
        <w:tc>
          <w:tcPr>
            <w:tcW w:w="222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Banking, Finance, Insurance and</w:t>
            </w: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7.00%</w:t>
            </w:r>
          </w:p>
        </w:tc>
        <w:tc>
          <w:tcPr>
            <w:tcW w:w="6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L+550</w:t>
            </w:r>
          </w:p>
        </w:tc>
        <w:tc>
          <w:tcPr>
            <w:tcW w:w="76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987,500</w:t>
            </w:r>
          </w:p>
        </w:tc>
        <w:tc>
          <w:tcPr>
            <w:tcW w:w="7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973,817</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997,375</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Real Estate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07/11/2018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1,496,250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1,467,389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1,492,509</w:t>
            </w: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5.00%</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0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08/01/2014</w:t>
            </w:r>
          </w:p>
        </w:tc>
        <w:tc>
          <w:tcPr>
            <w:tcW w:w="2220" w:type="dxa"/>
            <w:vAlign w:val="bottom"/>
            <w:gridSpan w:val="3"/>
          </w:tcPr>
          <w:p>
            <w:pPr>
              <w:jc w:val="center"/>
              <w:spacing w:after="0"/>
              <w:rPr>
                <w:sz w:val="20"/>
                <w:szCs w:val="20"/>
                <w:color w:val="auto"/>
              </w:rPr>
            </w:pPr>
            <w:r>
              <w:rPr>
                <w:rFonts w:ascii="Arial" w:cs="Arial" w:eastAsia="Arial" w:hAnsi="Arial"/>
                <w:sz w:val="14"/>
                <w:szCs w:val="14"/>
                <w:color w:val="auto"/>
                <w:w w:val="89"/>
              </w:rPr>
              <w:t>Media: Diversified and Production</w:t>
            </w: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(PIK 1.00%)</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L+400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5,497,407</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4,931,995</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4,439,156</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05/08/2017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L+450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1,958,715</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1,967,594</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Pro Mach,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07/06/2017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978,077</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970,036</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967,889</w:t>
            </w:r>
          </w:p>
        </w:tc>
        <w:tc>
          <w:tcPr>
            <w:tcW w:w="0" w:type="dxa"/>
            <w:vAlign w:val="bottom"/>
          </w:tcPr>
          <w:p>
            <w:pPr>
              <w:spacing w:after="0"/>
              <w:rPr>
                <w:sz w:val="1"/>
                <w:szCs w:val="1"/>
                <w:color w:val="auto"/>
              </w:rPr>
            </w:pPr>
          </w:p>
        </w:tc>
      </w:tr>
      <w:tr>
        <w:trPr>
          <w:trHeight w:val="138"/>
        </w:trPr>
        <w:tc>
          <w:tcPr>
            <w:tcW w:w="4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Renaissance Learning, Inc.</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99"/>
              </w:rPr>
              <w:t>10/19/2017</w:t>
            </w:r>
          </w:p>
        </w:tc>
        <w:tc>
          <w:tcPr>
            <w:tcW w:w="222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7.75%</w:t>
            </w:r>
          </w:p>
        </w:tc>
        <w:tc>
          <w:tcPr>
            <w:tcW w:w="6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L+625</w:t>
            </w:r>
          </w:p>
        </w:tc>
        <w:tc>
          <w:tcPr>
            <w:tcW w:w="7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1,980,000</w:t>
            </w:r>
          </w:p>
        </w:tc>
        <w:tc>
          <w:tcPr>
            <w:tcW w:w="7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1,909,788</w:t>
            </w: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1,994,850</w:t>
            </w: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0"/>
              </w:rPr>
              <w:t>Subscription</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Rocket Software,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02/08/2018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3,970,000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3,898,141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3,970,000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08/24/2018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Construction and Building</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2,955,509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2,973,126</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Securus Technologies,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05/31/2017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L+525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2,962,500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2,938,182</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2,960,648</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Seven Seas Cruises S. DE R.L.</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12/21/2018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1,485,300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1,505,625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Point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98"/>
              </w:rPr>
              <w:t>Above</w:t>
            </w:r>
          </w:p>
        </w:tc>
        <w:tc>
          <w:tcPr>
            <w:tcW w:w="1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2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760" w:type="dxa"/>
            <w:vAlign w:val="bottom"/>
          </w:tcPr>
          <w:p>
            <w:pPr>
              <w:spacing w:after="0"/>
              <w:rPr>
                <w:sz w:val="12"/>
                <w:szCs w:val="12"/>
                <w:color w:val="auto"/>
              </w:rPr>
            </w:pPr>
          </w:p>
        </w:tc>
        <w:tc>
          <w:tcPr>
            <w:tcW w:w="126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0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180" w:type="dxa"/>
            <w:vAlign w:val="bottom"/>
          </w:tcPr>
          <w:p>
            <w:pPr>
              <w:spacing w:after="0"/>
              <w:rPr>
                <w:sz w:val="12"/>
                <w:szCs w:val="12"/>
                <w:color w:val="auto"/>
              </w:rPr>
            </w:pPr>
          </w:p>
        </w:tc>
        <w:tc>
          <w:tcPr>
            <w:tcW w:w="6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5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76"/>
              </w:rPr>
              <w:t>Cost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center"/>
              <w:ind w:right="24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Sotera Defense Solutions, Inc.</w:t>
            </w:r>
          </w:p>
        </w:tc>
        <w:tc>
          <w:tcPr>
            <w:tcW w:w="152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04/21/2017</w:t>
            </w:r>
          </w:p>
        </w:tc>
        <w:tc>
          <w:tcPr>
            <w:tcW w:w="2020" w:type="dxa"/>
            <w:vAlign w:val="bottom"/>
            <w:gridSpan w:val="3"/>
            <w:shd w:val="clear" w:color="auto" w:fill="CCEEFF"/>
          </w:tcPr>
          <w:p>
            <w:pPr>
              <w:jc w:val="center"/>
              <w:spacing w:after="0" w:line="129" w:lineRule="exact"/>
              <w:rPr>
                <w:sz w:val="20"/>
                <w:szCs w:val="20"/>
                <w:color w:val="auto"/>
              </w:rPr>
            </w:pPr>
            <w:r>
              <w:rPr>
                <w:rFonts w:ascii="Arial" w:cs="Arial" w:eastAsia="Arial" w:hAnsi="Arial"/>
                <w:sz w:val="14"/>
                <w:szCs w:val="14"/>
                <w:color w:val="auto"/>
                <w:w w:val="83"/>
              </w:rPr>
              <w:t>Aerospace and Defense</w:t>
            </w:r>
          </w:p>
        </w:tc>
        <w:tc>
          <w:tcPr>
            <w:tcW w:w="8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7.00%</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L+550</w:t>
            </w: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2,962,512</w:t>
            </w:r>
          </w:p>
        </w:tc>
        <w:tc>
          <w:tcPr>
            <w:tcW w:w="74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4"/>
                <w:szCs w:val="14"/>
                <w:color w:val="auto"/>
                <w:w w:val="92"/>
              </w:rPr>
              <w:t>$  2,939,052</w:t>
            </w:r>
          </w:p>
        </w:tc>
        <w:tc>
          <w:tcPr>
            <w:tcW w:w="1020" w:type="dxa"/>
            <w:vAlign w:val="bottom"/>
            <w:gridSpan w:val="5"/>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  2,932,887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01/29/2018</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147,935</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01/29/2018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L+1,200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1,875,000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1,823,914</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1,914,375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10/27/2017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992,500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958,036</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992,500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04/16/2018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1,995,000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1,935,550</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1,950,113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06/19/2017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L+475</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2,962,500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2,938,318</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2,844,000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06/02/2017</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L+450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1,481,250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1,474,945</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1,466,438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Vantage Specialties,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02/09/2018</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2,985,000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2,930,559</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2,999,925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2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04/19/2016</w:t>
            </w:r>
          </w:p>
        </w:tc>
        <w:tc>
          <w:tcPr>
            <w:tcW w:w="202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7.00%</w:t>
            </w:r>
          </w:p>
        </w:tc>
        <w:tc>
          <w:tcPr>
            <w:tcW w:w="6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L+550</w:t>
            </w:r>
          </w:p>
        </w:tc>
        <w:tc>
          <w:tcPr>
            <w:tcW w:w="86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4,187,556</w:t>
            </w:r>
          </w:p>
        </w:tc>
        <w:tc>
          <w:tcPr>
            <w:tcW w:w="7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4,147,483</w:t>
            </w:r>
          </w:p>
        </w:tc>
        <w:tc>
          <w:tcPr>
            <w:tcW w:w="102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4,187,556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12/22/2016</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7.75%</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P+450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2,970,000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2,940,842</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2,643,300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10/31/2017</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1,916,035</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1,982,519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08/10/2017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6.75%</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L+525</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3,465,000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3,434,281</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3,456,338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03/23/2018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L+425</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08/30/2018</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3,332,763</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3,417,000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(5),(8)</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07/15/2016</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11.38%</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4,000,000</w:t>
            </w: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2"/>
              </w:rPr>
              <w:t>150,258,038</w:t>
            </w:r>
          </w:p>
        </w:tc>
        <w:tc>
          <w:tcPr>
            <w:tcW w:w="102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150,209,747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(5),(8)</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09/01/2017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Metals and Mining</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11.50%</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3,000,000</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3,082,500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01/29/2018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L+900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Cannery Casino Resorts, LLC</w:t>
            </w:r>
            <w:r>
              <w:rPr>
                <w:rFonts w:ascii="Arial" w:cs="Arial" w:eastAsia="Arial" w:hAnsi="Arial"/>
                <w:sz w:val="17"/>
                <w:szCs w:val="17"/>
                <w:color w:val="auto"/>
                <w:vertAlign w:val="superscript"/>
              </w:rPr>
              <w:t>(8)</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10/02/2019</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L+875</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1,666,000</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1,691,500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11/06/2018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10.25%</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L+875</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1,475,250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gridSpan w:val="2"/>
          </w:tcPr>
          <w:p>
            <w:pPr>
              <w:spacing w:after="0" w:line="122" w:lineRule="exact"/>
              <w:rPr>
                <w:sz w:val="20"/>
                <w:szCs w:val="20"/>
                <w:color w:val="auto"/>
              </w:rPr>
            </w:pPr>
            <w:r>
              <w:rPr>
                <w:rFonts w:ascii="Arial" w:cs="Arial" w:eastAsia="Arial" w:hAnsi="Arial"/>
                <w:sz w:val="14"/>
                <w:szCs w:val="14"/>
                <w:color w:val="auto"/>
              </w:rPr>
              <w:t>ROC Finance LLC and ROC Finance 1</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gridSpan w:val="2"/>
          </w:tcPr>
          <w:p>
            <w:pPr>
              <w:ind w:left="200"/>
              <w:spacing w:after="0" w:line="176" w:lineRule="exact"/>
              <w:rPr>
                <w:sz w:val="20"/>
                <w:szCs w:val="20"/>
                <w:color w:val="auto"/>
              </w:rPr>
            </w:pPr>
            <w:r>
              <w:rPr>
                <w:rFonts w:ascii="Arial" w:cs="Arial" w:eastAsia="Arial" w:hAnsi="Arial"/>
                <w:sz w:val="20"/>
                <w:szCs w:val="20"/>
                <w:color w:val="auto"/>
                <w:vertAlign w:val="subscript"/>
              </w:rPr>
              <w:t>Corp</w:t>
            </w:r>
            <w:r>
              <w:rPr>
                <w:rFonts w:ascii="Arial" w:cs="Arial" w:eastAsia="Arial" w:hAnsi="Arial"/>
                <w:sz w:val="9"/>
                <w:szCs w:val="9"/>
                <w:color w:val="auto"/>
              </w:rPr>
              <w:t>(5),(8)</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color w:val="auto"/>
              </w:rPr>
              <w:t>09/01/2018</w:t>
            </w:r>
          </w:p>
        </w:tc>
        <w:tc>
          <w:tcPr>
            <w:tcW w:w="2020" w:type="dxa"/>
            <w:vAlign w:val="bottom"/>
            <w:gridSpan w:val="3"/>
          </w:tcPr>
          <w:p>
            <w:pPr>
              <w:jc w:val="center"/>
              <w:spacing w:after="0"/>
              <w:rPr>
                <w:sz w:val="20"/>
                <w:szCs w:val="20"/>
                <w:color w:val="auto"/>
              </w:rPr>
            </w:pPr>
            <w:r>
              <w:rPr>
                <w:rFonts w:ascii="Arial" w:cs="Arial" w:eastAsia="Arial" w:hAnsi="Arial"/>
                <w:sz w:val="14"/>
                <w:szCs w:val="14"/>
                <w:color w:val="auto"/>
                <w:w w:val="87"/>
              </w:rPr>
              <w:t>Hotel, Gaming and Leisure</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12.13%</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2,000,000</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1,969,103</w:t>
            </w:r>
          </w:p>
        </w:tc>
        <w:tc>
          <w:tcPr>
            <w:tcW w:w="1020" w:type="dxa"/>
            <w:vAlign w:val="bottom"/>
            <w:gridSpan w:val="5"/>
          </w:tcPr>
          <w:p>
            <w:pPr>
              <w:jc w:val="right"/>
              <w:ind w:right="80"/>
              <w:spacing w:after="0"/>
              <w:rPr>
                <w:sz w:val="20"/>
                <w:szCs w:val="20"/>
                <w:color w:val="auto"/>
              </w:rPr>
            </w:pPr>
            <w:r>
              <w:rPr>
                <w:rFonts w:ascii="Arial" w:cs="Arial" w:eastAsia="Arial" w:hAnsi="Arial"/>
                <w:sz w:val="14"/>
                <w:szCs w:val="14"/>
                <w:color w:val="auto"/>
              </w:rPr>
              <w:t>2,320,000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05/09/2018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Utilities: Water</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L+725</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(5),(6),(8)</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05/15/2019</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9.13%</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1,500,000</w:t>
            </w:r>
          </w:p>
        </w:tc>
        <w:tc>
          <w:tcPr>
            <w:tcW w:w="1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11,608,643</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Subordinated Debt/Corporate Notes—8.7%</w:t>
            </w:r>
            <w:r>
              <w:rPr>
                <w:rFonts w:ascii="Arial" w:cs="Arial" w:eastAsia="Arial" w:hAnsi="Arial"/>
                <w:sz w:val="18"/>
                <w:szCs w:val="18"/>
                <w:b w:val="1"/>
                <w:bCs w:val="1"/>
                <w:color w:val="auto"/>
                <w:vertAlign w:val="superscript"/>
              </w:rPr>
              <w:t>(8)</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11/15/2015</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11.63%</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12/01/2017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13.00%</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980,074</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14.25%</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Group, Inc.</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06/03/2019</w:t>
            </w:r>
          </w:p>
        </w:tc>
        <w:tc>
          <w:tcPr>
            <w:tcW w:w="20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5"/>
              </w:rPr>
              <w:t>Beverage, Food and Tobacco</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 2.25%)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4,508,719</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4,432,092</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4,508,719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9,194,181</w:t>
            </w:r>
          </w:p>
        </w:tc>
        <w:tc>
          <w:tcPr>
            <w:tcW w:w="102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8,296,719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Interests—0.2%</w:t>
            </w:r>
            <w:r>
              <w:rPr>
                <w:rFonts w:ascii="Arial" w:cs="Arial" w:eastAsia="Arial" w:hAnsi="Arial"/>
                <w:sz w:val="17"/>
                <w:szCs w:val="17"/>
                <w:b w:val="1"/>
                <w:bCs w:val="1"/>
                <w:color w:val="auto"/>
                <w:vertAlign w:val="superscript"/>
              </w:rPr>
              <w:t>(7),(8)</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82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Beverage, Food and Tobacco</w:t>
            </w: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12.50%</w:t>
            </w: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176</w:t>
            </w: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110,697</w:t>
            </w:r>
          </w:p>
        </w:tc>
        <w:tc>
          <w:tcPr>
            <w:tcW w:w="1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200,571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0"/>
              </w:rPr>
              <w:t>Basis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Point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Spread</w:t>
            </w: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4"/>
              </w:rPr>
              <w:t>Above</w:t>
            </w:r>
          </w:p>
        </w:tc>
        <w:tc>
          <w:tcPr>
            <w:tcW w:w="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5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2"/>
                <w:szCs w:val="12"/>
                <w:color w:val="auto"/>
              </w:rPr>
            </w:pPr>
          </w:p>
        </w:tc>
        <w:tc>
          <w:tcPr>
            <w:tcW w:w="112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4"/>
              </w:rPr>
              <w:t>Industry</w:t>
            </w: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4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540" w:type="dxa"/>
            <w:vAlign w:val="bottom"/>
            <w:gridSpan w:val="2"/>
            <w:shd w:val="clear" w:color="auto" w:fill="CCEEFF"/>
          </w:tcPr>
          <w:p>
            <w:pPr>
              <w:spacing w:after="0" w:line="116" w:lineRule="exact"/>
              <w:rPr>
                <w:sz w:val="20"/>
                <w:szCs w:val="20"/>
                <w:color w:val="auto"/>
              </w:rPr>
            </w:pPr>
            <w:r>
              <w:rPr>
                <w:rFonts w:ascii="Arial" w:cs="Arial" w:eastAsia="Arial" w:hAnsi="Arial"/>
                <w:sz w:val="9"/>
                <w:szCs w:val="9"/>
                <w:b w:val="1"/>
                <w:bCs w:val="1"/>
                <w:color w:val="auto"/>
              </w:rPr>
              <w:t>Common Equity/Partnership Interests—1.1%</w:t>
            </w:r>
            <w:r>
              <w:rPr>
                <w:rFonts w:ascii="Arial" w:cs="Arial" w:eastAsia="Arial" w:hAnsi="Arial"/>
                <w:sz w:val="13"/>
                <w:szCs w:val="13"/>
                <w:b w:val="1"/>
                <w:bCs w:val="1"/>
                <w:color w:val="auto"/>
                <w:vertAlign w:val="superscript"/>
              </w:rPr>
              <w:t>(7),(8)</w:t>
            </w: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gridSpan w:val="2"/>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1960" w:type="dxa"/>
            <w:vAlign w:val="bottom"/>
            <w:gridSpan w:val="3"/>
          </w:tcPr>
          <w:p>
            <w:pPr>
              <w:jc w:val="center"/>
              <w:ind w:left="172"/>
              <w:spacing w:after="0" w:line="159" w:lineRule="exact"/>
              <w:rPr>
                <w:sz w:val="20"/>
                <w:szCs w:val="20"/>
                <w:color w:val="auto"/>
              </w:rPr>
            </w:pPr>
            <w:r>
              <w:rPr>
                <w:rFonts w:ascii="Arial" w:cs="Arial" w:eastAsia="Arial" w:hAnsi="Arial"/>
                <w:sz w:val="14"/>
                <w:szCs w:val="14"/>
                <w:color w:val="auto"/>
                <w:w w:val="87"/>
              </w:rPr>
              <w:t>Telecommunications</w:t>
            </w:r>
          </w:p>
        </w:tc>
        <w:tc>
          <w:tcPr>
            <w:tcW w:w="7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6"/>
              </w:rPr>
              <w:t>401,797</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401,450</w:t>
            </w:r>
          </w:p>
        </w:tc>
        <w:tc>
          <w:tcPr>
            <w:tcW w:w="3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1,091,018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1960" w:type="dxa"/>
            <w:vAlign w:val="bottom"/>
            <w:gridSpan w:val="3"/>
            <w:shd w:val="clear" w:color="auto" w:fill="CCEEFF"/>
          </w:tcPr>
          <w:p>
            <w:pPr>
              <w:jc w:val="center"/>
              <w:ind w:left="172"/>
              <w:spacing w:after="0" w:line="159" w:lineRule="exact"/>
              <w:rPr>
                <w:sz w:val="20"/>
                <w:szCs w:val="20"/>
                <w:color w:val="auto"/>
              </w:rPr>
            </w:pPr>
            <w:r>
              <w:rPr>
                <w:rFonts w:ascii="Arial" w:cs="Arial" w:eastAsia="Arial" w:hAnsi="Arial"/>
                <w:sz w:val="14"/>
                <w:szCs w:val="14"/>
                <w:color w:val="auto"/>
                <w:w w:val="84"/>
              </w:rPr>
              <w:t>Beverage, Food and Tobacco</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10,845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406,450</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1,101,863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Total Investments in Non-Controlled, Non-Affiliated Portfolio Companies</w:t>
            </w: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171,578,009</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Equivalents—4.0%</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3,845,803</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3,845,803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5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w:t>
            </w: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Equivalents—183.5%</w:t>
            </w: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7"/>
              </w:rPr>
              <w:t>175,423,812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4"/>
              </w:rPr>
              <w:t>175,680,203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6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w w:val="90"/>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95,743,877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3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In connection with our April 2011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In March 2011, we sold 667 shares of common stock for $10,000 ($15.00 per share) to the Investment Adviser. See Note 3.</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93" w:lineRule="exact"/>
        <w:rPr>
          <w:sz w:val="20"/>
          <w:szCs w:val="20"/>
          <w:color w:val="auto"/>
        </w:rPr>
      </w:pPr>
    </w:p>
    <w:p>
      <w:pPr>
        <w:ind w:left="1480" w:hanging="479"/>
        <w:spacing w:after="0"/>
        <w:tabs>
          <w:tab w:leader="none" w:pos="148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right="180" w:hanging="446"/>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50" w:lineRule="exact"/>
        <w:rPr>
          <w:rFonts w:ascii="Arial" w:cs="Arial" w:eastAsia="Arial" w:hAnsi="Arial"/>
          <w:sz w:val="18"/>
          <w:szCs w:val="18"/>
          <w:color w:val="auto"/>
        </w:rPr>
      </w:pPr>
    </w:p>
    <w:p>
      <w:pPr>
        <w:ind w:left="1480" w:hanging="479"/>
        <w:spacing w:after="0"/>
        <w:tabs>
          <w:tab w:leader="none" w:pos="1480" w:val="left"/>
        </w:tabs>
        <w:numPr>
          <w:ilvl w:val="1"/>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pay an excise tax of less than $0.1 million for the three months ended December 31, 2012.</w:t>
      </w:r>
    </w:p>
    <w:p>
      <w:pPr>
        <w:spacing w:after="0" w:line="12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ASC 740-10-25 nor did we have any unrecognized tax benefits as of the periods presented herein. Although we file federal and state tax returns, our major tax jurisdiction is federal. Our tax return for our federal tax year 2011 remains subject to examination by the Internal Revenue Service and the state department of revenue.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65" w:lineRule="exact"/>
        <w:rPr>
          <w:sz w:val="20"/>
          <w:szCs w:val="20"/>
          <w:color w:val="auto"/>
        </w:rPr>
      </w:pPr>
    </w:p>
    <w:p>
      <w:pPr>
        <w:ind w:left="1480" w:hanging="479"/>
        <w:spacing w:after="0"/>
        <w:tabs>
          <w:tab w:leader="none" w:pos="14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 — Investment Companies—Consolidation,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1480" w:hanging="479"/>
        <w:spacing w:after="0"/>
        <w:tabs>
          <w:tab w:leader="none" w:pos="148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 Transfers and Servicing</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are not intended to be available to the creditors of PennantPark Floating Rate Capital Ltd. or any affiliate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independent directors, in February 2013.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three months ended December 31, 2012 and 2011, the Investment Adviser earned base management fees of $0.5 million and $0.3 million, respectively, from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4" w:lineRule="exact"/>
        <w:rPr>
          <w:sz w:val="20"/>
          <w:szCs w:val="20"/>
          <w:color w:val="auto"/>
        </w:rPr>
      </w:pPr>
    </w:p>
    <w:p>
      <w:pPr>
        <w:jc w:val="both"/>
        <w:ind w:right="80" w:firstLine="8"/>
        <w:spacing w:after="0" w:line="300" w:lineRule="auto"/>
        <w:tabs>
          <w:tab w:leader="none" w:pos="249"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w:t>
      </w:r>
    </w:p>
    <w:p>
      <w:pPr>
        <w:spacing w:after="0" w:line="1" w:lineRule="exact"/>
        <w:rPr>
          <w:rFonts w:ascii="Arial" w:cs="Arial" w:eastAsia="Arial" w:hAnsi="Arial"/>
          <w:sz w:val="15"/>
          <w:szCs w:val="15"/>
          <w:color w:val="auto"/>
        </w:rPr>
      </w:pPr>
    </w:p>
    <w:p>
      <w:pPr>
        <w:ind w:right="160"/>
        <w:spacing w:after="0" w:line="255" w:lineRule="auto"/>
        <w:rPr>
          <w:rFonts w:ascii="Arial" w:cs="Arial" w:eastAsia="Arial" w:hAnsi="Arial"/>
          <w:sz w:val="15"/>
          <w:szCs w:val="15"/>
          <w:color w:val="auto"/>
        </w:rPr>
      </w:pPr>
      <w:r>
        <w:rPr>
          <w:rFonts w:ascii="Arial" w:cs="Arial" w:eastAsia="Arial" w:hAnsi="Arial"/>
          <w:sz w:val="18"/>
          <w:szCs w:val="18"/>
          <w:color w:val="auto"/>
        </w:rPr>
        <w:t>2.9167% in any calendar quarter. These calculations are pro-rated for any share issuances or repurchases during the relevant quarter. For the three months ended December 31, 2012 and 2011, the Investment Adviser earned a performance based incentive fee on net investment income as calculated under the Investment Management Agreement of $0.4 million and zero, respectively.</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months ended December 31, 2012 and 2011, the Investment Adviser did not earn a performance based incentive fee on capital gains as calculated under the Investment Management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firstLine="456"/>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months ended December 31, 2012 and 2011, the Investment Adviser earned a performance based incentive fee on unrealized and realized capital gains as calculated under GAAP of less than $0.1 million and zero, respectively.</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the independent directors, in February 2013.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months ended December 31, 2012 and 2011, the Investment Adviser was reimbursed approximately $0.1 million and $0.1 million, respectively, from us, including expenses it incurred on behalf of the Administrator, for services described above.</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through December 31, 2012, we met the conditions for repayment of the sales load. The Investment Adviser will be repaid approximately $2.1 million.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2012 and 2011 totaled $38.9 million and $39.4 million, respectively. Sales and repayments of long-term investments for the three months ended December 31, 2012 and 2011 totaled $30.3 million and $22.3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540" w:type="dxa"/>
            <w:vAlign w:val="bottom"/>
          </w:tcPr>
          <w:p>
            <w:pPr>
              <w:spacing w:after="0"/>
              <w:rPr>
                <w:sz w:val="14"/>
                <w:szCs w:val="14"/>
                <w:color w:val="auto"/>
              </w:rPr>
            </w:pPr>
          </w:p>
        </w:tc>
        <w:tc>
          <w:tcPr>
            <w:tcW w:w="2500" w:type="dxa"/>
            <w:vAlign w:val="bottom"/>
            <w:gridSpan w:val="3"/>
          </w:tcPr>
          <w:p>
            <w:pPr>
              <w:jc w:val="right"/>
              <w:ind w:right="615"/>
              <w:spacing w:after="0"/>
              <w:rPr>
                <w:sz w:val="20"/>
                <w:szCs w:val="20"/>
                <w:color w:val="auto"/>
              </w:rPr>
            </w:pPr>
            <w:r>
              <w:rPr>
                <w:rFonts w:ascii="Arial" w:cs="Arial" w:eastAsia="Arial" w:hAnsi="Arial"/>
                <w:sz w:val="14"/>
                <w:szCs w:val="14"/>
                <w:b w:val="1"/>
                <w:bCs w:val="1"/>
                <w:color w:val="auto"/>
              </w:rPr>
              <w:t>December 31, 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9"/>
        </w:trPr>
        <w:tc>
          <w:tcPr>
            <w:tcW w:w="42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Borders>
              <w:top w:val="single" w:sz="8" w:color="auto"/>
            </w:tcBorders>
            <w:gridSpan w:val="2"/>
          </w:tcPr>
          <w:p>
            <w:pPr>
              <w:ind w:left="380"/>
              <w:spacing w:after="0" w:line="129"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$ 157,559,604</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$ 157,153,917</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150,258,038</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000" w:type="dxa"/>
            <w:vAlign w:val="bottom"/>
            <w:gridSpan w:val="3"/>
          </w:tcPr>
          <w:p>
            <w:pPr>
              <w:jc w:val="right"/>
              <w:ind w:right="420"/>
              <w:spacing w:after="0"/>
              <w:rPr>
                <w:sz w:val="20"/>
                <w:szCs w:val="20"/>
                <w:color w:val="auto"/>
              </w:rPr>
            </w:pPr>
            <w:r>
              <w:rPr>
                <w:rFonts w:ascii="Arial" w:cs="Arial" w:eastAsia="Arial" w:hAnsi="Arial"/>
                <w:sz w:val="18"/>
                <w:szCs w:val="18"/>
                <w:color w:val="auto"/>
              </w:rPr>
              <w:t>10,125,642</w:t>
            </w:r>
          </w:p>
        </w:tc>
        <w:tc>
          <w:tcPr>
            <w:tcW w:w="1040" w:type="dxa"/>
            <w:vAlign w:val="bottom"/>
          </w:tcPr>
          <w:p>
            <w:pPr>
              <w:jc w:val="right"/>
              <w:spacing w:after="0"/>
              <w:rPr>
                <w:sz w:val="20"/>
                <w:szCs w:val="20"/>
                <w:color w:val="auto"/>
              </w:rPr>
            </w:pPr>
            <w:r>
              <w:rPr>
                <w:rFonts w:ascii="Arial" w:cs="Arial" w:eastAsia="Arial" w:hAnsi="Arial"/>
                <w:sz w:val="18"/>
                <w:szCs w:val="18"/>
                <w:color w:val="auto"/>
              </w:rPr>
              <w:t>10,542,750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11,608,643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12,025,500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12,529,244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11,545,485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9,194,181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683,814</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1,553,758</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180,898,304</w:t>
            </w:r>
          </w:p>
        </w:tc>
        <w:tc>
          <w:tcPr>
            <w:tcW w:w="4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180,795,910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171,578,009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171,834,400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5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3,987,645</w:t>
            </w:r>
          </w:p>
        </w:tc>
        <w:tc>
          <w:tcPr>
            <w:tcW w:w="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3,987,645</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$ 184,885,949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$ 184,783,555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175,423,812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175,680,203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29"/>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02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40" w:type="dxa"/>
            <w:vAlign w:val="bottom"/>
            <w:gridSpan w:val="3"/>
            <w:vMerge w:val="continue"/>
          </w:tcPr>
          <w:p>
            <w:pPr>
              <w:spacing w:after="0"/>
              <w:rPr>
                <w:sz w:val="12"/>
                <w:szCs w:val="12"/>
                <w:color w:val="auto"/>
              </w:rPr>
            </w:pPr>
          </w:p>
        </w:tc>
        <w:tc>
          <w:tcPr>
            <w:tcW w:w="2800" w:type="dxa"/>
            <w:vAlign w:val="bottom"/>
            <w:gridSpan w:val="2"/>
          </w:tcPr>
          <w:p>
            <w:pPr>
              <w:jc w:val="right"/>
              <w:ind w:right="177"/>
              <w:spacing w:after="0" w:line="148"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740" w:type="dxa"/>
            <w:vAlign w:val="bottom"/>
            <w:gridSpan w:val="2"/>
          </w:tcPr>
          <w:p>
            <w:pPr>
              <w:jc w:val="right"/>
              <w:ind w:right="212"/>
              <w:spacing w:after="0" w:line="148"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 Gaming and Leisure</w:t>
            </w:r>
          </w:p>
        </w:tc>
        <w:tc>
          <w:tcPr>
            <w:tcW w:w="2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Construction and Building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0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100" w:type="dxa"/>
            <w:vAlign w:val="bottom"/>
            <w:gridSpan w:val="3"/>
          </w:tcPr>
          <w:p>
            <w:pPr>
              <w:jc w:val="right"/>
              <w:ind w:right="2240"/>
              <w:spacing w:after="0"/>
              <w:rPr>
                <w:sz w:val="20"/>
                <w:szCs w:val="20"/>
                <w:color w:val="auto"/>
              </w:rPr>
            </w:pPr>
            <w:r>
              <w:rPr>
                <w:rFonts w:ascii="Arial" w:cs="Arial" w:eastAsia="Arial" w:hAnsi="Arial"/>
                <w:sz w:val="18"/>
                <w:szCs w:val="18"/>
                <w:color w:val="auto"/>
              </w:rPr>
              <w:t>S-86</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2012, our ability to observe valuation inputs resulted in reclassification of assets from Level 3 to 2 and we had no other transfers between levels. This compares to the three months ended December 31, 2011, which resulted in no reclassification of assets from Levels 1, 2 or 3.</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Accounting Standards Update No. 2011-04, “Fair Value Measurement: Amendments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7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Fair Value as of</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December 31, 2012</w:t>
            </w:r>
          </w:p>
        </w:tc>
        <w:tc>
          <w:tcPr>
            <w:tcW w:w="23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Valuation Technique</w:t>
            </w:r>
          </w:p>
        </w:tc>
        <w:tc>
          <w:tcPr>
            <w:tcW w:w="1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2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81"/>
        </w:trPr>
        <w:tc>
          <w:tcPr>
            <w:tcW w:w="3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Broker/</w:t>
            </w:r>
          </w:p>
        </w:tc>
        <w:tc>
          <w:tcPr>
            <w:tcW w:w="1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161,319,619</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Dealer bid quotes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 7</w:t>
            </w:r>
          </w:p>
        </w:tc>
        <w:tc>
          <w:tcPr>
            <w:tcW w:w="0" w:type="dxa"/>
            <w:vAlign w:val="bottom"/>
          </w:tcPr>
          <w:p>
            <w:pPr>
              <w:spacing w:after="0"/>
              <w:rPr>
                <w:sz w:val="1"/>
                <w:szCs w:val="1"/>
                <w:color w:val="auto"/>
              </w:rPr>
            </w:pPr>
          </w:p>
        </w:tc>
      </w:tr>
      <w:tr>
        <w:trPr>
          <w:trHeight w:val="208"/>
        </w:trPr>
        <w:tc>
          <w:tcPr>
            <w:tcW w:w="364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13,691,782</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Market Yield</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7.3% –15.3% (12.1%)</w:t>
            </w:r>
          </w:p>
        </w:tc>
        <w:tc>
          <w:tcPr>
            <w:tcW w:w="0" w:type="dxa"/>
            <w:vAlign w:val="bottom"/>
          </w:tcPr>
          <w:p>
            <w:pPr>
              <w:spacing w:after="0"/>
              <w:rPr>
                <w:sz w:val="1"/>
                <w:szCs w:val="1"/>
                <w:color w:val="auto"/>
              </w:rPr>
            </w:pPr>
          </w:p>
        </w:tc>
      </w:tr>
      <w:tr>
        <w:trPr>
          <w:trHeight w:val="21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1,553,758</w:t>
            </w: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Enterprise Market Value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6.0x – 8.5x (6.4x)</w:t>
            </w: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176,565,159</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85,775,000</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vMerge w:val="restart"/>
          </w:tcPr>
          <w:p>
            <w:pPr>
              <w:ind w:left="260"/>
              <w:spacing w:after="0"/>
              <w:rPr>
                <w:sz w:val="20"/>
                <w:szCs w:val="20"/>
                <w:color w:val="auto"/>
              </w:rPr>
            </w:pPr>
            <w:r>
              <w:rPr>
                <w:rFonts w:ascii="Arial" w:cs="Arial" w:eastAsia="Arial" w:hAnsi="Arial"/>
                <w:sz w:val="18"/>
                <w:szCs w:val="18"/>
                <w:color w:val="auto"/>
              </w:rPr>
              <w:t>S-88</w:t>
            </w: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8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w w:val="92"/>
              </w:rPr>
              <w:t>Fair Value Measurements at December 31, 2012</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5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157,153,917</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157,153,917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10,542,750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1,586,250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11,545,485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2,644,501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1,553,758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180,795,910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4,230,751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176,565,159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3,987,645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3,987,645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184,783,555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3,987,645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4,230,751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176,565,159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85,775,000</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85,775,000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8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w w:val="91"/>
              </w:rPr>
              <w:t>Fair Value Measurements at September 30, 2012</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5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12,025,500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8,296,719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171,834,400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3,845,803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3,845,803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3,845,803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75,122,500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jc w:val="center"/>
              <w:ind w:left="696"/>
              <w:spacing w:after="0"/>
              <w:rPr>
                <w:sz w:val="20"/>
                <w:szCs w:val="20"/>
                <w:color w:val="auto"/>
              </w:rPr>
            </w:pPr>
            <w:r>
              <w:rPr>
                <w:rFonts w:ascii="Arial" w:cs="Arial" w:eastAsia="Arial" w:hAnsi="Arial"/>
                <w:sz w:val="14"/>
                <w:szCs w:val="14"/>
                <w:b w:val="1"/>
                <w:bCs w:val="1"/>
                <w:color w:val="auto"/>
                <w:w w:val="87"/>
              </w:rPr>
              <w:t>Three Months Ended December 31, 2012</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subordinated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and equity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First Lien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18,836,653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169,046,400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429,535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13,308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(357,390)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158,764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35,707,944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3,488,767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39,196,711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 / exchanges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(28,835,919)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(30,335,919)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(1,586,250)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(1,586,250)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157,153,917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19,411,242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176,565,159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reported within the net change in</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unrealized appreciation on investments in our Consolidated Statement of Operations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126,018</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(2,677,717)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(2,551,699)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vMerge w:val="restart"/>
          </w:tcPr>
          <w:p>
            <w:pPr>
              <w:ind w:left="4820"/>
              <w:spacing w:after="0"/>
              <w:rPr>
                <w:sz w:val="20"/>
                <w:szCs w:val="20"/>
                <w:color w:val="auto"/>
              </w:rPr>
            </w:pPr>
            <w:r>
              <w:rPr>
                <w:rFonts w:ascii="Arial" w:cs="Arial" w:eastAsia="Arial" w:hAnsi="Arial"/>
                <w:sz w:val="18"/>
                <w:szCs w:val="18"/>
                <w:color w:val="auto"/>
              </w:rPr>
              <w:t>S-89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jc w:val="center"/>
              <w:ind w:left="696"/>
              <w:spacing w:after="0"/>
              <w:rPr>
                <w:sz w:val="20"/>
                <w:szCs w:val="20"/>
                <w:color w:val="auto"/>
              </w:rPr>
            </w:pPr>
            <w:r>
              <w:rPr>
                <w:rFonts w:ascii="Arial" w:cs="Arial" w:eastAsia="Arial" w:hAnsi="Arial"/>
                <w:sz w:val="14"/>
                <w:szCs w:val="14"/>
                <w:b w:val="1"/>
                <w:bCs w:val="1"/>
                <w:color w:val="auto"/>
                <w:w w:val="87"/>
              </w:rPr>
              <w:t>Three Months Ended December 31, 2011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and equity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First Lien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308,511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283,619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36,280,783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1,023,071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37,303,854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(22,240,498)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(22,240,498)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104,420,115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19,512,805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123,932,920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w w:val="94"/>
              </w:rPr>
              <w:t>Net change in unrealized appreciation reported within the net change in unrealized appreciation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on investments in our Consolidated Statement of Operations attributable to our Level 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851,376</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283,619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1,134,995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Carrying/Fair Value Three</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72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Months Ended December 31,</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vMerge w:val="continue"/>
          </w:tcPr>
          <w:p>
            <w:pPr>
              <w:spacing w:after="0"/>
              <w:rPr>
                <w:sz w:val="12"/>
                <w:szCs w:val="12"/>
                <w:color w:val="auto"/>
              </w:rPr>
            </w:pPr>
          </w:p>
        </w:tc>
        <w:tc>
          <w:tcPr>
            <w:tcW w:w="7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tcPr>
          <w:p>
            <w:pPr>
              <w:jc w:val="right"/>
              <w:ind w:right="264"/>
              <w:spacing w:after="0" w:line="129"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(cost—$75,500,000 and $24,650,000, respectively)</w:t>
            </w: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$ 75,122,500</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$ 24,650,000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(depreciation) included in earnings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377,500</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(351,000)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30,950,000</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w w:val="97"/>
              </w:rPr>
              <w:t>(20,675,000)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(12,550,000)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Ending Balance, December 31, (cost—$85,775,000 and $35,100,000, respectively)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9"/>
              </w:rPr>
              <w:t>$ 85,775,000</w:t>
            </w:r>
          </w:p>
        </w:tc>
        <w:tc>
          <w:tcPr>
            <w:tcW w:w="5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$ 34,749,000</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2012 and 2011, we had a net change in unrealized (appreciation) depreciation of $(0.4) million and $0.4 million, respectively. As of December 31, 2012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6440" w:type="dxa"/>
            <w:vAlign w:val="bottom"/>
            <w:vMerge w:val="restart"/>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vMerge w:val="continue"/>
          </w:tcPr>
          <w:p>
            <w:pPr>
              <w:spacing w:after="0"/>
              <w:rPr>
                <w:sz w:val="12"/>
                <w:szCs w:val="12"/>
                <w:color w:val="auto"/>
              </w:rPr>
            </w:pPr>
          </w:p>
        </w:tc>
        <w:tc>
          <w:tcPr>
            <w:tcW w:w="644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1,765,431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3,105,165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6,850,667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6,850,667</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2012 and September 30, 2012, cash equivalents consisted of $4.0 million and $3.8 million, including amounts in money market funds,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Per Share Data:</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realized and unrealized gain</w:t>
            </w:r>
            <w:r>
              <w:rPr>
                <w:rFonts w:ascii="Arial" w:cs="Arial" w:eastAsia="Arial" w:hAnsi="Arial"/>
                <w:sz w:val="11"/>
                <w:szCs w:val="11"/>
                <w:color w:val="auto"/>
              </w:rPr>
              <w:t>(1)</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(1), (2)</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Net asset value, end of period</w:t>
            </w: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gridSpan w:val="3"/>
            <w:vMerge w:val="continue"/>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6,850,667</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6,850,667</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40" w:type="dxa"/>
            <w:vAlign w:val="bottom"/>
          </w:tcPr>
          <w:p>
            <w:pPr>
              <w:ind w:left="900"/>
              <w:spacing w:after="0"/>
              <w:rPr>
                <w:sz w:val="20"/>
                <w:szCs w:val="20"/>
                <w:color w:val="auto"/>
              </w:rPr>
            </w:pPr>
            <w:r>
              <w:rPr>
                <w:rFonts w:ascii="Arial" w:cs="Arial" w:eastAsia="Arial" w:hAnsi="Arial"/>
                <w:sz w:val="18"/>
                <w:szCs w:val="18"/>
                <w:color w:val="auto"/>
              </w:rPr>
              <w:t>S-91</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Ratios / Supplemental Data:**</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8.58%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95,813,768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93,738,630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Average debt outstanding</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70,040,217</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27,986,957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71.32%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860" w:firstLine="8"/>
        <w:spacing w:after="0" w:line="286" w:lineRule="auto"/>
        <w:tabs>
          <w:tab w:leader="none" w:pos="3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rPr>
          <w:rFonts w:ascii="Arial" w:cs="Arial" w:eastAsia="Arial" w:hAnsi="Arial"/>
          <w:sz w:val="16"/>
          <w:szCs w:val="16"/>
          <w:color w:val="auto"/>
        </w:rPr>
      </w:pPr>
      <w:r>
        <w:rPr>
          <w:rFonts w:ascii="Arial" w:cs="Arial" w:eastAsia="Arial" w:hAnsi="Arial"/>
          <w:sz w:val="18"/>
          <w:szCs w:val="18"/>
          <w:color w:val="auto"/>
        </w:rPr>
        <w:t>(1)  Per share data are calculated based on the weighted average shares outstanding for the respective periods.</w:t>
      </w:r>
    </w:p>
    <w:p>
      <w:pPr>
        <w:spacing w:after="0" w:line="9" w:lineRule="exact"/>
        <w:rPr>
          <w:rFonts w:ascii="Arial" w:cs="Arial" w:eastAsia="Arial" w:hAnsi="Arial"/>
          <w:sz w:val="16"/>
          <w:szCs w:val="16"/>
          <w:color w:val="auto"/>
        </w:rPr>
      </w:pPr>
    </w:p>
    <w:p>
      <w:pPr>
        <w:ind w:left="340" w:right="180" w:hanging="338"/>
        <w:spacing w:after="0" w:line="250" w:lineRule="auto"/>
        <w:rPr>
          <w:rFonts w:ascii="Arial" w:cs="Arial" w:eastAsia="Arial" w:hAnsi="Arial"/>
          <w:sz w:val="16"/>
          <w:szCs w:val="16"/>
          <w:color w:val="auto"/>
        </w:rPr>
      </w:pPr>
      <w:r>
        <w:rPr>
          <w:rFonts w:ascii="Arial" w:cs="Arial" w:eastAsia="Arial" w:hAnsi="Arial"/>
          <w:sz w:val="18"/>
          <w:szCs w:val="18"/>
          <w:color w:val="auto"/>
        </w:rPr>
        <w:t>(2) Dividends and distributions are determined based on taxable income calculated in accordance with income tax regulations, which may differ from amounts determined under GAAP.</w:t>
      </w:r>
    </w:p>
    <w:p>
      <w:pPr>
        <w:ind w:left="340" w:right="560" w:hanging="338"/>
        <w:spacing w:after="0" w:line="250" w:lineRule="auto"/>
        <w:rPr>
          <w:rFonts w:ascii="Arial" w:cs="Arial" w:eastAsia="Arial" w:hAnsi="Arial"/>
          <w:sz w:val="16"/>
          <w:szCs w:val="16"/>
          <w:color w:val="auto"/>
        </w:rPr>
      </w:pPr>
      <w:r>
        <w:rPr>
          <w:rFonts w:ascii="Arial" w:cs="Arial" w:eastAsia="Arial" w:hAnsi="Arial"/>
          <w:sz w:val="18"/>
          <w:szCs w:val="18"/>
          <w:color w:val="auto"/>
        </w:rPr>
        <w:t>(3) Total return is based on the change in market price per share during the period and takes into account dividends and distributions, if any, reinvested in accordance with our dividend reinvestment plan.</w:t>
      </w:r>
    </w:p>
    <w:p>
      <w:pPr>
        <w:spacing w:after="0"/>
        <w:rPr>
          <w:rFonts w:ascii="Arial" w:cs="Arial" w:eastAsia="Arial" w:hAnsi="Arial"/>
          <w:sz w:val="16"/>
          <w:szCs w:val="16"/>
          <w:color w:val="auto"/>
        </w:rPr>
      </w:pPr>
      <w:r>
        <w:rPr>
          <w:rFonts w:ascii="Arial" w:cs="Arial" w:eastAsia="Arial" w:hAnsi="Arial"/>
          <w:sz w:val="18"/>
          <w:szCs w:val="18"/>
          <w:color w:val="auto"/>
        </w:rPr>
        <w:t>(4)  Operating expenses exclude Credit Facility related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Funding I’s amended and restated Credit Facility with affiliates of SunTrust Bank, or the Lender, matures in May 2017 and its reinvestment period ends in May 2015.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December 31, 2012 and September 30, 2012, Funding I had $85.8 million and $75.5 million of outstanding borrowings under the Credit Facility, respectively, and carried an interest rate of 2.47%, in each case excluding the 0.375% undrawn commitment fee.</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terms agreed among us, the Investment Adviser and underwriters of our initial public offering, the Investment Adviser paid 2% of the underwriters’ sales load, or approximately $2.1 million in the aggregate, on our behalf.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to the Investment Adviser at the end of the quarter ended December 31, 2012 and repaid approximately $2.1 million to the Investment Adviser. The Investment Adviser announced that it intends to purchase shares of our common stock in the secondary market over the applicable six-month purchase period in compliance with applicable law and SEC guidance.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75105" cy="3175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751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53 of this prospectus for more information.</w:t>
      </w:r>
    </w:p>
    <w:p>
      <w:pPr>
        <w:spacing w:after="0" w:line="12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“PFLT.” The last reported closing price for our common stock on July 24, 2012 was $12.14 per share, and our net asset value on March 31, 2012 was $14.12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using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4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0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July 26, 2012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6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920" w:type="dxa"/>
            <w:vAlign w:val="bottom"/>
            <w:gridSpan w:val="35"/>
            <w:vMerge w:val="restart"/>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PROSPECTUS SUMMARY</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20" w:type="dxa"/>
            <w:vAlign w:val="bottom"/>
            <w:gridSpan w:val="35"/>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880" w:type="dxa"/>
            <w:vAlign w:val="bottom"/>
            <w:gridSpan w:val="23"/>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USE OF PROCEEDS</w:t>
              </w:r>
            </w:hyperlink>
          </w:p>
        </w:tc>
        <w:tc>
          <w:tcPr>
            <w:tcW w:w="806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3">
              <w:r>
                <w:rPr>
                  <w:rFonts w:ascii="Arial" w:cs="Arial" w:eastAsia="Arial" w:hAnsi="Arial"/>
                  <w:sz w:val="18"/>
                  <w:szCs w:val="18"/>
                  <w:color w:val="0000EE"/>
                  <w:w w:val="95"/>
                </w:rPr>
                <w:t>SELECTED FINANCIAL DATA</w:t>
              </w:r>
            </w:hyperlink>
          </w:p>
        </w:tc>
        <w:tc>
          <w:tcPr>
            <w:tcW w:w="854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SENIOR SECURITIES</w:t>
              </w:r>
            </w:hyperlink>
          </w:p>
        </w:tc>
        <w:tc>
          <w:tcPr>
            <w:tcW w:w="2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OBLIGATIONS AND INDEBTEDNESS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PRICE RANGE OF COMMON STOCK</w:t>
              </w:r>
            </w:hyperlink>
          </w:p>
        </w:tc>
        <w:tc>
          <w:tcPr>
            <w:tcW w:w="40" w:type="dxa"/>
            <w:vAlign w:val="bottom"/>
            <w:tcBorders>
              <w:top w:val="single" w:sz="8" w:color="0000EE"/>
            </w:tcBorders>
          </w:tcPr>
          <w:p>
            <w:pPr>
              <w:spacing w:after="0"/>
              <w:rPr>
                <w:sz w:val="17"/>
                <w:szCs w:val="17"/>
                <w:color w:val="auto"/>
              </w:rPr>
            </w:pPr>
          </w:p>
        </w:tc>
        <w:tc>
          <w:tcPr>
            <w:tcW w:w="798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SALES OF COMMON STOCK BELOW NET ASSET VALUE</w:t>
              </w:r>
            </w:hyperlink>
          </w:p>
        </w:tc>
        <w:tc>
          <w:tcPr>
            <w:tcW w:w="63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DISTRIBUTIONS</w:t>
              </w:r>
            </w:hyperlink>
          </w:p>
        </w:tc>
        <w:tc>
          <w:tcPr>
            <w:tcW w:w="9580" w:type="dxa"/>
            <w:vAlign w:val="bottom"/>
            <w:gridSpan w:val="2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59">
              <w:r>
                <w:rPr>
                  <w:rFonts w:ascii="Arial" w:cs="Arial" w:eastAsia="Arial" w:hAnsi="Arial"/>
                  <w:sz w:val="18"/>
                  <w:szCs w:val="18"/>
                  <w:color w:val="0000EE"/>
                  <w:w w:val="90"/>
                </w:rPr>
                <w:t>BUSINESS</w:t>
              </w:r>
            </w:hyperlink>
          </w:p>
        </w:tc>
        <w:tc>
          <w:tcPr>
            <w:tcW w:w="10080" w:type="dxa"/>
            <w:vAlign w:val="bottom"/>
            <w:gridSpan w:val="3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INVESTMENT OBJECTIVES AND POLICIES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PORTFOLIO COMPANIES</w:t>
              </w:r>
            </w:hyperlink>
          </w:p>
        </w:tc>
        <w:tc>
          <w:tcPr>
            <w:tcW w:w="74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75">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8920" w:type="dxa"/>
            <w:vAlign w:val="bottom"/>
            <w:gridSpan w:val="2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182">
              <w:r>
                <w:rPr>
                  <w:rFonts w:ascii="Arial" w:cs="Arial" w:eastAsia="Arial" w:hAnsi="Arial"/>
                  <w:sz w:val="18"/>
                  <w:szCs w:val="18"/>
                  <w:color w:val="0000EE"/>
                  <w:w w:val="92"/>
                </w:rPr>
                <w:t>CONTROL PERSONS AND PRINCIPAL STOCKHOLDERS</w:t>
              </w:r>
            </w:hyperlink>
          </w:p>
        </w:tc>
        <w:tc>
          <w:tcPr>
            <w:tcW w:w="64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CERTAIN RELATIONSHIPS AND TRANSACTIONS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w:anchor="page191">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0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94">
              <w:r>
                <w:rPr>
                  <w:rFonts w:ascii="Arial" w:cs="Arial" w:eastAsia="Arial" w:hAnsi="Arial"/>
                  <w:sz w:val="18"/>
                  <w:szCs w:val="18"/>
                  <w:color w:val="0000EE"/>
                  <w:w w:val="96"/>
                </w:rPr>
                <w:t>DIVIDEND REINVESTMENT PLAN</w:t>
              </w:r>
            </w:hyperlink>
          </w:p>
        </w:tc>
        <w:tc>
          <w:tcPr>
            <w:tcW w:w="81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95">
              <w:r>
                <w:rPr>
                  <w:rFonts w:ascii="Arial" w:cs="Arial" w:eastAsia="Arial" w:hAnsi="Arial"/>
                  <w:sz w:val="18"/>
                  <w:szCs w:val="18"/>
                  <w:color w:val="0000EE"/>
                  <w:w w:val="92"/>
                </w:rPr>
                <w:t>DESCRIPTION OF OUR CAPITAL STOCK</w:t>
              </w:r>
            </w:hyperlink>
          </w:p>
        </w:tc>
        <w:tc>
          <w:tcPr>
            <w:tcW w:w="77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DESCRIPTION OF OUR PREFERRED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DESCRIPTION OF OUR WARRANTS</w:t>
              </w:r>
            </w:hyperlink>
          </w:p>
        </w:tc>
        <w:tc>
          <w:tcPr>
            <w:tcW w:w="74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DESCRIPTION OF OUR SUBSCRIPTION RIGHTS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w:anchor="page205">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12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19">
              <w:r>
                <w:rPr>
                  <w:rFonts w:ascii="Arial" w:cs="Arial" w:eastAsia="Arial" w:hAnsi="Arial"/>
                  <w:sz w:val="18"/>
                  <w:szCs w:val="18"/>
                  <w:color w:val="0000EE"/>
                  <w:w w:val="93"/>
                </w:rPr>
                <w:t>REGULATION</w:t>
              </w:r>
            </w:hyperlink>
          </w:p>
        </w:tc>
        <w:tc>
          <w:tcPr>
            <w:tcW w:w="9800" w:type="dxa"/>
            <w:vAlign w:val="bottom"/>
            <w:gridSpan w:val="3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224">
              <w:r>
                <w:rPr>
                  <w:rFonts w:ascii="Arial" w:cs="Arial" w:eastAsia="Arial" w:hAnsi="Arial"/>
                  <w:sz w:val="18"/>
                  <w:szCs w:val="18"/>
                  <w:color w:val="0000EE"/>
                  <w:w w:val="93"/>
                </w:rPr>
                <w:t>BROKERAGE ALLOCATIONS AND OTHER PRACTICES</w:t>
              </w:r>
            </w:hyperlink>
          </w:p>
        </w:tc>
        <w:tc>
          <w:tcPr>
            <w:tcW w:w="65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225">
              <w:r>
                <w:rPr>
                  <w:rFonts w:ascii="Arial" w:cs="Arial" w:eastAsia="Arial" w:hAnsi="Arial"/>
                  <w:sz w:val="18"/>
                  <w:szCs w:val="18"/>
                  <w:color w:val="0000EE"/>
                  <w:w w:val="94"/>
                </w:rPr>
                <w:t>MATERIAL U.S. FEDERAL INCOME TAX CONSIDERATIONS</w:t>
              </w:r>
            </w:hyperlink>
          </w:p>
        </w:tc>
        <w:tc>
          <w:tcPr>
            <w:tcW w:w="61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PLAN OF DISTRIBUTION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SUB-ADMINISTRATOR, CUSTODIAN, TRANSFER AGENT AND TRUSTEE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LEGAL MATTERS</w:t>
              </w:r>
            </w:hyperlink>
          </w:p>
        </w:tc>
        <w:tc>
          <w:tcPr>
            <w:tcW w:w="51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INDEPENDENT REGISTERED PUBLIC ACCOUNTING FIRM</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4"/>
              </w:rPr>
            </w:pPr>
            <w:hyperlink w:anchor="page234">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2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PART C OTHER INFORMATION</w:t>
            </w:r>
          </w:p>
        </w:tc>
        <w:tc>
          <w:tcPr>
            <w:tcW w:w="844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sz w:val="20"/>
                <w:szCs w:val="20"/>
                <w:color w:val="auto"/>
              </w:rPr>
            </w:pPr>
            <w:r>
              <w:rPr>
                <w:rFonts w:ascii="Arial" w:cs="Arial" w:eastAsia="Arial" w:hAnsi="Arial"/>
                <w:sz w:val="18"/>
                <w:szCs w:val="18"/>
                <w:color w:val="0000EE"/>
              </w:rPr>
              <w:t>SIGNATURES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$150,000,000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and mezzanine debt financing. We have used, and expect to continue to use, our credit facility, or the Credit Facility, proceeds from the rotation of our portfolio and proceeds from public and private offerings of securities to finance our investment objectives.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we have competitive advantages over other capital providers in middle-market companies, such as a management team with an average of over 20 years of experience, a disciplined investment approach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 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Operations—Liquidity and Capital Resources”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subsidiary or for other general corporate purposes. Any supplements to this prospectus relating to an offering will more fully identify the use of the proceeds from such offering. See “Use of Proceeds” for information regarding our outstanding borrowings, the corresponding interest rate charged on such borrowings and the length of time that it may take us to invest any proceeds in new or existing portfolio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intend to continue to distribute monthly dividends to our common stockholders. Our monthly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may offer, from time to time, up to $150 million of our securities, on terms to be determined at the time of each such offering and set forth in a supplement to this prospectus.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administrative and principal executive offices are located at 590 Madison Avenue, 15th Floor, New York, NY 10022. Our common stock is quoted on the NASDAQ Global Select Market under the symbol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Sales load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(1)</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(2)</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color w:val="auto"/>
              </w:rPr>
              <w:t>(3)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Management fees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46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(4)</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(5)</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46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(6)</w:t>
            </w:r>
          </w:p>
        </w:tc>
      </w:tr>
      <w:tr>
        <w:trPr>
          <w:trHeight w:val="230"/>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(7)</w:t>
            </w:r>
          </w:p>
        </w:tc>
      </w:tr>
      <w:tr>
        <w:trPr>
          <w:trHeight w:val="221"/>
        </w:trPr>
        <w:tc>
          <w:tcPr>
            <w:tcW w:w="10400" w:type="dxa"/>
            <w:vAlign w:val="bottom"/>
          </w:tcPr>
          <w:p>
            <w:pPr>
              <w:spacing w:after="0"/>
              <w:rPr>
                <w:sz w:val="20"/>
                <w:szCs w:val="20"/>
                <w:color w:val="auto"/>
              </w:rPr>
            </w:pPr>
            <w:r>
              <w:rPr>
                <w:rFonts w:ascii="Arial" w:cs="Arial" w:eastAsia="Arial" w:hAnsi="Arial"/>
                <w:sz w:val="18"/>
                <w:szCs w:val="18"/>
                <w:b w:val="1"/>
                <w:bCs w:val="1"/>
                <w:color w:val="auto"/>
              </w:rPr>
              <w:t>Total estimated annual expenses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5.38</w:t>
            </w:r>
          </w:p>
        </w:tc>
        <w:tc>
          <w:tcPr>
            <w:tcW w:w="46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460" w:right="26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March 31, 2012.</w:t>
      </w:r>
    </w:p>
    <w:p>
      <w:pPr>
        <w:spacing w:after="0" w:line="9" w:lineRule="exact"/>
        <w:rPr>
          <w:rFonts w:ascii="Arial" w:cs="Arial" w:eastAsia="Arial" w:hAnsi="Arial"/>
          <w:sz w:val="18"/>
          <w:szCs w:val="18"/>
          <w:color w:val="auto"/>
        </w:rPr>
      </w:pPr>
    </w:p>
    <w:p>
      <w:pPr>
        <w:ind w:left="460" w:right="9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March 31, 2012. See “Certain Relationships and Transactions-Investment Management Agreement” for more information.</w:t>
      </w:r>
    </w:p>
    <w:p>
      <w:pPr>
        <w:ind w:left="460" w:right="40" w:hanging="452"/>
        <w:spacing w:after="0" w:line="28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2012, our unrealized capital gains exceeded our cumulative realized and unrealized capital losses and we accrued a capital gains incentive fee of $0.1 million in accordance with U.S. generally accepted accounting principles, or GAAP. However, “Incentive fees payable under the Investment Management Agreement” includes an accrual for capital gains incentive fee for the three months ended March 31, 2012 even though no capital gains incentive fee was payable under our Investment Management Agreement as of March 31, 2012. As we cannot predict our future net investment income or capital gains, the incentive fee paid in future periods, if any, may be substantially different than the fee earned during the three months ended March 31, 2012, and we cannot assure you that we will recognize capital gains for the calendar year ending December 31, 2012 in amounts consistent with the accrual for the same period. For more detailed information about the incentive fee, please see “Certain Relationships and Transactions—Investment Management Agreement” for more information.</w:t>
      </w:r>
    </w:p>
    <w:p>
      <w:pPr>
        <w:spacing w:after="0" w:line="10"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March 31, 2012, we had $47.8 million in borrowings outstanding under our $100.0 million Credit Facility. We may use proceeds of an offering of securities under this registration statement to repay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2" w:lineRule="auto"/>
        <w:rPr>
          <w:sz w:val="20"/>
          <w:szCs w:val="20"/>
          <w:color w:val="auto"/>
        </w:rPr>
      </w:pPr>
      <w:r>
        <w:rPr>
          <w:rFonts w:ascii="Arial" w:cs="Arial" w:eastAsia="Arial" w:hAnsi="Arial"/>
          <w:sz w:val="18"/>
          <w:szCs w:val="18"/>
          <w:color w:val="auto"/>
        </w:rPr>
        <w:t>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ind w:left="460" w:right="540" w:hanging="452"/>
        <w:spacing w:after="0" w:line="28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60" w:hanging="452"/>
        <w:spacing w:after="0" w:line="29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38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3.22% sales load (underwriting discounts and commissions) and offering expenses totaling 0.32%, (2) total net annual expenses of 5.07%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$ 84</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$ 182</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$ 279</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523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right="180" w:firstLine="456"/>
        <w:spacing w:after="0" w:line="352" w:lineRule="auto"/>
        <w:rPr>
          <w:sz w:val="20"/>
          <w:szCs w:val="20"/>
          <w:color w:val="auto"/>
        </w:rPr>
      </w:pPr>
      <w:r>
        <w:rPr>
          <w:rFonts w:ascii="Arial" w:cs="Arial" w:eastAsia="Arial" w:hAnsi="Arial"/>
          <w:sz w:val="15"/>
          <w:szCs w:val="15"/>
          <w:color w:val="auto"/>
        </w:rPr>
        <w:t>We were incorporated in October 2010 and commenced operations in March 2011. We are subject to all of the business risks and uncertainties associated with any new business, including the risk that we will not achieve our investment objective and that the value of your investment could decline substantially.</w:t>
      </w:r>
    </w:p>
    <w:p>
      <w:pPr>
        <w:spacing w:after="0" w:line="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applicable regulations, such that our asset coverage, as defined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BDC and materially impair our business operations. A protracted disruption in the credit markets could also materially decrease demand for our investments.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used. A prolonged inability to raise capital may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w:t>
      </w:r>
    </w:p>
    <w:p>
      <w:pPr>
        <w:spacing w:after="0" w:line="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credit risk when we loan money or commit to loan money to a portfolio company.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primary business exposes us to credit risk, and the quality of our portfolio has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215"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19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the Investment Adviser. We also depend, to a significant extent, on PennantPark Investment Advisers’ access to the investment information and deal flow generated by these investment professionals and any others that may be hired by the Investment Adviser. Managers of the Investment Adviser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depends on our ability to manage future growth effectively.</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ability to achieve our investment objectives depend on our ability to grow, which depends, in turn, on the Investment Adviser’s ability to identify, invest in and monitor companies that meet our investment criteria. Accomplishing this result on a cost-effective basis is largely a function of the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offer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replicate the historical performance of other investment companies with which our investment professionals have been affiliated.</w:t>
      </w:r>
    </w:p>
    <w:p>
      <w:pPr>
        <w:spacing w:after="0" w:line="11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elected to be treated as a BDC. 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status would substantially reduce net assets and income available for debt service and dividends.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operated and intend to operate so as to qualify as a RIC under Subchapter M of the Code commencing with our first taxable year.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original issue discount, or OID,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91"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456"/>
        <w:spacing w:after="0" w:line="290"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an entity-level tax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63" w:lineRule="exact"/>
        <w:rPr>
          <w:sz w:val="20"/>
          <w:szCs w:val="20"/>
          <w:color w:val="auto"/>
        </w:rPr>
      </w:pPr>
    </w:p>
    <w:p>
      <w:pPr>
        <w:ind w:left="900" w:right="100" w:hanging="446"/>
        <w:spacing w:after="0" w:line="291"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39" w:lineRule="exact"/>
        <w:rPr>
          <w:rFonts w:ascii="Arial" w:cs="Arial" w:eastAsia="Arial" w:hAnsi="Arial"/>
          <w:sz w:val="16"/>
          <w:szCs w:val="16"/>
          <w:color w:val="auto"/>
        </w:rPr>
      </w:pPr>
    </w:p>
    <w:p>
      <w:pPr>
        <w:ind w:left="900" w:right="200" w:hanging="446"/>
        <w:spacing w:after="0" w:line="289"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7"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332" w:lineRule="auto"/>
        <w:rPr>
          <w:sz w:val="20"/>
          <w:szCs w:val="20"/>
          <w:color w:val="auto"/>
        </w:rPr>
      </w:pPr>
      <w:r>
        <w:rPr>
          <w:rFonts w:ascii="Arial" w:cs="Arial" w:eastAsia="Arial" w:hAnsi="Arial"/>
          <w:sz w:val="16"/>
          <w:szCs w:val="16"/>
          <w:color w:val="auto"/>
        </w:rPr>
        <w:t>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Funding I may fail to meet certain asset coverage tests, which would have an adverse effect on the timing of payments to us, or otherwise fail to satisfy various covenants.</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6"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to retain our status as a BDC;</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resulting from under performance or defaults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2012, we had outstanding borrowings of $47.8 million under our Credit Facility with a weighted average annual interest rate on of 2.54% exclusive of the fees on the undrawn commitment of 0.50%. Accordingly, to cover the annual interest on our borrowings outstanding at March 31, 2012, at the then current rate, we would have to receive an annual yield of at least 0.84%.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March 31, 2012 of 31% of total assets (including such borrowed funds), at a weighted average rate at the time of 2.54%,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20" w:type="dxa"/>
            <w:vAlign w:val="bottom"/>
          </w:tcPr>
          <w:p>
            <w:pPr>
              <w:jc w:val="right"/>
              <w:ind w:right="92"/>
              <w:spacing w:after="0"/>
              <w:rPr>
                <w:sz w:val="20"/>
                <w:szCs w:val="20"/>
                <w:color w:val="auto"/>
              </w:rPr>
            </w:pPr>
            <w:r>
              <w:rPr>
                <w:rFonts w:ascii="Arial" w:cs="Arial" w:eastAsia="Arial" w:hAnsi="Arial"/>
                <w:sz w:val="18"/>
                <w:szCs w:val="18"/>
                <w:color w:val="auto"/>
              </w:rPr>
              <w:t>(16.9)%</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(9.1)%</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on any variable-rate borrowings,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interests in Funding I are subordinated.</w:t>
      </w:r>
    </w:p>
    <w:p>
      <w:pPr>
        <w:spacing w:after="0" w:line="9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We own 100% of the equity interests in Funding I. We consolidate Funding I in our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expenses and (3) claims of other unsecured creditors of Funding I. We cannot assure you that there will be sufficient funds available to make any distributions to us or that such distributions will meet our expectations.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receive cash on our equity interests from Funding I.</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ability to sell investments held by Funding I is limited.</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0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we issue preferred stock, debt securities or convertible debt securities the net asset value and market value of our common stock may become more volatile.</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professionals of the Investment Adviser and Administrator serve as officers, directors or principals of entities that operate in the same or a related line of business as we do or of investment funds managed by affiliates of PennantPark Floating Rate Capital Ltd.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new affiliated funds are formed, our board of directors, adviser and administrator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PennantPark Investment Corporation, a publicly-traded BDC. Although the Investment Adviser endeavors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PennantPark Investment Corporation, and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In connection with our initial public offering, the Investment Adviser has paid to the underwriters 2% of the sales load, or $2.1 million in the aggregate, with respect to the offering of shares of our common stock. We (and indirectly our stockholders) must reimburse this amount under certain circumstances.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5" w:lineRule="exact"/>
        <w:rPr>
          <w:sz w:val="20"/>
          <w:szCs w:val="20"/>
          <w:color w:val="auto"/>
        </w:rPr>
      </w:pPr>
    </w:p>
    <w:p>
      <w:pPr>
        <w:ind w:right="380"/>
        <w:spacing w:after="0" w:line="338" w:lineRule="auto"/>
        <w:rPr>
          <w:sz w:val="20"/>
          <w:szCs w:val="20"/>
          <w:color w:val="auto"/>
        </w:rPr>
      </w:pPr>
      <w:r>
        <w:rPr>
          <w:rFonts w:ascii="Arial" w:cs="Arial" w:eastAsia="Arial" w:hAnsi="Arial"/>
          <w:sz w:val="16"/>
          <w:szCs w:val="16"/>
          <w:b w:val="1"/>
          <w:bCs w:val="1"/>
          <w:color w:val="auto"/>
        </w:rPr>
        <w:t>If we are required to repay in cash the amount paid to the underwriters of our initial public offering by the Investment Adviser, we may have to sell assets at a loss, and the amount that we have available for investment may be reduced, in order to pay the amount due.</w:t>
      </w:r>
    </w:p>
    <w:p>
      <w:pPr>
        <w:spacing w:after="0" w:line="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are obligated to repay this amount to the Investment Adviser in cash while making distributions to our stockholders necessary to maintain our RIC status and/or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have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expect most of our investments may be recorded using broker/dealers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adjust the valuation of our portfolio quarterly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If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issued by U.S. middle-market companies.</w:t>
      </w:r>
    </w:p>
    <w:p>
      <w:pPr>
        <w:spacing w:after="0" w:line="90"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i w:val="1"/>
          <w:iCs w:val="1"/>
          <w:color w:val="auto"/>
        </w:rPr>
        <w:t>Floating Rate Loans</w:t>
      </w:r>
      <w:r>
        <w:rPr>
          <w:rFonts w:ascii="Arial" w:cs="Arial" w:eastAsia="Arial" w:hAnsi="Arial"/>
          <w:sz w:val="16"/>
          <w:szCs w:val="16"/>
          <w:color w:val="auto"/>
        </w:rPr>
        <w:t>. The Floating Rate Loans we invest in are usually rated below investment grade or may also be unrated. Investments in Floating</w:t>
      </w:r>
      <w:r>
        <w:rPr>
          <w:rFonts w:ascii="Arial" w:cs="Arial" w:eastAsia="Arial" w:hAnsi="Arial"/>
          <w:sz w:val="16"/>
          <w:szCs w:val="16"/>
          <w:i w:val="1"/>
          <w:iCs w:val="1"/>
          <w:color w:val="auto"/>
        </w:rPr>
        <w:t xml:space="preserve"> </w:t>
      </w:r>
      <w:r>
        <w:rPr>
          <w:rFonts w:ascii="Arial" w:cs="Arial" w:eastAsia="Arial" w:hAnsi="Arial"/>
          <w:sz w:val="16"/>
          <w:szCs w:val="16"/>
          <w:color w:val="auto"/>
        </w:rPr>
        <w:t>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25"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1" w:lineRule="exact"/>
        <w:rPr>
          <w:rFonts w:ascii="Arial" w:cs="Arial" w:eastAsia="Arial" w:hAnsi="Arial"/>
          <w:sz w:val="16"/>
          <w:szCs w:val="16"/>
          <w:color w:val="auto"/>
        </w:rPr>
      </w:pPr>
    </w:p>
    <w:p>
      <w:pPr>
        <w:ind w:left="900" w:right="440" w:hanging="446"/>
        <w:spacing w:after="0" w:line="325"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8"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24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3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18"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any offering of our securities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net asset value that is attributable to those shares. Our shares may trade above and below our net asset value, or NAV. Our shares traded on the NASDAQ Global Select Market at $10.55 and $11.75 as of September 30, 2011 and March 31, 2012, respectively. Our NAV was $13.44 and $14.12 as of September 30, 2011 and March 31,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5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in cash equivalents, U.S. government securities and other high-quality debt investments that mature in one year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19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taxes in excess of the cash they receive.</w:t>
      </w:r>
    </w:p>
    <w:p>
      <w:pPr>
        <w:spacing w:after="0" w:line="4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188"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 and the listing standards of the NASDAQ.</w:t>
      </w:r>
    </w:p>
    <w:p>
      <w:pPr>
        <w:spacing w:after="0" w:line="21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March 31, 2012, we had $47.8 million in borrowings outstanding under our $100.0 million Credit Facility. Borrowings under our Credit Facility bear interest at a commercial paper rate that approximates LIBOR plus 225 basis points per annum for the first three years, or the revolving period, and the rate resets to LIBOR plus 425 basis points for the remaining two years. At March 31, 2012, the interest rate at that time was 2.54%.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six months ended March 31, 2012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2"/>
                <w:szCs w:val="12"/>
                <w:color w:val="auto"/>
              </w:rPr>
            </w:pPr>
          </w:p>
        </w:tc>
        <w:tc>
          <w:tcPr>
            <w:tcW w:w="2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760" w:type="dxa"/>
            <w:vAlign w:val="bottom"/>
          </w:tcPr>
          <w:p>
            <w:pPr>
              <w:spacing w:after="0"/>
              <w:rPr>
                <w:sz w:val="14"/>
                <w:szCs w:val="14"/>
                <w:color w:val="auto"/>
              </w:rPr>
            </w:pPr>
          </w:p>
        </w:tc>
        <w:tc>
          <w:tcPr>
            <w:tcW w:w="192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94"/>
              </w:rPr>
              <w:t>March 31, 2012</w:t>
            </w:r>
          </w:p>
        </w:tc>
        <w:tc>
          <w:tcPr>
            <w:tcW w:w="720" w:type="dxa"/>
            <w:vAlign w:val="bottom"/>
          </w:tcPr>
          <w:p>
            <w:pPr>
              <w:spacing w:after="0"/>
              <w:rPr>
                <w:sz w:val="14"/>
                <w:szCs w:val="14"/>
                <w:color w:val="auto"/>
              </w:rPr>
            </w:pPr>
          </w:p>
        </w:tc>
        <w:tc>
          <w:tcPr>
            <w:tcW w:w="2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through September 30, 2011</w:t>
            </w:r>
          </w:p>
        </w:tc>
        <w:tc>
          <w:tcPr>
            <w:tcW w:w="0" w:type="dxa"/>
            <w:vAlign w:val="bottom"/>
          </w:tcPr>
          <w:p>
            <w:pPr>
              <w:spacing w:after="0"/>
              <w:rPr>
                <w:sz w:val="1"/>
                <w:szCs w:val="1"/>
                <w:color w:val="auto"/>
              </w:rPr>
            </w:pPr>
          </w:p>
        </w:tc>
      </w:tr>
      <w:tr>
        <w:trPr>
          <w:trHeight w:val="155"/>
        </w:trPr>
        <w:tc>
          <w:tcPr>
            <w:tcW w:w="59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5,411</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before debt issuance costs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2,491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2,920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4,710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7,630</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asset value (at period end)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14.12</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0.43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0.69</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(2),(3)</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0.44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 of Assets and Liabilities data (at period end):</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151,174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121,075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146,188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1"/>
                <w:szCs w:val="11"/>
                <w:color w:val="auto"/>
              </w:rPr>
              <w:t>(4)</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47,561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24,650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5,102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net asset value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96,722</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92,072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(5)</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15.75%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(6)</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(6)</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8.6%</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Included start-up and organizational costs. Total expenses after debt issuance costs are $2,626.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Q2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8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1,375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2,980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1,730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4,525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3,105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14.12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13.68</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10.30</w:t>
            </w:r>
          </w:p>
        </w:tc>
      </w:tr>
      <w:tr>
        <w:trPr>
          <w:trHeight w:val="365"/>
        </w:trPr>
        <w:tc>
          <w:tcPr>
            <w:tcW w:w="8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Q4</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r>
      <w:tr>
        <w:trPr>
          <w:trHeight w:val="210"/>
        </w:trPr>
        <w:tc>
          <w:tcPr>
            <w:tcW w:w="8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(2,809)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(0.10)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14.06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From March 4, 2011 (commencement of operations) through March 31, 2011, there was only a seed capital investment.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$1 million and $10 million, on average, although we expect that this investment size will vary proportionately with the size of our capital base.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thinly traded public companies, public companies with a market capitalization of less than $250 million, cash, cash equivalents, U.S. government securities and high quality debt investments that mature in one year or less. In addition, for tax purposes we have elected to be treated, and intend to qualify annually, as a RIC under the Code.</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table on page 6 of this prospectus rather than as a percentage of total assets. Total assets include assets that have been funded with borrowed money (leverage). For reference, the table below illustrates our estimated “Total Annual Expenses” as a percentage of average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0.22%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1.01%</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1.50%</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3.73%</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 —Investment Management Agreement” for more information.</w:t>
      </w:r>
    </w:p>
    <w:p>
      <w:pPr>
        <w:spacing w:after="0" w:line="50"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gains incentive fees. As of March 31, 2012, our unrealized capital gains exceeded our cumulative realized and unrealized capital losses and we accrued a capital gains incentive fee of $0.1 million in accordance with GAAP. However, “Incentive fees payable under the Investment Management Agreement” includes an accrual for capital gains incentive fee for the three months ended March 31, 2012 even though no capital gains incentive fee was payable under our Investment Management Agreement as of March 31, 2012, and we cannot assure you that we will recognize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color w:val="auto"/>
        </w:rPr>
        <w:t>capital gains for the calendar year ending December 31, 2012 in amounts consistent with the accrual for the same period. For more detailed information about the incentive fee, please see “Certain Relationships and Transactions—Investment Management Agreement” for more information.</w:t>
      </w:r>
    </w:p>
    <w:p>
      <w:pPr>
        <w:spacing w:after="0" w:line="4" w:lineRule="exact"/>
        <w:rPr>
          <w:sz w:val="20"/>
          <w:szCs w:val="20"/>
          <w:color w:val="auto"/>
        </w:rPr>
      </w:pPr>
    </w:p>
    <w:p>
      <w:pPr>
        <w:ind w:left="460" w:hanging="452"/>
        <w:spacing w:after="0" w:line="291"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of March 31, 2012, we had $47.8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9"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See the Consolidated Statement of Operations in our Consolidated Financial Statements.</w:t>
      </w:r>
    </w:p>
    <w:p>
      <w:pPr>
        <w:spacing w:after="0" w:line="62" w:lineRule="exact"/>
        <w:rPr>
          <w:rFonts w:ascii="Arial" w:cs="Arial" w:eastAsia="Arial" w:hAnsi="Arial"/>
          <w:sz w:val="18"/>
          <w:szCs w:val="18"/>
          <w:color w:val="auto"/>
        </w:rPr>
      </w:pPr>
    </w:p>
    <w:p>
      <w:pPr>
        <w:ind w:left="460" w:right="60" w:hanging="452"/>
        <w:spacing w:after="0" w:line="291"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March 31, 2012.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senior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To the extent we invest in derivative instruments in the future, such instruments would be valued at fair value in accordance with our valuation policy.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to our Consolidated Financial Statements.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accordance with Accounting Standards Update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Asset Category</w:t>
            </w:r>
          </w:p>
        </w:tc>
        <w:tc>
          <w:tcPr>
            <w:tcW w:w="232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Range of</w:t>
            </w: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1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Fair Value</w:t>
            </w:r>
          </w:p>
        </w:tc>
        <w:tc>
          <w:tcPr>
            <w:tcW w:w="21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Valuation Techniques</w:t>
            </w:r>
          </w:p>
        </w:tc>
        <w:tc>
          <w:tcPr>
            <w:tcW w:w="20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8"/>
              </w:rPr>
              <w:t>Unobservable Inputs</w:t>
            </w: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Values/Input</w:t>
            </w:r>
          </w:p>
        </w:tc>
        <w:tc>
          <w:tcPr>
            <w:tcW w:w="0" w:type="dxa"/>
            <w:vAlign w:val="bottom"/>
          </w:tcPr>
          <w:p>
            <w:pPr>
              <w:spacing w:after="0"/>
              <w:rPr>
                <w:sz w:val="1"/>
                <w:szCs w:val="1"/>
                <w:color w:val="auto"/>
              </w:rPr>
            </w:pPr>
          </w:p>
        </w:tc>
      </w:tr>
      <w:tr>
        <w:trPr>
          <w:trHeight w:val="181"/>
        </w:trPr>
        <w:tc>
          <w:tcPr>
            <w:tcW w:w="51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 debt/corporate notes and</w:t>
            </w:r>
          </w:p>
        </w:tc>
        <w:tc>
          <w:tcPr>
            <w:tcW w:w="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90%</w:t>
            </w:r>
          </w:p>
        </w:tc>
        <w:tc>
          <w:tcPr>
            <w:tcW w:w="4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Market approach</w:t>
            </w:r>
          </w:p>
        </w:tc>
        <w:tc>
          <w:tcPr>
            <w:tcW w:w="4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bids</w:t>
            </w:r>
          </w:p>
        </w:tc>
        <w:tc>
          <w:tcPr>
            <w:tcW w:w="4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1 - 9</w:t>
            </w:r>
          </w:p>
        </w:tc>
        <w:tc>
          <w:tcPr>
            <w:tcW w:w="0" w:type="dxa"/>
            <w:vAlign w:val="bottom"/>
          </w:tcPr>
          <w:p>
            <w:pPr>
              <w:spacing w:after="0"/>
              <w:rPr>
                <w:sz w:val="1"/>
                <w:szCs w:val="1"/>
                <w:color w:val="auto"/>
              </w:rPr>
            </w:pPr>
          </w:p>
        </w:tc>
      </w:tr>
      <w:tr>
        <w:trPr>
          <w:trHeight w:val="224"/>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preferred and common equity</w:t>
            </w: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20" w:type="dxa"/>
            <w:vAlign w:val="bottom"/>
            <w:gridSpan w:val="3"/>
          </w:tcPr>
          <w:p>
            <w:pPr>
              <w:spacing w:after="0"/>
              <w:rPr>
                <w:sz w:val="20"/>
                <w:szCs w:val="20"/>
                <w:color w:val="auto"/>
              </w:rPr>
            </w:pPr>
            <w:r>
              <w:rPr>
                <w:rFonts w:ascii="Arial" w:cs="Arial" w:eastAsia="Arial" w:hAnsi="Arial"/>
                <w:sz w:val="18"/>
                <w:szCs w:val="18"/>
                <w:color w:val="auto"/>
              </w:rPr>
              <w:t>First lien, second lien, subordinated debt/corporate notes and</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440" w:type="dxa"/>
            <w:vAlign w:val="bottom"/>
          </w:tcPr>
          <w:p>
            <w:pPr>
              <w:spacing w:after="0"/>
              <w:rPr>
                <w:sz w:val="18"/>
                <w:szCs w:val="18"/>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Market comparable /</w:t>
            </w:r>
          </w:p>
        </w:tc>
        <w:tc>
          <w:tcPr>
            <w:tcW w:w="200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EBITDA multiples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7.6x – 10.7x</w:t>
            </w:r>
          </w:p>
        </w:tc>
        <w:tc>
          <w:tcPr>
            <w:tcW w:w="0" w:type="dxa"/>
            <w:vAlign w:val="bottom"/>
          </w:tcPr>
          <w:p>
            <w:pPr>
              <w:spacing w:after="0"/>
              <w:rPr>
                <w:sz w:val="1"/>
                <w:szCs w:val="1"/>
                <w:color w:val="auto"/>
              </w:rPr>
            </w:pPr>
          </w:p>
        </w:tc>
      </w:tr>
      <w:tr>
        <w:trPr>
          <w:trHeight w:val="222"/>
        </w:trPr>
        <w:tc>
          <w:tcPr>
            <w:tcW w:w="5120" w:type="dxa"/>
            <w:vAlign w:val="bottom"/>
            <w:gridSpan w:val="3"/>
          </w:tcPr>
          <w:p>
            <w:pPr>
              <w:ind w:left="220"/>
              <w:spacing w:after="0"/>
              <w:rPr>
                <w:sz w:val="20"/>
                <w:szCs w:val="20"/>
                <w:color w:val="auto"/>
              </w:rPr>
            </w:pPr>
            <w:r>
              <w:rPr>
                <w:rFonts w:ascii="Arial" w:cs="Arial" w:eastAsia="Arial" w:hAnsi="Arial"/>
                <w:sz w:val="18"/>
                <w:szCs w:val="18"/>
                <w:color w:val="auto"/>
              </w:rPr>
              <w:t>preferred and common equity</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Enterprise value</w:t>
            </w: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Market comparable /</w:t>
            </w:r>
          </w:p>
        </w:tc>
        <w:tc>
          <w:tcPr>
            <w:tcW w:w="20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Discount rate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24"/>
        </w:trPr>
        <w:tc>
          <w:tcPr>
            <w:tcW w:w="1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7"/>
              </w:rPr>
              <w:t>Income approach</w:t>
            </w: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unrealized depreciation of $0.2 million and zero, respectively. We use one or more nationally recognized independent valuation services firm to measure the fair value of the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are capitalized, and we then amortize such amounts as interest income or expense as applicable. We record prepayment penalties on loans and debt investments as income. Dividend income, if any, is recognized on an accrual basis on the ex-dividend date to the extent that we expect to collect such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March 31, 2012, our portfolio totaled $146.2 million and consisted of $126.3 million of senior secured loans, $7.1 million of second lien secured debt, $12.8 million of subordinated debt and preferred and common equity investments. Our portfolio consisted of 85% variable-rate investments (including 80% with a LIBOR or prime floor) and 15% fixed-rate investments. Overall, the portfolio had net unrealized depreciation of less than $0.1 million. Our overall portfolio consisted of 51 companies with an average investment size of $2.9 million, a weighted average yield on debt investments of 8.6%, and was invested 86% in senior secured loans, 5% in second lien secured debt and 9% in subordinated debt,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$72.2 million in 25 new portfolio companies and 2 existing portfolio companies with a weighted average yield on debt investments of 9.2%. Sales and repayments of investments for the six months ended March 31, 2012 totaled $41.6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Investment income for the three and six months ended March 31, 2012 was $2.9 million and $5.4 million, respectively, and was primarily attributable to $2.3 million and $4.3 million from senior secured loans, $0.3 million and $0.6 million from second lien secured debt investments and $0.3 million and $0.5 million from subordinated debt investments, respectively. We continue to find attractive investment opportunities and intend to continue to rotate out of lower yielding investments to higher yielding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Expenses for the three and six months ended March 31, 2012 totaled $1.4 million and $2.5 million, respectively. Base management fees for the same period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totaled $0.4 million and $0.7 million, performance-based incentive fees totaled $0.2 million and $0.2 million, Credit Facility expenses totaled $0.3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$0.6 million and general and administrative expenses totaled $0.5 million and $1.0 million, respectively. We expect our Credit Facility expenses and management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fees to continue to increase as a result of growth in our portfolio.</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Net investment income totaled $1.5 million and $2.9 million, or $0.23 and $0.43 per share, for the three and six months ended March 31, 2012,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Sales and repayments of investments for the three and six months ended March 31, 2012 totaled $19.3 million and $41.6 million and realized gains totaled $0.1 million and $0.4 million, respectively, due to sales and repayments of our debt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the three and six months ended March 31, 2012, we reported unrealized appreciation on investments of $3.0 million and $4.1 million, respectively. As of March 31, 2012 and September 30, 2011, net unrealized depreciation on investments totaled less than $0.1 million and $4.1 million, respectively.</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and six months ended March 31, 2012, our long-term Credit Facility had a change in unrealized (appreciation) depreciation of $(0.1) million and $0.2 million, respectively. As of March 31, 2012 and September 30, 2011, net unrealized depreciation on our long-term Credit Facility totaled $0.2 million and zero,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increase in net assets resulting from operations totaled $4.5 million and $7.6 million, or $0.66 and $1.12 per share, respectively, for the three and six months ended March 31, 2012. This increase in net assets from operations was due to the continued growth in net investment income as a result of growth in our portfolio and appreciation on our investments.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period from March 4, 2011 (commencement of operations) to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Investment income for the period March 4, 2011 (commencement of operations) to September 30, 2011, was $2.9 million, and was attributable to $2.4 million from senior secured loan investments, $0.4 million from second lien secured debt investments and $0.1 million from subordinated debt investments. We continue to deploy capital from our new Credit Facility to grow both our portfolio and investment income over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investment income totaled $0.3 million or $0.05 per share for the period March 4, 2011 (commencement of operations) to September 30,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Sales and repayments of long-term investments for the period March 4, 2011 (commencement of operations) to September 30, 2011 totaled $33.2 million and net realized gains totaled $0.3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unrealized depreciation on investments totaled $4.1 million for the period March 4, 2011 (commencement of operations) to September 30, 2011. There was no change in unrealized (appreciation) depreciation on credit facility for the same period. Credit market conditions have weakened and while lowering our net asset value could increase our risk adjusted returns on new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Net decrease in net assets resulting from operations totaled $3.5 million, or $0.51 per share for the period March 4, 2011 (commencement of operations) to September 30, 2011. The decrease in net assets is primarily the result of unrealized losses on our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4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On June 23, 2011, we entered into the Credit Facility with affiliates of SunTrust Bank, or the Lender, an asset-backed commercial paper conduit administered by STRH. The Credit Facility allows us to borrow up to $100.0 million and contains an accordion feature whereby the Credit Facility can be expanded to $600.0 million,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subject to satisfaction of certain conditions. As of March 31, 2012 and September 30, 2011, we had $47.8 million and $24.7 million of outstanding borrowings under the Credit Facility, had an interest rate of 2.54% and 2.53%, excluding the 0.50% undrawn commitment fee.</w:t>
      </w:r>
    </w:p>
    <w:p>
      <w:pPr>
        <w:spacing w:after="0" w:line="13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March 31, 2012, we were in compliance with our covenants relating to our Credit Facility.</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raise equity or debt capital through both registered offerings and by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March 31, 2012, we had cash equivalents of $3.8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operating activities used cash of $23.3 million for the six months ended March 31, 2012, and our financing activities provided net cash proceeds of $20.2 million for the same period. Our operating activities used cash primarily for net investing that was provided from net draws under the Credit Facility.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September 30, 2011, we had cash equivalents of $7.0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the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but not limited to, borrowings under our Credit Facility maturing in June 2016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gridSpan w:val="11"/>
          </w:tcPr>
          <w:p>
            <w:pPr>
              <w:ind w:left="60"/>
              <w:spacing w:after="0"/>
              <w:rPr>
                <w:sz w:val="20"/>
                <w:szCs w:val="20"/>
                <w:color w:val="auto"/>
              </w:rPr>
            </w:pPr>
            <w:r>
              <w:rPr>
                <w:rFonts w:ascii="Arial" w:cs="Arial" w:eastAsia="Arial" w:hAnsi="Arial"/>
                <w:sz w:val="14"/>
                <w:szCs w:val="14"/>
                <w:b w:val="1"/>
                <w:bCs w:val="1"/>
                <w:color w:val="auto"/>
              </w:rPr>
              <w:t>Payments due by period (in millions)</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58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1-3</w:t>
            </w:r>
          </w:p>
        </w:tc>
        <w:tc>
          <w:tcPr>
            <w:tcW w:w="600" w:type="dxa"/>
            <w:vAlign w:val="bottom"/>
            <w:tcBorders>
              <w:top w:val="single" w:sz="8" w:color="auto"/>
            </w:tcBorders>
            <w:gridSpan w:val="2"/>
          </w:tcPr>
          <w:p>
            <w:pPr>
              <w:jc w:val="center"/>
              <w:ind w:left="102"/>
              <w:spacing w:after="0" w:line="129" w:lineRule="exact"/>
              <w:rPr>
                <w:sz w:val="20"/>
                <w:szCs w:val="20"/>
                <w:color w:val="auto"/>
              </w:rPr>
            </w:pPr>
            <w:r>
              <w:rPr>
                <w:rFonts w:ascii="Arial" w:cs="Arial" w:eastAsia="Arial" w:hAnsi="Arial"/>
                <w:sz w:val="14"/>
                <w:szCs w:val="14"/>
                <w:b w:val="1"/>
                <w:bCs w:val="1"/>
                <w:color w:val="auto"/>
                <w:w w:val="88"/>
              </w:rPr>
              <w:t>3-5</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2"/>
              </w:rPr>
              <w:t>$—</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50.0</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left="12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Statements of Assets and Liabilities represent unfunded delayed draws on investments in subordinated debt investments.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approved by the board of directors, including a majority of our independent directors, in March 2011, PennantPark Investment Advisers serves as our Investment Adviser in accordance with the terms of the Investment Management Agreement. Payments under our Investment Management Agreement in each reporting period are equal to: (1) a management fee equal to a percentage of the value of our gross assets and (2) an incentive fee based on our performance.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our Administration Agreement approved by the board of directors, including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and six months ended March 31, 2012, we declared distributions of $0.225 and $0.435 per share, respectively, for total distributions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 million and $3.0 million, respectively. During the period March 4, 2011 (commencement of operations) to September 30, 2011, we declared to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of $ 0.25 per share for total distributions of $1.7 million. We monitor available net investment income to determine if a tax return of capital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for the fiscal year. To the extent our taxable earnings fall below the total amount of our distributions for any given fiscal year, a portion of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may be deemed to be a tax return of capital to our common stockholders. Tax characteristics of all distributions will be reported to stockholders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1099-DIV after the end of the calendar year and in our periodic reports filed with the SEC.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monthly distributions to our stockholders. Our monthly distributions, if any, are determined by our board of directors.</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subject to financial market risks, including changes in interest rates. As of March 31, 2012, our portfolio consisted of 85% variable-rate investments (including 80% with a LIBOR or prime floor) and 15% fixed-rate investments. The variable-rate loans are usually based on a floating LIBOR rate and typically have durations of three months after which they reset to current market interest rates. Variable-rate investments subject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the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March 31, 2012 and September 30, 2011. The information as of September 30,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3"/>
              </w:rPr>
              <w:t>Asset</w:t>
            </w: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r>
      <w:tr>
        <w:trPr>
          <w:trHeight w:val="134"/>
        </w:trPr>
        <w:tc>
          <w:tcPr>
            <w:tcW w:w="9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940"/>
              <w:spacing w:after="0" w:line="135" w:lineRule="exact"/>
              <w:rPr>
                <w:sz w:val="20"/>
                <w:szCs w:val="20"/>
                <w:color w:val="auto"/>
              </w:rPr>
            </w:pPr>
            <w:r>
              <w:rPr>
                <w:rFonts w:ascii="Arial" w:cs="Arial" w:eastAsia="Arial" w:hAnsi="Arial"/>
                <w:sz w:val="14"/>
                <w:szCs w:val="14"/>
                <w:b w:val="1"/>
                <w:bCs w:val="1"/>
                <w:color w:val="auto"/>
                <w:w w:val="87"/>
              </w:rPr>
              <w:t>Coverage</w:t>
            </w:r>
          </w:p>
        </w:tc>
        <w:tc>
          <w:tcPr>
            <w:tcW w:w="1580" w:type="dxa"/>
            <w:vAlign w:val="bottom"/>
            <w:gridSpan w:val="2"/>
          </w:tcPr>
          <w:p>
            <w:pPr>
              <w:jc w:val="right"/>
              <w:ind w:right="88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r>
      <w:tr>
        <w:trPr>
          <w:trHeight w:val="149"/>
        </w:trPr>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Total Amount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94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5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8"/>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800" w:type="dxa"/>
            <w:vAlign w:val="bottom"/>
          </w:tcPr>
          <w:p>
            <w:pPr>
              <w:spacing w:after="0"/>
              <w:rPr>
                <w:sz w:val="15"/>
                <w:szCs w:val="15"/>
                <w:color w:val="auto"/>
              </w:rPr>
            </w:pPr>
          </w:p>
        </w:tc>
        <w:tc>
          <w:tcPr>
            <w:tcW w:w="940" w:type="dxa"/>
            <w:vAlign w:val="bottom"/>
            <w:gridSpan w:val="2"/>
          </w:tcPr>
          <w:p>
            <w:pPr>
              <w:jc w:val="right"/>
              <w:spacing w:after="0" w:line="162" w:lineRule="exact"/>
              <w:rPr>
                <w:sz w:val="20"/>
                <w:szCs w:val="20"/>
                <w:color w:val="auto"/>
              </w:rPr>
            </w:pPr>
            <w:r>
              <w:rPr>
                <w:rFonts w:ascii="Arial" w:cs="Arial" w:eastAsia="Arial" w:hAnsi="Arial"/>
                <w:sz w:val="12"/>
                <w:szCs w:val="12"/>
                <w:b w:val="1"/>
                <w:bCs w:val="1"/>
                <w:color w:val="auto"/>
              </w:rPr>
              <w:t xml:space="preserve">Outstanding </w:t>
            </w:r>
            <w:r>
              <w:rPr>
                <w:rFonts w:ascii="Arial" w:cs="Arial" w:eastAsia="Arial" w:hAnsi="Arial"/>
                <w:sz w:val="18"/>
                <w:szCs w:val="18"/>
                <w:b w:val="1"/>
                <w:bCs w:val="1"/>
                <w:color w:val="auto"/>
                <w:vertAlign w:val="superscript"/>
              </w:rPr>
              <w:t>(1)</w:t>
            </w:r>
          </w:p>
        </w:tc>
        <w:tc>
          <w:tcPr>
            <w:tcW w:w="860" w:type="dxa"/>
            <w:vAlign w:val="bottom"/>
          </w:tcPr>
          <w:p>
            <w:pPr>
              <w:spacing w:after="0"/>
              <w:rPr>
                <w:sz w:val="15"/>
                <w:szCs w:val="15"/>
                <w:color w:val="auto"/>
              </w:rPr>
            </w:pPr>
          </w:p>
        </w:tc>
        <w:tc>
          <w:tcPr>
            <w:tcW w:w="16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9"/>
              </w:rPr>
              <w:t>(unaudited)</w:t>
            </w:r>
          </w:p>
        </w:tc>
        <w:tc>
          <w:tcPr>
            <w:tcW w:w="1580" w:type="dxa"/>
            <w:vAlign w:val="bottom"/>
            <w:gridSpan w:val="2"/>
          </w:tcPr>
          <w:p>
            <w:pPr>
              <w:jc w:val="right"/>
              <w:ind w:right="900"/>
              <w:spacing w:after="0" w:line="162" w:lineRule="exact"/>
              <w:rPr>
                <w:sz w:val="20"/>
                <w:szCs w:val="20"/>
                <w:color w:val="auto"/>
              </w:rPr>
            </w:pPr>
            <w:r>
              <w:rPr>
                <w:rFonts w:ascii="Arial" w:cs="Arial" w:eastAsia="Arial" w:hAnsi="Arial"/>
                <w:sz w:val="12"/>
                <w:szCs w:val="12"/>
                <w:b w:val="1"/>
                <w:bCs w:val="1"/>
                <w:color w:val="auto"/>
              </w:rPr>
              <w:t xml:space="preserve">Per Unit </w:t>
            </w:r>
            <w:r>
              <w:rPr>
                <w:rFonts w:ascii="Arial" w:cs="Arial" w:eastAsia="Arial" w:hAnsi="Arial"/>
                <w:sz w:val="18"/>
                <w:szCs w:val="18"/>
                <w:b w:val="1"/>
                <w:bCs w:val="1"/>
                <w:color w:val="auto"/>
                <w:vertAlign w:val="superscript"/>
              </w:rPr>
              <w:t>(3)</w:t>
            </w:r>
          </w:p>
        </w:tc>
        <w:tc>
          <w:tcPr>
            <w:tcW w:w="7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rPr>
              <w:t xml:space="preserve">Unit </w:t>
            </w:r>
            <w:r>
              <w:rPr>
                <w:rFonts w:ascii="Arial" w:cs="Arial" w:eastAsia="Arial" w:hAnsi="Arial"/>
                <w:sz w:val="18"/>
                <w:szCs w:val="18"/>
                <w:b w:val="1"/>
                <w:bCs w:val="1"/>
                <w:color w:val="auto"/>
                <w:vertAlign w:val="superscript"/>
              </w:rPr>
              <w:t>(4)</w:t>
            </w:r>
          </w:p>
        </w:tc>
      </w:tr>
      <w:tr>
        <w:trPr>
          <w:trHeight w:val="190"/>
        </w:trPr>
        <w:tc>
          <w:tcPr>
            <w:tcW w:w="4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Fiscal 2012 (as of March 31, 2012)</w:t>
            </w:r>
          </w:p>
        </w:tc>
        <w:tc>
          <w:tcPr>
            <w:tcW w:w="280" w:type="dxa"/>
            <w:vAlign w:val="bottom"/>
          </w:tcPr>
          <w:p>
            <w:pPr>
              <w:jc w:val="right"/>
              <w:ind w:right="10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47,800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3,018</w:t>
            </w:r>
          </w:p>
        </w:tc>
        <w:tc>
          <w:tcPr>
            <w:tcW w:w="84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 (as of September 30, 2011)</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OBLIGATIONS AND INDEBTEDNESS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our initial public offering of our common stock, the Investment Adviser paid to the underwriters 2% of the sales load, or $2.1 million in the aggregate.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common stock is traded on the NASDAQ Global Select Market under the symbol “PFLT.” The following table lists the high and low closing sale price for our common stock, the closing sale price as a percentage of NAV, and quarterly dividends per share since shares of our common stock began being regularly quoted on the NASDAQ Global Select Market. On July 24, 2012, the last reported closing price of our common stock was $12.14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2"/>
              </w:rPr>
              <w:t>Closing Sales</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Discount of</w:t>
            </w:r>
          </w:p>
        </w:tc>
        <w:tc>
          <w:tcPr>
            <w:tcW w:w="980" w:type="dxa"/>
            <w:vAlign w:val="bottom"/>
          </w:tcPr>
          <w:p>
            <w:pPr>
              <w:jc w:val="center"/>
              <w:ind w:right="241"/>
              <w:spacing w:after="0"/>
              <w:rPr>
                <w:sz w:val="20"/>
                <w:szCs w:val="20"/>
                <w:color w:val="auto"/>
              </w:rPr>
            </w:pPr>
            <w:r>
              <w:rPr>
                <w:rFonts w:ascii="Arial" w:cs="Arial" w:eastAsia="Arial" w:hAnsi="Arial"/>
                <w:sz w:val="14"/>
                <w:szCs w:val="14"/>
                <w:b w:val="1"/>
                <w:bCs w:val="1"/>
                <w:color w:val="auto"/>
                <w:w w:val="85"/>
              </w:rPr>
              <w:t>Discount of</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116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High Sales</w:t>
            </w:r>
          </w:p>
        </w:tc>
        <w:tc>
          <w:tcPr>
            <w:tcW w:w="980" w:type="dxa"/>
            <w:vAlign w:val="bottom"/>
            <w:vMerge w:val="restart"/>
          </w:tcPr>
          <w:p>
            <w:pPr>
              <w:jc w:val="center"/>
              <w:ind w:right="241"/>
              <w:spacing w:after="0" w:line="149" w:lineRule="exact"/>
              <w:rPr>
                <w:sz w:val="20"/>
                <w:szCs w:val="20"/>
                <w:color w:val="auto"/>
              </w:rPr>
            </w:pPr>
            <w:r>
              <w:rPr>
                <w:rFonts w:ascii="Arial" w:cs="Arial" w:eastAsia="Arial" w:hAnsi="Arial"/>
                <w:sz w:val="14"/>
                <w:szCs w:val="14"/>
                <w:b w:val="1"/>
                <w:bCs w:val="1"/>
                <w:color w:val="auto"/>
                <w:w w:val="84"/>
              </w:rPr>
              <w:t>Low Sales</w:t>
            </w: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2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7"/>
              </w:rPr>
              <w:t>Price</w:t>
            </w:r>
          </w:p>
        </w:tc>
        <w:tc>
          <w:tcPr>
            <w:tcW w:w="11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48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vMerge w:val="restart"/>
          </w:tcPr>
          <w:p>
            <w:pPr>
              <w:jc w:val="center"/>
              <w:ind w:right="261"/>
              <w:spacing w:after="0" w:line="135" w:lineRule="exact"/>
              <w:rPr>
                <w:sz w:val="20"/>
                <w:szCs w:val="20"/>
                <w:color w:val="auto"/>
              </w:rPr>
            </w:pPr>
            <w:r>
              <w:rPr>
                <w:rFonts w:ascii="Arial" w:cs="Arial" w:eastAsia="Arial" w:hAnsi="Arial"/>
                <w:sz w:val="14"/>
                <w:szCs w:val="14"/>
                <w:b w:val="1"/>
                <w:bCs w:val="1"/>
                <w:color w:val="auto"/>
                <w:w w:val="85"/>
              </w:rPr>
              <w:t>Price to</w:t>
            </w:r>
          </w:p>
        </w:tc>
        <w:tc>
          <w:tcPr>
            <w:tcW w:w="920" w:type="dxa"/>
            <w:vAlign w:val="bottom"/>
            <w:gridSpan w:val="2"/>
            <w:vMerge w:val="restart"/>
          </w:tcPr>
          <w:p>
            <w:pPr>
              <w:jc w:val="right"/>
              <w:ind w:right="200"/>
              <w:spacing w:after="0" w:line="13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ind w:right="335"/>
              <w:spacing w:after="0" w:line="197" w:lineRule="exact"/>
              <w:rPr>
                <w:sz w:val="20"/>
                <w:szCs w:val="20"/>
                <w:color w:val="auto"/>
              </w:rPr>
            </w:pPr>
            <w:r>
              <w:rPr>
                <w:rFonts w:ascii="Arial" w:cs="Arial" w:eastAsia="Arial" w:hAnsi="Arial"/>
                <w:sz w:val="14"/>
                <w:szCs w:val="14"/>
                <w:b w:val="1"/>
                <w:bCs w:val="1"/>
                <w:color w:val="auto"/>
                <w:w w:val="84"/>
              </w:rPr>
              <w:t>NAV</w:t>
            </w:r>
            <w:r>
              <w:rPr>
                <w:rFonts w:ascii="Arial" w:cs="Arial" w:eastAsia="Arial" w:hAnsi="Arial"/>
                <w:sz w:val="22"/>
                <w:szCs w:val="22"/>
                <w:b w:val="1"/>
                <w:bCs w:val="1"/>
                <w:color w:val="auto"/>
                <w:w w:val="84"/>
                <w:vertAlign w:val="superscript"/>
              </w:rPr>
              <w:t>(1)</w:t>
            </w:r>
          </w:p>
        </w:tc>
        <w:tc>
          <w:tcPr>
            <w:tcW w:w="4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vMerge w:val="continue"/>
          </w:tcPr>
          <w:p>
            <w:pPr>
              <w:spacing w:after="0"/>
              <w:rPr>
                <w:sz w:val="15"/>
                <w:szCs w:val="15"/>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High</w:t>
            </w:r>
          </w:p>
        </w:tc>
        <w:tc>
          <w:tcPr>
            <w:tcW w:w="1220" w:type="dxa"/>
            <w:vAlign w:val="bottom"/>
            <w:gridSpan w:val="2"/>
          </w:tcPr>
          <w:p>
            <w:pPr>
              <w:ind w:left="48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color w:val="auto"/>
                <w:w w:val="92"/>
              </w:rPr>
              <w:t xml:space="preserve">NAV </w:t>
            </w:r>
            <w:r>
              <w:rPr>
                <w:rFonts w:ascii="Arial" w:cs="Arial" w:eastAsia="Arial" w:hAnsi="Arial"/>
                <w:sz w:val="20"/>
                <w:szCs w:val="20"/>
                <w:b w:val="1"/>
                <w:bCs w:val="1"/>
                <w:color w:val="auto"/>
                <w:w w:val="92"/>
                <w:vertAlign w:val="superscript"/>
              </w:rPr>
              <w:t>(2)</w:t>
            </w:r>
          </w:p>
        </w:tc>
        <w:tc>
          <w:tcPr>
            <w:tcW w:w="980" w:type="dxa"/>
            <w:vAlign w:val="bottom"/>
          </w:tcPr>
          <w:p>
            <w:pPr>
              <w:jc w:val="center"/>
              <w:ind w:right="261"/>
              <w:spacing w:after="0" w:line="176" w:lineRule="exact"/>
              <w:rPr>
                <w:sz w:val="20"/>
                <w:szCs w:val="20"/>
                <w:color w:val="auto"/>
              </w:rPr>
            </w:pPr>
            <w:r>
              <w:rPr>
                <w:rFonts w:ascii="Arial" w:cs="Arial" w:eastAsia="Arial" w:hAnsi="Arial"/>
                <w:sz w:val="13"/>
                <w:szCs w:val="13"/>
                <w:b w:val="1"/>
                <w:bCs w:val="1"/>
                <w:color w:val="auto"/>
                <w:w w:val="92"/>
              </w:rPr>
              <w:t xml:space="preserve">NAV </w:t>
            </w:r>
            <w:r>
              <w:rPr>
                <w:rFonts w:ascii="Arial" w:cs="Arial" w:eastAsia="Arial" w:hAnsi="Arial"/>
                <w:sz w:val="20"/>
                <w:szCs w:val="20"/>
                <w:b w:val="1"/>
                <w:bCs w:val="1"/>
                <w:color w:val="auto"/>
                <w:w w:val="92"/>
                <w:vertAlign w:val="superscript"/>
              </w:rPr>
              <w:t>(2)</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2012</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Fourth Fiscal Quarter (July 24, 2012)</w:t>
            </w:r>
          </w:p>
        </w:tc>
        <w:tc>
          <w:tcPr>
            <w:tcW w:w="840" w:type="dxa"/>
            <w:vAlign w:val="bottom"/>
          </w:tcPr>
          <w:p>
            <w:pPr>
              <w:jc w:val="right"/>
              <w:ind w:right="295"/>
              <w:spacing w:after="0"/>
              <w:rPr>
                <w:sz w:val="20"/>
                <w:szCs w:val="20"/>
                <w:color w:val="auto"/>
              </w:rPr>
            </w:pPr>
            <w:r>
              <w:rPr>
                <w:rFonts w:ascii="Arial" w:cs="Arial" w:eastAsia="Arial" w:hAnsi="Arial"/>
                <w:sz w:val="18"/>
                <w:szCs w:val="18"/>
                <w:color w:val="auto"/>
              </w:rPr>
              <w:t>N/A</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12.18</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980" w:type="dxa"/>
            <w:vAlign w:val="bottom"/>
          </w:tcPr>
          <w:p>
            <w:pPr>
              <w:jc w:val="center"/>
              <w:ind w:left="101"/>
              <w:spacing w:after="0"/>
              <w:rPr>
                <w:sz w:val="20"/>
                <w:szCs w:val="20"/>
                <w:color w:val="auto"/>
              </w:rPr>
            </w:pPr>
            <w:r>
              <w:rPr>
                <w:rFonts w:ascii="Arial" w:cs="Arial" w:eastAsia="Arial" w:hAnsi="Arial"/>
                <w:sz w:val="18"/>
                <w:szCs w:val="18"/>
                <w:color w:val="auto"/>
                <w:w w:val="95"/>
              </w:rPr>
              <w:t>N/A%</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$ 0.080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Fiscal Quarter</w:t>
            </w:r>
          </w:p>
        </w:tc>
        <w:tc>
          <w:tcPr>
            <w:tcW w:w="8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11.93</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11.46</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Second Fiscal Quarter</w:t>
            </w:r>
          </w:p>
        </w:tc>
        <w:tc>
          <w:tcPr>
            <w:tcW w:w="840" w:type="dxa"/>
            <w:vAlign w:val="bottom"/>
          </w:tcPr>
          <w:p>
            <w:pPr>
              <w:jc w:val="right"/>
              <w:ind w:right="295"/>
              <w:spacing w:after="0"/>
              <w:rPr>
                <w:sz w:val="20"/>
                <w:szCs w:val="20"/>
                <w:color w:val="auto"/>
              </w:rPr>
            </w:pPr>
            <w:r>
              <w:rPr>
                <w:rFonts w:ascii="Arial" w:cs="Arial" w:eastAsia="Arial" w:hAnsi="Arial"/>
                <w:sz w:val="18"/>
                <w:szCs w:val="18"/>
                <w:color w:val="auto"/>
                <w:w w:val="97"/>
              </w:rPr>
              <w:t>14.12</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12.10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10.52</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980" w:type="dxa"/>
            <w:vAlign w:val="bottom"/>
          </w:tcPr>
          <w:p>
            <w:pPr>
              <w:jc w:val="center"/>
              <w:ind w:left="81"/>
              <w:spacing w:after="0"/>
              <w:rPr>
                <w:sz w:val="20"/>
                <w:szCs w:val="20"/>
                <w:color w:val="auto"/>
              </w:rPr>
            </w:pPr>
            <w:r>
              <w:rPr>
                <w:rFonts w:ascii="Arial" w:cs="Arial" w:eastAsia="Arial" w:hAnsi="Arial"/>
                <w:sz w:val="18"/>
                <w:szCs w:val="18"/>
                <w:color w:val="auto"/>
                <w:w w:val="93"/>
              </w:rPr>
              <w:t>(25)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0.225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Fiscal Quarter</w:t>
            </w:r>
          </w:p>
        </w:tc>
        <w:tc>
          <w:tcPr>
            <w:tcW w:w="8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97"/>
              </w:rPr>
              <w:t>13.68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11.03</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10.01</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980" w:type="dxa"/>
            <w:vAlign w:val="bottom"/>
            <w:shd w:val="clear" w:color="auto" w:fill="CCEEFF"/>
          </w:tcPr>
          <w:p>
            <w:pPr>
              <w:jc w:val="center"/>
              <w:ind w:left="81"/>
              <w:spacing w:after="0"/>
              <w:rPr>
                <w:sz w:val="20"/>
                <w:szCs w:val="20"/>
                <w:color w:val="auto"/>
              </w:rPr>
            </w:pPr>
            <w:r>
              <w:rPr>
                <w:rFonts w:ascii="Arial" w:cs="Arial" w:eastAsia="Arial" w:hAnsi="Arial"/>
                <w:sz w:val="18"/>
                <w:szCs w:val="18"/>
                <w:color w:val="auto"/>
                <w:w w:val="93"/>
              </w:rPr>
              <w:t>(27)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Fiscal Quarter</w:t>
            </w:r>
          </w:p>
        </w:tc>
        <w:tc>
          <w:tcPr>
            <w:tcW w:w="8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97"/>
              </w:rPr>
              <w:t>13.44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12.85</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10.34</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jc w:val="center"/>
              <w:ind w:left="81"/>
              <w:spacing w:after="0"/>
              <w:rPr>
                <w:sz w:val="20"/>
                <w:szCs w:val="20"/>
                <w:color w:val="auto"/>
              </w:rPr>
            </w:pPr>
            <w:r>
              <w:rPr>
                <w:rFonts w:ascii="Arial" w:cs="Arial" w:eastAsia="Arial" w:hAnsi="Arial"/>
                <w:sz w:val="18"/>
                <w:szCs w:val="18"/>
                <w:color w:val="auto"/>
                <w:w w:val="93"/>
              </w:rPr>
              <w:t>(23)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Third Fiscal Quarter</w:t>
            </w:r>
            <w:r>
              <w:rPr>
                <w:rFonts w:ascii="Arial" w:cs="Arial" w:eastAsia="Arial" w:hAnsi="Arial"/>
                <w:sz w:val="11"/>
                <w:szCs w:val="11"/>
                <w:color w:val="auto"/>
              </w:rPr>
              <w:t>(4)</w:t>
            </w:r>
          </w:p>
        </w:tc>
        <w:tc>
          <w:tcPr>
            <w:tcW w:w="840" w:type="dxa"/>
            <w:vAlign w:val="bottom"/>
          </w:tcPr>
          <w:p>
            <w:pPr>
              <w:jc w:val="right"/>
              <w:ind w:right="295"/>
              <w:spacing w:after="0"/>
              <w:rPr>
                <w:sz w:val="20"/>
                <w:szCs w:val="20"/>
                <w:color w:val="auto"/>
              </w:rPr>
            </w:pPr>
            <w:r>
              <w:rPr>
                <w:rFonts w:ascii="Arial" w:cs="Arial" w:eastAsia="Arial" w:hAnsi="Arial"/>
                <w:sz w:val="18"/>
                <w:szCs w:val="18"/>
                <w:color w:val="auto"/>
                <w:w w:val="97"/>
              </w:rPr>
              <w:t>14.06</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13.70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12.27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980" w:type="dxa"/>
            <w:vAlign w:val="bottom"/>
          </w:tcPr>
          <w:p>
            <w:pPr>
              <w:jc w:val="center"/>
              <w:ind w:left="81"/>
              <w:spacing w:after="0"/>
              <w:rPr>
                <w:sz w:val="20"/>
                <w:szCs w:val="20"/>
                <w:color w:val="auto"/>
              </w:rPr>
            </w:pPr>
            <w:r>
              <w:rPr>
                <w:rFonts w:ascii="Arial" w:cs="Arial" w:eastAsia="Arial" w:hAnsi="Arial"/>
                <w:sz w:val="18"/>
                <w:szCs w:val="18"/>
                <w:color w:val="auto"/>
                <w:w w:val="93"/>
              </w:rPr>
              <w:t>(13)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3"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Dividend of $0.080 is payable on August 1, 2012 to stockholders of record as of July 20,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From April 9, 2011 (commencement of trading) to June 30, 2011.</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and may continue to trade below our NAV. Our shares traded on the NASDAQ Global Select Market at $11.75 and $10.55 as of March 31, 2012 and September 30, 2011, respectively. Our NAV was $14.12 and $13.44, as of March 31, 2012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900" w:right="2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premium to NAV per share.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6"/>
              </w:rPr>
              <w:t>Example 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9"/>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1"/>
              </w:rPr>
              <w:t>5% Offering</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3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0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at 5% Discount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Below NAV</w:t>
            </w:r>
          </w:p>
        </w:tc>
        <w:tc>
          <w:tcPr>
            <w:tcW w:w="80" w:type="dxa"/>
            <w:vAlign w:val="bottom"/>
          </w:tcPr>
          <w:p>
            <w:pPr>
              <w:spacing w:after="0"/>
              <w:rPr>
                <w:sz w:val="14"/>
                <w:szCs w:val="14"/>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10.05</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5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1,000,000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1,050,000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9.98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363"/>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Example 1</w:t>
            </w:r>
          </w:p>
        </w:tc>
        <w:tc>
          <w:tcPr>
            <w:tcW w:w="10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7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5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98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98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99,800</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99,100</w:t>
            </w:r>
          </w:p>
        </w:tc>
        <w:tc>
          <w:tcPr>
            <w:tcW w:w="30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96,700</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Total investment by stockholder A (assumed to be $10.00 per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100,000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100,000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880" w:type="dxa"/>
            <w:vAlign w:val="bottom"/>
          </w:tcPr>
          <w:p>
            <w:pPr>
              <w:ind w:left="440"/>
              <w:spacing w:after="0"/>
              <w:rPr>
                <w:sz w:val="20"/>
                <w:szCs w:val="20"/>
                <w:color w:val="auto"/>
              </w:rPr>
            </w:pPr>
            <w:r>
              <w:rPr>
                <w:rFonts w:ascii="Arial" w:cs="Arial" w:eastAsia="Arial" w:hAnsi="Arial"/>
                <w:sz w:val="18"/>
                <w:szCs w:val="18"/>
                <w:color w:val="auto"/>
              </w:rPr>
              <w:t>Total dilution to stockholder A (total NAV less 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9.67</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Investment per share held by stockholder A (assumed to be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 on shares held prior to sale)</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880" w:type="dxa"/>
            <w:vAlign w:val="bottom"/>
          </w:tcPr>
          <w:p>
            <w:pPr>
              <w:ind w:left="440"/>
              <w:spacing w:after="0"/>
              <w:rPr>
                <w:sz w:val="20"/>
                <w:szCs w:val="20"/>
                <w:color w:val="auto"/>
              </w:rPr>
            </w:pPr>
            <w:r>
              <w:rPr>
                <w:rFonts w:ascii="Arial" w:cs="Arial" w:eastAsia="Arial" w:hAnsi="Arial"/>
                <w:sz w:val="18"/>
                <w:szCs w:val="18"/>
                <w:color w:val="auto"/>
                <w:w w:val="91"/>
              </w:rPr>
              <w:t>Dilution per share held by stockholder A (NAV per share less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divided by investment per share)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4"/>
              </w:rPr>
              <w:t>Total investment by stockholder A (assumed to be $10.00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108,470</w:t>
            </w:r>
          </w:p>
        </w:tc>
        <w:tc>
          <w:tcPr>
            <w:tcW w:w="5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Total (dilution)/accretion to stockholder A (total NAV less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5"/>
              </w:rPr>
              <w:t>Investment per share held by stockholder A (assumed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c>
          <w:tcPr>
            <w:tcW w:w="5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(Dilution)/accretion per share held by stockholder A (NAV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per share less investment 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80"/>
              <w:spacing w:after="0"/>
              <w:rPr>
                <w:sz w:val="20"/>
                <w:szCs w:val="20"/>
                <w:color w:val="auto"/>
              </w:rPr>
            </w:pPr>
            <w:r>
              <w:rPr>
                <w:rFonts w:ascii="Arial" w:cs="Arial" w:eastAsia="Arial" w:hAnsi="Arial"/>
                <w:sz w:val="18"/>
                <w:szCs w:val="18"/>
                <w:color w:val="auto"/>
                <w:w w:val="95"/>
              </w:rPr>
              <w:t>(dilution/accretion per share divided by investment per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0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6"/>
              </w:rPr>
              <w:t>Example 2</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6"/>
              </w:rPr>
              <w:t>Example 3</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31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31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7"/>
              </w:rPr>
              <w:t>Prior to Sale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8"/>
              </w:rPr>
              <w:t>at 10% Discount</w:t>
            </w:r>
          </w:p>
        </w:tc>
        <w:tc>
          <w:tcPr>
            <w:tcW w:w="8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8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w w:val="90"/>
              </w:rPr>
              <w:t>Below NAV</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3"/>
              </w:rPr>
              <w:t>Sale</w:t>
            </w: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3"/>
              </w:rPr>
              <w:t>Sale</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46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10.00 %</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1,200,000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NAV per share</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46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19,340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5,025</w:t>
            </w:r>
          </w:p>
        </w:tc>
        <w:tc>
          <w:tcPr>
            <w:tcW w:w="46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9,952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16,940</w:t>
            </w:r>
          </w:p>
        </w:tc>
        <w:tc>
          <w:tcPr>
            <w:tcW w:w="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 NAV</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total investment)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2,400</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9.67</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w w:val="95"/>
              </w:rPr>
              <w:t>Investment per share held by stockholder A</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46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 per share held by stockholder A</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per share less investment per</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60" w:type="dxa"/>
            <w:vAlign w:val="bottom"/>
          </w:tcPr>
          <w:p>
            <w:pPr>
              <w:ind w:left="440"/>
              <w:spacing w:after="0"/>
              <w:rPr>
                <w:sz w:val="20"/>
                <w:szCs w:val="20"/>
                <w:color w:val="auto"/>
              </w:rPr>
            </w:pPr>
            <w:r>
              <w:rPr>
                <w:rFonts w:ascii="Arial" w:cs="Arial" w:eastAsia="Arial" w:hAnsi="Arial"/>
                <w:sz w:val="18"/>
                <w:szCs w:val="18"/>
                <w:color w:val="auto"/>
              </w:rPr>
              <w:t>Percentage dilution to stockholder A</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660"/>
              <w:spacing w:after="0"/>
              <w:rPr>
                <w:sz w:val="20"/>
                <w:szCs w:val="20"/>
                <w:color w:val="auto"/>
              </w:rPr>
            </w:pPr>
            <w:r>
              <w:rPr>
                <w:rFonts w:ascii="Arial" w:cs="Arial" w:eastAsia="Arial" w:hAnsi="Arial"/>
                <w:sz w:val="18"/>
                <w:szCs w:val="18"/>
                <w:color w:val="auto"/>
              </w:rPr>
              <w:t>(dilution per share divided by</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4.10 %</w:t>
            </w:r>
          </w:p>
        </w:tc>
        <w:tc>
          <w:tcPr>
            <w:tcW w:w="8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14.17 %</w:t>
            </w: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8"/>
                <w:szCs w:val="18"/>
                <w:color w:val="auto"/>
                <w:w w:val="89"/>
              </w:rPr>
              <w:t>57</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398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06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Payment Dates</w:t>
            </w:r>
          </w:p>
        </w:tc>
        <w:tc>
          <w:tcPr>
            <w:tcW w:w="80" w:type="dxa"/>
            <w:vAlign w:val="bottom"/>
          </w:tcPr>
          <w:p>
            <w:pPr>
              <w:spacing w:after="0"/>
              <w:rPr>
                <w:sz w:val="14"/>
                <w:szCs w:val="14"/>
                <w:color w:val="auto"/>
              </w:rPr>
            </w:pPr>
          </w:p>
        </w:tc>
        <w:tc>
          <w:tcPr>
            <w:tcW w:w="7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8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July 20, 2012</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August 1, 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2012</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July 2, 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May 22, 2012</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June 1, 2012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2012</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May 1, 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March 22, 2012</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April 1, 2012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20, 2012</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March 1,2012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January 20, 2012</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February 1, 2012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2011</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January 3, 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November 21, 2011</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December 1, 2011</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2011</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November 1, 2011</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October 3, 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22, 2011</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September 1, 2011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July 22, 2011</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August 1, 2011</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2011</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July 1, 2011</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See note 7 to our Consolidated Financial Statements as of September 30,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monthly distributions to our stockholders. Our monthly distributions, if any, are determined by our board of directors.</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PennantPark Floating Rate Capital Ltd., a Maryland corporation organized on October 28, 2010, is a closed-end, externally managed, non-diversified investment company that has elected to be treated as BDC under the 1940 Act. In addition, for tax purposes we have elected to be treated, and intend to qualify annually, as a RIC under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utilize the investing experience and contacts of PennantPark Investment Advisers in developing an attractive and diversified portfolio. The senior investment professionals of the Investment Adviser have worked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900" w:hanging="446"/>
        <w:spacing w:after="0" w:line="25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260" w:hanging="446"/>
        <w:spacing w:after="0" w:line="262"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We believe this supply of opportunities coupled with a lack of demand offers attractive risk-adjusted returns to investors.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has extensive experience in a wide variety of securities for leveraged companies throughout economic and market cycles.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Publicly-Traded Model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firms,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 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60" w:right="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60" w:right="3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 structure an investment. We negotiate among these parties to agree on how our investment is structured relative to the other capital in the portfolio company’s capital structure.</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5620" w:right="3140" w:hanging="5166"/>
        <w:spacing w:after="0" w:line="440" w:lineRule="auto"/>
        <w:tabs>
          <w:tab w:leader="none" w:pos="8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 67</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360"/>
          </w:cols>
          <w:pgMar w:left="240" w:top="459" w:right="299" w:bottom="1440" w:gutter="0" w:footer="0" w:header="0"/>
        </w:sectPr>
      </w:pPr>
    </w:p>
    <w:p>
      <w:pPr>
        <w:spacing w:after="0" w:line="181" w:lineRule="exact"/>
        <w:rPr>
          <w:sz w:val="20"/>
          <w:szCs w:val="20"/>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Beverage, Food and Tobacco</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Consumer Goods: Durable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Consumer Goods: Non-Durable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Education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High Tech Industries</w:t>
      </w:r>
    </w:p>
    <w:p>
      <w:pPr>
        <w:spacing w:after="0" w:line="90" w:lineRule="exact"/>
        <w:rPr>
          <w:rFonts w:ascii="Arial" w:cs="Arial" w:eastAsia="Arial" w:hAnsi="Arial"/>
          <w:sz w:val="18"/>
          <w:szCs w:val="18"/>
          <w:color w:val="auto"/>
        </w:rPr>
      </w:pPr>
    </w:p>
    <w:p>
      <w:pPr>
        <w:ind w:left="1300" w:right="120" w:hanging="429"/>
        <w:spacing w:after="0" w:line="268" w:lineRule="auto"/>
        <w:tabs>
          <w:tab w:leader="none" w:pos="11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Retail Stores</w:t>
      </w:r>
    </w:p>
    <w:p>
      <w:pPr>
        <w:spacing w:after="0" w:line="90" w:lineRule="exact"/>
        <w:rPr>
          <w:rFonts w:ascii="Arial" w:cs="Arial" w:eastAsia="Arial" w:hAnsi="Arial"/>
          <w:sz w:val="18"/>
          <w:szCs w:val="18"/>
          <w:color w:val="auto"/>
        </w:rPr>
      </w:pPr>
    </w:p>
    <w:p>
      <w:pPr>
        <w:ind w:left="1140" w:hanging="269"/>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40"/>
          </w:cols>
          <w:pgMar w:left="240" w:top="459" w:right="29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420" w:type="dxa"/>
            <w:vAlign w:val="bottom"/>
            <w:vMerge w:val="restart"/>
          </w:tcPr>
          <w:p>
            <w:pPr>
              <w:spacing w:after="0"/>
              <w:rPr>
                <w:sz w:val="14"/>
                <w:szCs w:val="1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March 31,</w:t>
            </w: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260" w:type="dxa"/>
            <w:vAlign w:val="bottom"/>
            <w:vMerge w:val="restart"/>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gridSpan w:val="2"/>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76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Instant Web, Inc.</w:t>
            </w: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Ernest Health, Inc.</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3"/>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4%</w:t>
            </w:r>
          </w:p>
        </w:tc>
        <w:tc>
          <w:tcPr>
            <w:tcW w:w="4440" w:type="dxa"/>
            <w:vAlign w:val="bottom"/>
            <w:gridSpan w:val="3"/>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K2 Pure Solutions NoCal, L.P.</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Mood Media Corporation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Trusthouse Services Group, Inc.</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Mood Media Corporation</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KIK Custom Products Inc.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Trusthouse Services Group, Inc.</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Penton Media Inc.</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C.H.I. Overhead Doors, Inc.</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National Healing Corporation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KIK Custom Products Inc.</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600" w:type="dxa"/>
            <w:vAlign w:val="bottom"/>
            <w:gridSpan w:val="3"/>
          </w:tcPr>
          <w:p>
            <w:pPr>
              <w:spacing w:after="0"/>
              <w:rPr>
                <w:sz w:val="20"/>
                <w:szCs w:val="20"/>
                <w:color w:val="auto"/>
              </w:rPr>
            </w:pPr>
            <w:r>
              <w:rPr>
                <w:rFonts w:ascii="Arial" w:cs="Arial" w:eastAsia="Arial" w:hAnsi="Arial"/>
                <w:sz w:val="18"/>
                <w:szCs w:val="18"/>
                <w:color w:val="auto"/>
              </w:rPr>
              <w:t>Rocket Software, Inc.</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Triple Point Technology, Inc.</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Viamedia Services Corp.</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Viamedia Services Corp.</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4600" w:type="dxa"/>
            <w:vAlign w:val="bottom"/>
            <w:gridSpan w:val="3"/>
          </w:tcPr>
          <w:p>
            <w:pPr>
              <w:spacing w:after="0"/>
              <w:rPr>
                <w:sz w:val="20"/>
                <w:szCs w:val="20"/>
                <w:color w:val="auto"/>
              </w:rPr>
            </w:pPr>
            <w:r>
              <w:rPr>
                <w:rFonts w:ascii="Arial" w:cs="Arial" w:eastAsia="Arial" w:hAnsi="Arial"/>
                <w:sz w:val="18"/>
                <w:szCs w:val="18"/>
                <w:color w:val="auto"/>
              </w:rPr>
              <w:t>Yonkers Racing Corporation</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Yonkers Racing Corporation</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2"/>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4060" w:type="dxa"/>
            <w:vAlign w:val="bottom"/>
            <w:gridSpan w:val="2"/>
            <w:vMerge w:val="restart"/>
          </w:tcPr>
          <w:p>
            <w:pPr>
              <w:spacing w:after="0"/>
              <w:rPr>
                <w:sz w:val="24"/>
                <w:szCs w:val="2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March 31,</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Industry</w:t>
            </w:r>
          </w:p>
        </w:tc>
        <w:tc>
          <w:tcPr>
            <w:tcW w:w="3920" w:type="dxa"/>
            <w:vAlign w:val="bottom"/>
            <w:gridSpan w:val="2"/>
            <w:vMerge w:val="restart"/>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53"/>
        </w:trPr>
        <w:tc>
          <w:tcPr>
            <w:tcW w:w="540" w:type="dxa"/>
            <w:vAlign w:val="bottom"/>
            <w:tcBorders>
              <w:bottom w:val="single" w:sz="8" w:color="auto"/>
            </w:tcBorders>
            <w:vMerge w:val="continue"/>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760" w:type="dxa"/>
            <w:vAlign w:val="bottom"/>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3"/>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10%</w:t>
            </w:r>
          </w:p>
        </w:tc>
        <w:tc>
          <w:tcPr>
            <w:tcW w:w="4440" w:type="dxa"/>
            <w:vAlign w:val="bottom"/>
            <w:gridSpan w:val="3"/>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Beverage, Food and Tobacco</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Media: Advertising, Printing and Publishing</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460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Automotive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Accordingly, they may have obligations to investors in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2012, our portfolio consisted of 51 companies and was invested 86% in senior secured loans, 5% in second lien secured debt and 9% in subordinated debt and preferred and common equity investments.</w:t>
      </w:r>
    </w:p>
    <w:p>
      <w:pPr>
        <w:spacing w:after="0" w:line="132" w:lineRule="exact"/>
        <w:rPr>
          <w:sz w:val="20"/>
          <w:szCs w:val="20"/>
          <w:color w:val="auto"/>
        </w:rPr>
      </w:pPr>
    </w:p>
    <w:p>
      <w:pPr>
        <w:jc w:val="center"/>
        <w:ind w:right="120"/>
        <w:spacing w:after="0" w:line="440" w:lineRule="auto"/>
        <w:rPr>
          <w:sz w:val="20"/>
          <w:szCs w:val="20"/>
          <w:color w:val="auto"/>
        </w:rPr>
      </w:pPr>
      <w:r>
        <w:rPr>
          <w:rFonts w:ascii="Arial" w:cs="Arial" w:eastAsia="Arial" w:hAnsi="Arial"/>
          <w:sz w:val="18"/>
          <w:szCs w:val="18"/>
          <w:color w:val="auto"/>
        </w:rPr>
        <w:t>As of March 31, 2012, there was no portfolio company in which we have made an investment that represents greater than 5% of our total assets. 70</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March 31, 2012.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or accretion. For additional information see our “Consolidated Schedule of Investments” in our Consolidated Financial Statements included elsewhere in this prospectus.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All of Funding I’s investments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20" w:type="dxa"/>
            <w:vAlign w:val="bottom"/>
          </w:tcPr>
          <w:p>
            <w:pPr>
              <w:spacing w:after="0"/>
              <w:rPr>
                <w:sz w:val="15"/>
                <w:szCs w:val="15"/>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Nature of Business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Type of Investment</w:t>
            </w:r>
          </w:p>
        </w:tc>
        <w:tc>
          <w:tcPr>
            <w:tcW w:w="8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 xml:space="preserve">Ownership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5% or Less Owned</w:t>
            </w:r>
          </w:p>
        </w:tc>
        <w:tc>
          <w:tcPr>
            <w:tcW w:w="1720" w:type="dxa"/>
            <w:vAlign w:val="bottom"/>
            <w:tcBorders>
              <w:top w:val="single" w:sz="8" w:color="CCEEFF"/>
            </w:tcBorders>
            <w:shd w:val="clear" w:color="auto" w:fill="CCEEFF"/>
          </w:tcPr>
          <w:p>
            <w:pPr>
              <w:spacing w:after="0"/>
              <w:rPr>
                <w:sz w:val="10"/>
                <w:szCs w:val="10"/>
                <w:color w:val="auto"/>
              </w:rPr>
            </w:pPr>
          </w:p>
        </w:tc>
        <w:tc>
          <w:tcPr>
            <w:tcW w:w="35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Affinion Group Holdings,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Consumer Goods: Non-Durable</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Subordinated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Airvana Network Solutions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Telecommunications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 Alpha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Chelmsford, MA 01824</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Aspen Dental Management,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Telecommunications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281 Sanders Creek Parkway</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East Syracuse, NY 13057</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91"/>
              </w:rPr>
              <w:t>Automotive</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86"/>
              </w:rPr>
              <w:t>Second Lien Secured Debt</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Blue Coat Systems, Inc.</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High Tech Industries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420 North Mary Ave</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Sunnyvale, CA 94085</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 Overhead Doors,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6"/>
              </w:rPr>
              <w:t>Consumer Goods: Durable</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1485 Sunrise Drive</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Arthur, IL 61911</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DCS Business Services, Inc.</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Business Services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Livermore, CA 94551</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Business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85"/>
              </w:rPr>
              <w:t>Subordinated Debt</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DS Waters Of America, Inc.</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Beverage, Food and Tobacco</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Business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20" w:type="dxa"/>
            <w:vAlign w:val="bottom"/>
          </w:tcPr>
          <w:p>
            <w:pPr>
              <w:spacing w:after="0"/>
              <w:rPr>
                <w:sz w:val="15"/>
                <w:szCs w:val="15"/>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Nature of Business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Type of Investment</w:t>
            </w:r>
          </w:p>
        </w:tc>
        <w:tc>
          <w:tcPr>
            <w:tcW w:w="8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 xml:space="preserve">Ownership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52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Fundtech (US FT HOLDCO,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Business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 Montgomery St., Suite 501</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Jersey City, NJ 07302</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Global Tel*Link Corporation</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Telecommunications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12021 Sunset Hills Road, Suite 100</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Reston, VA 20190</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Gundle/SLT Environmental,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Environmental Industries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Harmony Foods Corporation</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Beverage, Food and Tobacco</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2200 Delaware Avenue</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Santa Cruz, CA 95060</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9"/>
              </w:rPr>
              <w:t>Retail</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1000 South Oyster Bay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Hicksville, NY 11801</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IDQ Holdings,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Automotive</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2901 West Kingsley Road</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Garland, TX 75041</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Insight Global,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Business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4170 Ashford Dunwoody Road Suite 580</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Atlanta, GA 30319</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Media: Advertising, Printing and Publishing</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7951 Powers Boulevard</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Chanhassen, MN 55317</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Soho Centre,</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260 Queen St.</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W. Toronto, Canada</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KIK Custom Products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Consumer Goods: Non-Durable</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101 Macintosh Boulevard</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Concord, ON L4K 4L5</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Canada</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Lonestar Intermediate Super Holdings, LLC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5"/>
              </w:rPr>
              <w:t>Consumer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Subordinated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648 Grassmere Park, Suite 300</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Nasville, TN 37211</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Medpace Intermediateco, Inc.</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Business Services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4620 Wesley Avenue</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Cincinnati, OH 45212</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Mood Media Corporation</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86"/>
              </w:rPr>
              <w:t>Second Lien Secured Debt</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Toronto, ON M2P 2C2</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Canada</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MOSAID Technologies Incorporated</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High Tech Industries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 Hines Road, Suite 203</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Ottawa, Ontario, Canada</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K2K 2X1</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Wound Care (National Healing Corporation)</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4850 T-Rex Avenue, Suite 300</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Boca Raton, FL 33431</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00" w:type="dxa"/>
            <w:vAlign w:val="bottom"/>
          </w:tcPr>
          <w:p>
            <w:pPr>
              <w:spacing w:after="0"/>
              <w:rPr>
                <w:sz w:val="15"/>
                <w:szCs w:val="15"/>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Nature of Business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Type of Investment</w:t>
            </w:r>
          </w:p>
        </w:tc>
        <w:tc>
          <w:tcPr>
            <w:tcW w:w="8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 xml:space="preserve">Ownership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348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1800" w:type="dxa"/>
            <w:vAlign w:val="bottom"/>
            <w:shd w:val="clear" w:color="auto" w:fill="CCEEFF"/>
          </w:tcPr>
          <w:p>
            <w:pPr>
              <w:spacing w:after="0"/>
              <w:rPr>
                <w:sz w:val="10"/>
                <w:szCs w:val="10"/>
                <w:color w:val="auto"/>
              </w:rPr>
            </w:pPr>
          </w:p>
        </w:tc>
        <w:tc>
          <w:tcPr>
            <w:tcW w:w="3900" w:type="dxa"/>
            <w:vAlign w:val="bottom"/>
            <w:gridSpan w:val="2"/>
            <w:shd w:val="clear" w:color="auto" w:fill="CCEEFF"/>
          </w:tcPr>
          <w:p>
            <w:pPr>
              <w:jc w:val="center"/>
              <w:ind w:right="420"/>
              <w:spacing w:after="0" w:line="122" w:lineRule="exact"/>
              <w:rPr>
                <w:sz w:val="20"/>
                <w:szCs w:val="20"/>
                <w:color w:val="auto"/>
              </w:rPr>
            </w:pPr>
            <w:r>
              <w:rPr>
                <w:rFonts w:ascii="Arial" w:cs="Arial" w:eastAsia="Arial" w:hAnsi="Arial"/>
                <w:sz w:val="14"/>
                <w:szCs w:val="14"/>
                <w:color w:val="auto"/>
                <w:w w:val="89"/>
              </w:rPr>
              <w:t>Media: Diversified and Production</w:t>
            </w:r>
          </w:p>
        </w:tc>
        <w:tc>
          <w:tcPr>
            <w:tcW w:w="2360" w:type="dxa"/>
            <w:vAlign w:val="bottom"/>
            <w:gridSpan w:val="2"/>
            <w:shd w:val="clear" w:color="auto" w:fill="CCEEFF"/>
          </w:tcPr>
          <w:p>
            <w:pPr>
              <w:jc w:val="center"/>
              <w:ind w:right="420"/>
              <w:spacing w:after="0" w:line="122"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180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Potter’s Holdings II, L.P.</w:t>
            </w:r>
          </w:p>
        </w:tc>
        <w:tc>
          <w:tcPr>
            <w:tcW w:w="1800" w:type="dxa"/>
            <w:vAlign w:val="bottom"/>
          </w:tcPr>
          <w:p>
            <w:pPr>
              <w:spacing w:after="0"/>
              <w:rPr>
                <w:sz w:val="17"/>
                <w:szCs w:val="17"/>
                <w:color w:val="auto"/>
              </w:rPr>
            </w:pPr>
          </w:p>
        </w:tc>
        <w:tc>
          <w:tcPr>
            <w:tcW w:w="390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Containers, Packaging and Glass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300 Lindenwood Drive</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Valleybrooke Corporate Center</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Malvern, PA 19355-1740</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 Mach, Inc.</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Capital Equipment</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6279 Tri-Ridge Boulevard Suite 410</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Loveland, OH 45140</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Renaissance Learning,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Media: Broadcasting and Subscription</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2911 Peach Street, PO Box 8036</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Wisconsin Rapids, WI</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54495-8036</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ROC Finance LLC and ROC Finance 1 Corp.</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Hotels, Gaming and Leisure</w:t>
            </w:r>
          </w:p>
        </w:tc>
        <w:tc>
          <w:tcPr>
            <w:tcW w:w="23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6"/>
              </w:rPr>
              <w:t>Second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Maritus, 1086</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Woodward Avenue, Detroit, MI 48226</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Rocket Software,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High Tech Industries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Securus Technologies, Inc.</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Telecommunications</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14651 Dallas Parkway, Suite 600</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Dallas, TX 75254</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Sensus USA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Utilities: Water</w:t>
            </w:r>
          </w:p>
        </w:tc>
        <w:tc>
          <w:tcPr>
            <w:tcW w:w="236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Second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8609 Six Forks Road</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Raleigh, NC 27615</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Seven Seas Cruises</w:t>
            </w:r>
          </w:p>
        </w:tc>
        <w:tc>
          <w:tcPr>
            <w:tcW w:w="1800" w:type="dxa"/>
            <w:vAlign w:val="bottom"/>
            <w:shd w:val="clear" w:color="auto" w:fill="CCEEFF"/>
          </w:tcPr>
          <w:p>
            <w:pPr>
              <w:spacing w:after="0"/>
              <w:rPr>
                <w:sz w:val="10"/>
                <w:szCs w:val="10"/>
                <w:color w:val="auto"/>
              </w:rPr>
            </w:pPr>
          </w:p>
        </w:tc>
        <w:tc>
          <w:tcPr>
            <w:tcW w:w="3900" w:type="dxa"/>
            <w:vAlign w:val="bottom"/>
            <w:gridSpan w:val="2"/>
            <w:shd w:val="clear" w:color="auto" w:fill="CCEEFF"/>
          </w:tcPr>
          <w:p>
            <w:pPr>
              <w:jc w:val="center"/>
              <w:ind w:right="420"/>
              <w:spacing w:after="0" w:line="122" w:lineRule="exact"/>
              <w:rPr>
                <w:sz w:val="20"/>
                <w:szCs w:val="20"/>
                <w:color w:val="auto"/>
              </w:rPr>
            </w:pPr>
            <w:r>
              <w:rPr>
                <w:rFonts w:ascii="Arial" w:cs="Arial" w:eastAsia="Arial" w:hAnsi="Arial"/>
                <w:sz w:val="14"/>
                <w:szCs w:val="14"/>
                <w:color w:val="auto"/>
                <w:w w:val="88"/>
              </w:rPr>
              <w:t>Hotel, Gaming and Leisure</w:t>
            </w:r>
          </w:p>
        </w:tc>
        <w:tc>
          <w:tcPr>
            <w:tcW w:w="2360" w:type="dxa"/>
            <w:vAlign w:val="bottom"/>
            <w:gridSpan w:val="2"/>
            <w:shd w:val="clear" w:color="auto" w:fill="CCEEFF"/>
          </w:tcPr>
          <w:p>
            <w:pPr>
              <w:jc w:val="center"/>
              <w:ind w:right="400"/>
              <w:spacing w:after="0" w:line="122" w:lineRule="exact"/>
              <w:rPr>
                <w:sz w:val="20"/>
                <w:szCs w:val="20"/>
                <w:color w:val="auto"/>
              </w:rPr>
            </w:pPr>
            <w:r>
              <w:rPr>
                <w:rFonts w:ascii="Arial" w:cs="Arial" w:eastAsia="Arial" w:hAnsi="Arial"/>
                <w:sz w:val="14"/>
                <w:szCs w:val="14"/>
                <w:color w:val="auto"/>
                <w:w w:val="86"/>
              </w:rPr>
              <w:t>Second Lien Secured Debt</w:t>
            </w:r>
          </w:p>
        </w:tc>
        <w:tc>
          <w:tcPr>
            <w:tcW w:w="820" w:type="dxa"/>
            <w:vAlign w:val="bottom"/>
            <w:shd w:val="clear" w:color="auto" w:fill="CCEEFF"/>
          </w:tcPr>
          <w:p>
            <w:pPr>
              <w:jc w:val="right"/>
              <w:ind w:right="313"/>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R.L., 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180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Miami, FL 33122</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Sotera Defense Solutions,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Aerospace and Defense</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McLean, VA 22102</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4365 Steiner Stret</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St. Bonifacius, MN 55375</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Tekelec Global,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Telecommunications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5200 Paramount Parkway</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Common Equity</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Morrisville, NC 27560</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Terex Corporation</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Capital Equipment</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 Nyala Farm Road</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Westport, CT 06880</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Triple Point Technology,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High Tech Industries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301 Riverside Avenue</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Westport, CT 06880</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4"/>
              </w:rPr>
              <w:t>Beverage, Food and Tobacco</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Subordinated Debt</w:t>
            </w:r>
          </w:p>
        </w:tc>
        <w:tc>
          <w:tcPr>
            <w:tcW w:w="82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88"/>
              </w:rPr>
              <w:t>Preferred Equity</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Charlotte, NC 28217</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Unifrax I LLC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Capital Equipment</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2351 Whirlpool Street,</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Niagara Falls, NY 14305-2413</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00" w:type="dxa"/>
            <w:vAlign w:val="bottom"/>
          </w:tcPr>
          <w:p>
            <w:pPr>
              <w:spacing w:after="0"/>
              <w:rPr>
                <w:sz w:val="15"/>
                <w:szCs w:val="15"/>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Nature of Business</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Type of Investment</w:t>
            </w:r>
          </w:p>
        </w:tc>
        <w:tc>
          <w:tcPr>
            <w:tcW w:w="8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 xml:space="preserve">Ownership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36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Univita Health, Inc.</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Consumer Services</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Scottsdale, AZ 85253</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w w:val="98"/>
              </w:rPr>
              <w:t>U.S. HealthWorks Holding Company, Inc.</w:t>
            </w:r>
          </w:p>
        </w:tc>
        <w:tc>
          <w:tcPr>
            <w:tcW w:w="1700" w:type="dxa"/>
            <w:vAlign w:val="bottom"/>
          </w:tcPr>
          <w:p>
            <w:pPr>
              <w:spacing w:after="0"/>
              <w:rPr>
                <w:sz w:val="17"/>
                <w:szCs w:val="17"/>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color w:val="auto"/>
                <w:w w:val="84"/>
              </w:rPr>
              <w:t>Healthcare and Pharmaceuticals</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25124 Springfield Ct., Suite 200,</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Valencia, CA 91355</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12647 Olive Boulevard</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St. Louis, MO 63141</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Vantage Specialties, Inc.</w:t>
            </w:r>
          </w:p>
        </w:tc>
        <w:tc>
          <w:tcPr>
            <w:tcW w:w="1700" w:type="dxa"/>
            <w:vAlign w:val="bottom"/>
          </w:tcPr>
          <w:p>
            <w:pPr>
              <w:spacing w:after="0"/>
              <w:rPr>
                <w:sz w:val="17"/>
                <w:szCs w:val="17"/>
                <w:color w:val="auto"/>
              </w:rPr>
            </w:pPr>
          </w:p>
        </w:tc>
        <w:tc>
          <w:tcPr>
            <w:tcW w:w="400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Chemicals, Plastic and Rubber</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3938 Porett Drive</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Gurnee, IL 60031</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Lexington, KY 40503</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Virtual Radiologic Corporation</w:t>
            </w:r>
          </w:p>
        </w:tc>
        <w:tc>
          <w:tcPr>
            <w:tcW w:w="1700" w:type="dxa"/>
            <w:vAlign w:val="bottom"/>
          </w:tcPr>
          <w:p>
            <w:pPr>
              <w:spacing w:after="0"/>
              <w:rPr>
                <w:sz w:val="17"/>
                <w:szCs w:val="17"/>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color w:val="auto"/>
                <w:w w:val="83"/>
              </w:rPr>
              <w:t>Business Services</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W3 CO.</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Energy: Oil and Gas</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11111 Wilcrest Green Drive, Suite 300</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77042</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Water Pik, Inc.</w:t>
            </w:r>
          </w:p>
        </w:tc>
        <w:tc>
          <w:tcPr>
            <w:tcW w:w="1700" w:type="dxa"/>
            <w:vAlign w:val="bottom"/>
          </w:tcPr>
          <w:p>
            <w:pPr>
              <w:spacing w:after="0"/>
              <w:rPr>
                <w:sz w:val="17"/>
                <w:szCs w:val="17"/>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Consumer Goods: Durable</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1730 East Prospect Road</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Fort Collins, CO 80553</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WCA Waste Corporation</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Environmental Industries</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1330 Post Oak Blvd, 30th Floor</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Yonkers Racing Corporation</w:t>
            </w:r>
          </w:p>
        </w:tc>
        <w:tc>
          <w:tcPr>
            <w:tcW w:w="1700" w:type="dxa"/>
            <w:vAlign w:val="bottom"/>
          </w:tcPr>
          <w:p>
            <w:pPr>
              <w:spacing w:after="0"/>
              <w:rPr>
                <w:sz w:val="17"/>
                <w:szCs w:val="17"/>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Hotels, Gaming and Leisure</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810 Yonkers Avenue</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Yonkers, NY 10704</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60" w:type="dxa"/>
            <w:vAlign w:val="bottom"/>
          </w:tcPr>
          <w:p>
            <w:pPr>
              <w:spacing w:after="0"/>
              <w:rPr>
                <w:sz w:val="14"/>
                <w:szCs w:val="14"/>
                <w:color w:val="auto"/>
              </w:rPr>
            </w:pPr>
          </w:p>
        </w:tc>
        <w:tc>
          <w:tcPr>
            <w:tcW w:w="226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8"/>
              </w:rPr>
              <w:t>March 31, 2012</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September 30,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2980" w:type="dxa"/>
            <w:vAlign w:val="bottom"/>
            <w:vMerge w:val="restart"/>
            <w:shd w:val="clear" w:color="auto" w:fill="CCEEFF"/>
          </w:tcPr>
          <w:p>
            <w:pPr>
              <w:spacing w:after="0" w:line="20" w:lineRule="exact"/>
              <w:rPr>
                <w:sz w:val="1"/>
                <w:szCs w:val="1"/>
                <w:color w:val="auto"/>
              </w:rPr>
            </w:pPr>
          </w:p>
        </w:tc>
        <w:tc>
          <w:tcPr>
            <w:tcW w:w="34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3460" w:type="dxa"/>
            <w:vAlign w:val="bottom"/>
            <w:vMerge w:val="continue"/>
            <w:shd w:val="clear" w:color="auto" w:fill="CCEEFF"/>
          </w:tcPr>
          <w:p>
            <w:pPr>
              <w:spacing w:after="0"/>
              <w:rPr>
                <w:sz w:val="17"/>
                <w:szCs w:val="17"/>
                <w:color w:val="auto"/>
              </w:rPr>
            </w:pPr>
          </w:p>
        </w:tc>
        <w:tc>
          <w:tcPr>
            <w:tcW w:w="2260" w:type="dxa"/>
            <w:vAlign w:val="bottom"/>
            <w:gridSpan w:val="2"/>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3460" w:type="dxa"/>
            <w:vAlign w:val="bottom"/>
          </w:tcPr>
          <w:p>
            <w:pPr>
              <w:spacing w:after="0"/>
              <w:rPr>
                <w:sz w:val="18"/>
                <w:szCs w:val="18"/>
                <w:color w:val="auto"/>
              </w:rPr>
            </w:pPr>
          </w:p>
        </w:tc>
        <w:tc>
          <w:tcPr>
            <w:tcW w:w="22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60" w:type="dxa"/>
            <w:vAlign w:val="bottom"/>
            <w:vMerge w:val="restart"/>
          </w:tcPr>
          <w:p>
            <w:pPr>
              <w:jc w:val="right"/>
              <w:ind w:right="1952"/>
              <w:spacing w:after="0"/>
              <w:rPr>
                <w:sz w:val="20"/>
                <w:szCs w:val="20"/>
                <w:color w:val="auto"/>
              </w:rPr>
            </w:pPr>
            <w:r>
              <w:rPr>
                <w:rFonts w:ascii="Arial" w:cs="Arial" w:eastAsia="Arial" w:hAnsi="Arial"/>
                <w:sz w:val="18"/>
                <w:szCs w:val="18"/>
                <w:color w:val="auto"/>
              </w:rPr>
              <w:t>75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Director</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Age</w:t>
            </w:r>
          </w:p>
        </w:tc>
        <w:tc>
          <w:tcPr>
            <w:tcW w:w="452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Since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of Term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 of the Board and Chief Executive Officer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4"/>
                <w:szCs w:val="14"/>
                <w:color w:val="auto"/>
              </w:rPr>
            </w:pPr>
          </w:p>
        </w:tc>
        <w:tc>
          <w:tcPr>
            <w:tcW w:w="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Age</w:t>
            </w: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Aviv Efrat</w:t>
            </w:r>
          </w:p>
        </w:tc>
        <w:tc>
          <w:tcPr>
            <w:tcW w:w="4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48</w:t>
            </w: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Name Address</w:t>
            </w:r>
          </w:p>
        </w:tc>
        <w:tc>
          <w:tcPr>
            <w:tcW w:w="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Age</w:t>
            </w: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56</w:t>
            </w: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Compliance Officer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board of directors results in greater efficiencies in managing us by eliminating the need to transfer substantial information quickly and repeatedly between the Chief Executive Officer and the Chairman and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on a periodic basis, generally quarterly.</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we are already subject ro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Executive Officer, the Independent Directors have similarly established direct communication and oversight channels that the board of directors believes foster open communication and early detection of issues of concern.</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to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section 2(a)(19) of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Adam K. Bernstein (48),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Marshall Brozost (44), Director. Mr. Brozost became a Director of PennantPark Floating Rate Capital Ltd. and PennantPark Investment Corporation in October 2010 and February 2007, respectively. Mr. Brozost is a Partner at Schulte Roth &amp; Zabel, LLP, where he practices in the real estate and private equity groups. Prior to Schulte Roth &amp; Zabel, which began in 2012,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Jeffrey Flug (49), Director. Mr. Flug became a Director of PennantPark Floating Rate Capital Ltd. and PennantPark Investment Corporation in October 2010 and February 2007,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Samuel L. Katz (46), Director. Mr. Katz became a Director of PennantPark Floating Rate Capital Ltd. and PennantPark Investment Corporation in October 2010 and February 2007,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Arthur H. Penn (48), Founder, Chief Executive Officer and Chairman of the board of directors. Mr. Penn became the Chief Executive Officer and a Director of PennantPark Floating Rate Capital Ltd. and PennantPark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Aviv Efrat (48),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Guy F. Talarico (56), Chief Compliance Officer. Mr. Talarico became the Chief Compliance Officer of PennantPark Floating Rate Capital Ltd. and PennantPark Investment Corporation in 2011 and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 the partial fiscal year ended September 30, 2011, we held four board of directors’ meetings and two Audit Committee meetings.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paid by the Company, to our directors for the partial fiscal year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No compensation is paid directly by the Company to any interested director or executive officer of the Company.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PennantPark Floating Rate Capital Ltd.</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6"/>
              </w:rPr>
              <w:t>Aggregate</w:t>
            </w: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940" w:type="dxa"/>
            <w:vAlign w:val="bottom"/>
          </w:tcPr>
          <w:p>
            <w:pPr>
              <w:spacing w:after="0"/>
              <w:rPr>
                <w:sz w:val="12"/>
                <w:szCs w:val="12"/>
                <w:color w:val="auto"/>
              </w:rPr>
            </w:pPr>
          </w:p>
        </w:tc>
        <w:tc>
          <w:tcPr>
            <w:tcW w:w="220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5"/>
              </w:rPr>
              <w:t>Pension or retirement</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from the</w:t>
            </w:r>
          </w:p>
        </w:tc>
        <w:tc>
          <w:tcPr>
            <w:tcW w:w="940" w:type="dxa"/>
            <w:vAlign w:val="bottom"/>
          </w:tcPr>
          <w:p>
            <w:pPr>
              <w:spacing w:after="0"/>
              <w:rPr>
                <w:sz w:val="11"/>
                <w:szCs w:val="11"/>
                <w:color w:val="auto"/>
              </w:rPr>
            </w:pPr>
          </w:p>
        </w:tc>
        <w:tc>
          <w:tcPr>
            <w:tcW w:w="2200" w:type="dxa"/>
            <w:vAlign w:val="bottom"/>
            <w:gridSpan w:val="2"/>
          </w:tcPr>
          <w:p>
            <w:pPr>
              <w:jc w:val="right"/>
              <w:ind w:right="1060"/>
              <w:spacing w:after="0" w:line="135" w:lineRule="exact"/>
              <w:rPr>
                <w:sz w:val="20"/>
                <w:szCs w:val="20"/>
                <w:color w:val="auto"/>
              </w:rPr>
            </w:pPr>
            <w:r>
              <w:rPr>
                <w:rFonts w:ascii="Arial" w:cs="Arial" w:eastAsia="Arial" w:hAnsi="Arial"/>
                <w:sz w:val="14"/>
                <w:szCs w:val="14"/>
                <w:b w:val="1"/>
                <w:bCs w:val="1"/>
                <w:color w:val="auto"/>
                <w:w w:val="94"/>
              </w:rPr>
              <w:t>benefitaccrued as</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7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Company</w:t>
            </w:r>
          </w:p>
        </w:tc>
        <w:tc>
          <w:tcPr>
            <w:tcW w:w="940" w:type="dxa"/>
            <w:vAlign w:val="bottom"/>
          </w:tcPr>
          <w:p>
            <w:pPr>
              <w:spacing w:after="0"/>
              <w:rPr>
                <w:sz w:val="15"/>
                <w:szCs w:val="15"/>
                <w:color w:val="auto"/>
              </w:rPr>
            </w:pPr>
          </w:p>
        </w:tc>
        <w:tc>
          <w:tcPr>
            <w:tcW w:w="2200" w:type="dxa"/>
            <w:vAlign w:val="bottom"/>
            <w:gridSpan w:val="2"/>
          </w:tcPr>
          <w:p>
            <w:pPr>
              <w:jc w:val="right"/>
              <w:ind w:right="940"/>
              <w:spacing w:after="0" w:line="162" w:lineRule="exact"/>
              <w:rPr>
                <w:sz w:val="20"/>
                <w:szCs w:val="20"/>
                <w:color w:val="auto"/>
              </w:rPr>
            </w:pPr>
            <w:r>
              <w:rPr>
                <w:rFonts w:ascii="Arial" w:cs="Arial" w:eastAsia="Arial" w:hAnsi="Arial"/>
                <w:sz w:val="12"/>
                <w:szCs w:val="12"/>
                <w:b w:val="1"/>
                <w:bCs w:val="1"/>
                <w:color w:val="auto"/>
                <w:w w:val="98"/>
              </w:rPr>
              <w:t>part of our expense</w:t>
            </w:r>
            <w:r>
              <w:rPr>
                <w:rFonts w:ascii="Arial" w:cs="Arial" w:eastAsia="Arial" w:hAnsi="Arial"/>
                <w:sz w:val="18"/>
                <w:szCs w:val="18"/>
                <w:b w:val="1"/>
                <w:bCs w:val="1"/>
                <w:color w:val="auto"/>
                <w:w w:val="98"/>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2440" w:type="dxa"/>
            <w:vAlign w:val="bottom"/>
            <w:gridSpan w:val="2"/>
          </w:tcPr>
          <w:p>
            <w:pPr>
              <w:ind w:left="23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30,625</w:t>
            </w:r>
          </w:p>
        </w:tc>
        <w:tc>
          <w:tcPr>
            <w:tcW w:w="940" w:type="dxa"/>
            <w:vAlign w:val="bottom"/>
          </w:tcPr>
          <w:p>
            <w:pPr>
              <w:spacing w:after="0"/>
              <w:rPr>
                <w:sz w:val="18"/>
                <w:szCs w:val="18"/>
                <w:color w:val="auto"/>
              </w:rPr>
            </w:pPr>
          </w:p>
        </w:tc>
        <w:tc>
          <w:tcPr>
            <w:tcW w:w="2200" w:type="dxa"/>
            <w:vAlign w:val="bottom"/>
            <w:gridSpan w:val="2"/>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30,625</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24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9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2440" w:type="dxa"/>
            <w:vAlign w:val="bottom"/>
            <w:gridSpan w:val="2"/>
          </w:tcPr>
          <w:p>
            <w:pPr>
              <w:ind w:left="23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31,875</w:t>
            </w:r>
          </w:p>
        </w:tc>
        <w:tc>
          <w:tcPr>
            <w:tcW w:w="940" w:type="dxa"/>
            <w:vAlign w:val="bottom"/>
          </w:tcPr>
          <w:p>
            <w:pPr>
              <w:spacing w:after="0"/>
              <w:rPr>
                <w:sz w:val="18"/>
                <w:szCs w:val="18"/>
                <w:color w:val="auto"/>
              </w:rPr>
            </w:pPr>
          </w:p>
        </w:tc>
        <w:tc>
          <w:tcPr>
            <w:tcW w:w="2200" w:type="dxa"/>
            <w:vAlign w:val="bottom"/>
            <w:gridSpan w:val="2"/>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31,875</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24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9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March 31, 2012 our portfolio managers also managed investments on behalf of the following entity: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4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Entity</w:t>
            </w:r>
          </w:p>
        </w:tc>
        <w:tc>
          <w:tcPr>
            <w:tcW w:w="376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Investment Focus</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w w:val="81"/>
              </w:rPr>
              <w:t>Gross Assets</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800" w:type="dxa"/>
            <w:vAlign w:val="bottom"/>
          </w:tcPr>
          <w:p>
            <w:pPr>
              <w:spacing w:after="0" w:line="148"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in millions)</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PennantPark Investment Corporation</w:t>
            </w:r>
            <w:r>
              <w:rPr>
                <w:rFonts w:ascii="Arial" w:cs="Arial" w:eastAsia="Arial" w:hAnsi="Arial"/>
                <w:sz w:val="11"/>
                <w:szCs w:val="11"/>
                <w:color w:val="auto"/>
              </w:rPr>
              <w:t>(1)</w:t>
            </w:r>
          </w:p>
        </w:tc>
        <w:tc>
          <w:tcPr>
            <w:tcW w:w="800" w:type="dxa"/>
            <w:vAlign w:val="bottom"/>
            <w:shd w:val="clear" w:color="auto" w:fill="CCEEFF"/>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2"/>
            <w:vMerge w:val="continue"/>
            <w:shd w:val="clear" w:color="auto" w:fill="CCEEFF"/>
          </w:tcPr>
          <w:p>
            <w:pPr>
              <w:spacing w:after="0"/>
              <w:rPr>
                <w:sz w:val="17"/>
                <w:szCs w:val="17"/>
                <w:color w:val="auto"/>
              </w:rPr>
            </w:pPr>
          </w:p>
        </w:tc>
        <w:tc>
          <w:tcPr>
            <w:tcW w:w="334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Business development</w:t>
            </w:r>
          </w:p>
        </w:tc>
        <w:tc>
          <w:tcPr>
            <w:tcW w:w="3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Primarily in U.S. middle-market companies in</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340" w:type="dxa"/>
            <w:vAlign w:val="bottom"/>
            <w:gridSpan w:val="3"/>
            <w:vMerge w:val="continue"/>
            <w:shd w:val="clear" w:color="auto" w:fill="CCEEFF"/>
          </w:tcPr>
          <w:p>
            <w:pPr>
              <w:spacing w:after="0"/>
              <w:rPr>
                <w:sz w:val="17"/>
                <w:szCs w:val="17"/>
                <w:color w:val="auto"/>
              </w:rPr>
            </w:pPr>
          </w:p>
        </w:tc>
        <w:tc>
          <w:tcPr>
            <w:tcW w:w="376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company</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form of senior</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loans, mezzanine debt and equity</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20" w:hanging="452"/>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management and incentive fees for PennantPark Investment Corporation are based on the gross assets and performance of PennantPark Investment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following table sets forth, as of July 24, 2012,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740" w:type="dxa"/>
            <w:vAlign w:val="bottom"/>
            <w:vMerge w:val="restart"/>
          </w:tcPr>
          <w:p>
            <w:pPr>
              <w:spacing w:after="0"/>
              <w:rPr>
                <w:sz w:val="12"/>
                <w:szCs w:val="12"/>
                <w:color w:val="auto"/>
              </w:rPr>
            </w:pPr>
          </w:p>
        </w:tc>
        <w:tc>
          <w:tcPr>
            <w:tcW w:w="2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74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2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81"/>
        </w:trPr>
        <w:tc>
          <w:tcPr>
            <w:tcW w:w="70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Morgan Stanley and Co. Inc.</w:t>
            </w:r>
          </w:p>
        </w:tc>
        <w:tc>
          <w:tcPr>
            <w:tcW w:w="1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1585 Broadway</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10036-8293</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447,729</w:t>
            </w:r>
          </w:p>
        </w:tc>
        <w:tc>
          <w:tcPr>
            <w:tcW w:w="6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8"/>
        </w:trPr>
        <w:tc>
          <w:tcPr>
            <w:tcW w:w="7000" w:type="dxa"/>
            <w:vAlign w:val="bottom"/>
            <w:gridSpan w:val="2"/>
          </w:tcPr>
          <w:p>
            <w:pPr>
              <w:spacing w:after="0"/>
              <w:rPr>
                <w:sz w:val="20"/>
                <w:szCs w:val="20"/>
                <w:color w:val="auto"/>
              </w:rPr>
            </w:pPr>
            <w:r>
              <w:rPr>
                <w:rFonts w:ascii="Arial" w:cs="Arial" w:eastAsia="Arial" w:hAnsi="Arial"/>
                <w:sz w:val="18"/>
                <w:szCs w:val="18"/>
                <w:color w:val="auto"/>
              </w:rPr>
              <w:t>Sherleigh Associates</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00" w:type="dxa"/>
            <w:vAlign w:val="bottom"/>
            <w:gridSpan w:val="2"/>
          </w:tcPr>
          <w:p>
            <w:pPr>
              <w:spacing w:after="0"/>
              <w:rPr>
                <w:sz w:val="20"/>
                <w:szCs w:val="20"/>
                <w:color w:val="auto"/>
              </w:rPr>
            </w:pPr>
            <w:r>
              <w:rPr>
                <w:rFonts w:ascii="Arial" w:cs="Arial" w:eastAsia="Arial" w:hAnsi="Arial"/>
                <w:sz w:val="18"/>
                <w:szCs w:val="18"/>
                <w:color w:val="auto"/>
              </w:rPr>
              <w:t>Profit Sharing Plan</w:t>
            </w: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354,893</w:t>
            </w:r>
          </w:p>
        </w:tc>
        <w:tc>
          <w:tcPr>
            <w:tcW w:w="6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8"/>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6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(3),(4)</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40,917</w:t>
            </w:r>
          </w:p>
        </w:tc>
        <w:tc>
          <w:tcPr>
            <w:tcW w:w="6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667 shares held by PennantPark Investment Advisers, LLC.</w:t>
      </w:r>
    </w:p>
    <w:p>
      <w:pPr>
        <w:ind w:left="460" w:right="20" w:hanging="452"/>
        <w:spacing w:after="0" w:line="28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w:t>
      </w:r>
    </w:p>
    <w:p>
      <w:pPr>
        <w:spacing w:after="0" w:line="1" w:lineRule="exact"/>
        <w:rPr>
          <w:sz w:val="20"/>
          <w:szCs w:val="20"/>
          <w:color w:val="auto"/>
        </w:rPr>
      </w:pPr>
    </w:p>
    <w:p>
      <w:pPr>
        <w:ind w:left="460" w:right="100"/>
        <w:spacing w:after="0" w:line="250" w:lineRule="auto"/>
        <w:rPr>
          <w:sz w:val="20"/>
          <w:szCs w:val="20"/>
          <w:color w:val="auto"/>
        </w:rPr>
      </w:pPr>
      <w:r>
        <w:rPr>
          <w:rFonts w:ascii="Arial" w:cs="Arial" w:eastAsia="Arial" w:hAnsi="Arial"/>
          <w:sz w:val="18"/>
          <w:szCs w:val="18"/>
          <w:color w:val="auto"/>
        </w:rPr>
        <w:t>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July 24, 2012.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1840" w:type="dxa"/>
            <w:vAlign w:val="bottom"/>
          </w:tcPr>
          <w:p>
            <w:pPr>
              <w:spacing w:after="0"/>
              <w:rPr>
                <w:sz w:val="22"/>
                <w:szCs w:val="22"/>
                <w:color w:val="auto"/>
              </w:rPr>
            </w:pPr>
          </w:p>
        </w:tc>
        <w:tc>
          <w:tcPr>
            <w:tcW w:w="3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Dollar Range of the Common Stock of each Company</w:t>
            </w:r>
            <w:r>
              <w:rPr>
                <w:rFonts w:ascii="Arial" w:cs="Arial" w:eastAsia="Arial" w:hAnsi="Arial"/>
                <w:sz w:val="22"/>
                <w:szCs w:val="22"/>
                <w:b w:val="1"/>
                <w:bCs w:val="1"/>
                <w:color w:val="auto"/>
                <w:w w:val="86"/>
                <w:vertAlign w:val="superscript"/>
              </w:rPr>
              <w:t>(1)</w:t>
            </w: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840" w:type="dxa"/>
            <w:vAlign w:val="bottom"/>
            <w:tcBorders>
              <w:top w:val="single" w:sz="8" w:color="auto"/>
            </w:tcBorders>
          </w:tcPr>
          <w:p>
            <w:pPr>
              <w:jc w:val="center"/>
              <w:ind w:left="276"/>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700" w:type="dxa"/>
            <w:vAlign w:val="bottom"/>
            <w:tcBorders>
              <w:top w:val="single" w:sz="8" w:color="auto"/>
            </w:tcBorders>
            <w:gridSpan w:val="4"/>
          </w:tcPr>
          <w:p>
            <w:pPr>
              <w:jc w:val="center"/>
              <w:ind w:right="50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9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40" w:type="dxa"/>
            <w:vAlign w:val="bottom"/>
          </w:tcPr>
          <w:p>
            <w:pPr>
              <w:jc w:val="center"/>
              <w:ind w:left="256"/>
              <w:spacing w:after="0"/>
              <w:rPr>
                <w:sz w:val="20"/>
                <w:szCs w:val="20"/>
                <w:color w:val="auto"/>
              </w:rPr>
            </w:pPr>
            <w:r>
              <w:rPr>
                <w:rFonts w:ascii="Arial" w:cs="Arial" w:eastAsia="Arial" w:hAnsi="Arial"/>
                <w:sz w:val="14"/>
                <w:szCs w:val="14"/>
                <w:b w:val="1"/>
                <w:bCs w:val="1"/>
                <w:color w:val="auto"/>
                <w:w w:val="92"/>
              </w:rPr>
              <w:t>Rate Capital Ltd.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Corporation</w:t>
            </w:r>
          </w:p>
        </w:tc>
        <w:tc>
          <w:tcPr>
            <w:tcW w:w="960" w:type="dxa"/>
            <w:vAlign w:val="bottom"/>
          </w:tcPr>
          <w:p>
            <w:pPr>
              <w:ind w:left="64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Pr>
          <w:p>
            <w:pPr>
              <w:spacing w:after="0"/>
              <w:rPr>
                <w:sz w:val="15"/>
                <w:szCs w:val="15"/>
                <w:color w:val="auto"/>
              </w:rPr>
            </w:pPr>
          </w:p>
        </w:tc>
      </w:tr>
      <w:tr>
        <w:trPr>
          <w:trHeight w:val="197"/>
        </w:trPr>
        <w:tc>
          <w:tcPr>
            <w:tcW w:w="44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4460" w:type="dxa"/>
            <w:vAlign w:val="bottom"/>
            <w:gridSpan w:val="3"/>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40" w:type="dxa"/>
            <w:vAlign w:val="bottom"/>
          </w:tcPr>
          <w:p>
            <w:pPr>
              <w:jc w:val="center"/>
              <w:ind w:left="256"/>
              <w:spacing w:after="0"/>
              <w:rPr>
                <w:sz w:val="20"/>
                <w:szCs w:val="20"/>
                <w:color w:val="auto"/>
              </w:rPr>
            </w:pPr>
            <w:r>
              <w:rPr>
                <w:rFonts w:ascii="Arial" w:cs="Arial" w:eastAsia="Arial" w:hAnsi="Arial"/>
                <w:sz w:val="18"/>
                <w:szCs w:val="18"/>
                <w:color w:val="auto"/>
                <w:w w:val="91"/>
              </w:rPr>
              <w:t>$ 50,001–$100,000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color w:val="auto"/>
              </w:rPr>
              <w:t>$500,001–$1,000,000</w:t>
            </w:r>
          </w:p>
        </w:tc>
        <w:tc>
          <w:tcPr>
            <w:tcW w:w="1860" w:type="dxa"/>
            <w:vAlign w:val="bottom"/>
            <w:gridSpan w:val="2"/>
          </w:tcPr>
          <w:p>
            <w:pPr>
              <w:jc w:val="right"/>
              <w:ind w:right="392"/>
              <w:spacing w:after="0"/>
              <w:rPr>
                <w:sz w:val="20"/>
                <w:szCs w:val="20"/>
                <w:color w:val="auto"/>
              </w:rPr>
            </w:pPr>
            <w:r>
              <w:rPr>
                <w:rFonts w:ascii="Arial" w:cs="Arial" w:eastAsia="Arial" w:hAnsi="Arial"/>
                <w:sz w:val="18"/>
                <w:szCs w:val="18"/>
                <w:color w:val="auto"/>
              </w:rPr>
              <w:t>Over $1,000,000</w:t>
            </w:r>
          </w:p>
        </w:tc>
      </w:tr>
      <w:tr>
        <w:trPr>
          <w:trHeight w:val="216"/>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None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$100,001–$</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500,000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$100,001–$</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500,000</w:t>
            </w:r>
          </w:p>
        </w:tc>
      </w:tr>
      <w:tr>
        <w:trPr>
          <w:trHeight w:val="216"/>
        </w:trPr>
        <w:tc>
          <w:tcPr>
            <w:tcW w:w="4460" w:type="dxa"/>
            <w:vAlign w:val="bottom"/>
            <w:gridSpan w:val="3"/>
          </w:tcPr>
          <w:p>
            <w:pPr>
              <w:ind w:left="440"/>
              <w:spacing w:after="0"/>
              <w:rPr>
                <w:sz w:val="20"/>
                <w:szCs w:val="20"/>
                <w:color w:val="auto"/>
              </w:rPr>
            </w:pPr>
            <w:r>
              <w:rPr>
                <w:rFonts w:ascii="Arial" w:cs="Arial" w:eastAsia="Arial" w:hAnsi="Arial"/>
                <w:sz w:val="18"/>
                <w:szCs w:val="18"/>
                <w:color w:val="auto"/>
              </w:rPr>
              <w:t>Jeffrey Flug</w:t>
            </w:r>
          </w:p>
        </w:tc>
        <w:tc>
          <w:tcPr>
            <w:tcW w:w="1840" w:type="dxa"/>
            <w:vAlign w:val="bottom"/>
          </w:tcPr>
          <w:p>
            <w:pPr>
              <w:jc w:val="center"/>
              <w:ind w:left="256"/>
              <w:spacing w:after="0"/>
              <w:rPr>
                <w:sz w:val="20"/>
                <w:szCs w:val="20"/>
                <w:color w:val="auto"/>
              </w:rPr>
            </w:pPr>
            <w:r>
              <w:rPr>
                <w:rFonts w:ascii="Arial" w:cs="Arial" w:eastAsia="Arial" w:hAnsi="Arial"/>
                <w:sz w:val="18"/>
                <w:szCs w:val="18"/>
                <w:color w:val="auto"/>
                <w:w w:val="88"/>
              </w:rPr>
              <w:t>None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4"/>
          </w:tcPr>
          <w:p>
            <w:pPr>
              <w:jc w:val="center"/>
              <w:ind w:right="520"/>
              <w:spacing w:after="0"/>
              <w:rPr>
                <w:sz w:val="20"/>
                <w:szCs w:val="20"/>
                <w:color w:val="auto"/>
              </w:rPr>
            </w:pPr>
            <w:r>
              <w:rPr>
                <w:rFonts w:ascii="Arial" w:cs="Arial" w:eastAsia="Arial" w:hAnsi="Arial"/>
                <w:sz w:val="18"/>
                <w:szCs w:val="18"/>
                <w:color w:val="auto"/>
                <w:w w:val="87"/>
              </w:rPr>
              <w:t>Over $1,000,000</w:t>
            </w:r>
          </w:p>
        </w:tc>
        <w:tc>
          <w:tcPr>
            <w:tcW w:w="1860" w:type="dxa"/>
            <w:vAlign w:val="bottom"/>
            <w:gridSpan w:val="2"/>
          </w:tcPr>
          <w:p>
            <w:pPr>
              <w:jc w:val="right"/>
              <w:ind w:right="392"/>
              <w:spacing w:after="0"/>
              <w:rPr>
                <w:sz w:val="20"/>
                <w:szCs w:val="20"/>
                <w:color w:val="auto"/>
              </w:rPr>
            </w:pPr>
            <w:r>
              <w:rPr>
                <w:rFonts w:ascii="Arial" w:cs="Arial" w:eastAsia="Arial" w:hAnsi="Arial"/>
                <w:sz w:val="18"/>
                <w:szCs w:val="18"/>
                <w:color w:val="auto"/>
              </w:rPr>
              <w:t>Over $1,000,000</w:t>
            </w:r>
          </w:p>
        </w:tc>
      </w:tr>
      <w:tr>
        <w:trPr>
          <w:trHeight w:val="216"/>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$100,001–$500,000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87"/>
              </w:rPr>
              <w:t>Over $1,000,000</w:t>
            </w:r>
          </w:p>
        </w:tc>
        <w:tc>
          <w:tcPr>
            <w:tcW w:w="18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Over $1,000,000</w:t>
            </w:r>
          </w:p>
        </w:tc>
      </w:tr>
      <w:tr>
        <w:trPr>
          <w:trHeight w:val="3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(3),(4)</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6"/>
              </w:rPr>
              <w:t>$1–$10,000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87"/>
              </w:rPr>
              <w:t>Over $1,000,000</w:t>
            </w:r>
          </w:p>
        </w:tc>
        <w:tc>
          <w:tcPr>
            <w:tcW w:w="18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Over $1,000,000</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91"/>
              </w:rPr>
              <w:t>$ 50,001–$100,000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$100,001–$</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500,000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$500,001–$1,000,000</w:t>
            </w:r>
          </w:p>
        </w:tc>
      </w:tr>
      <w:tr>
        <w:trPr>
          <w:trHeight w:val="3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$100,001–$500,000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$100,001–$</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500,000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$100,001–$</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500,000</w:t>
            </w:r>
          </w:p>
        </w:tc>
      </w:tr>
      <w:tr>
        <w:trPr>
          <w:trHeight w:val="216"/>
        </w:trPr>
        <w:tc>
          <w:tcPr>
            <w:tcW w:w="4460" w:type="dxa"/>
            <w:vAlign w:val="bottom"/>
            <w:gridSpan w:val="3"/>
          </w:tcPr>
          <w:p>
            <w:pPr>
              <w:ind w:left="440"/>
              <w:spacing w:after="0"/>
              <w:rPr>
                <w:sz w:val="20"/>
                <w:szCs w:val="20"/>
                <w:color w:val="auto"/>
              </w:rPr>
            </w:pPr>
            <w:r>
              <w:rPr>
                <w:rFonts w:ascii="Arial" w:cs="Arial" w:eastAsia="Arial" w:hAnsi="Arial"/>
                <w:sz w:val="18"/>
                <w:szCs w:val="18"/>
                <w:color w:val="auto"/>
              </w:rPr>
              <w:t>Salvatore Giannetti III</w:t>
            </w:r>
          </w:p>
        </w:tc>
        <w:tc>
          <w:tcPr>
            <w:tcW w:w="1840" w:type="dxa"/>
            <w:vAlign w:val="bottom"/>
          </w:tcPr>
          <w:p>
            <w:pPr>
              <w:jc w:val="center"/>
              <w:ind w:left="256"/>
              <w:spacing w:after="0"/>
              <w:rPr>
                <w:sz w:val="20"/>
                <w:szCs w:val="20"/>
                <w:color w:val="auto"/>
              </w:rPr>
            </w:pPr>
            <w:r>
              <w:rPr>
                <w:rFonts w:ascii="Arial" w:cs="Arial" w:eastAsia="Arial" w:hAnsi="Arial"/>
                <w:sz w:val="18"/>
                <w:szCs w:val="18"/>
                <w:color w:val="auto"/>
                <w:w w:val="88"/>
              </w:rPr>
              <w:t>$100,001–$500,000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92"/>
              </w:rPr>
              <w:t>$100,001–$</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500,000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w w:val="96"/>
              </w:rPr>
              <w:t>$100,001–$</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86"/>
              </w:rPr>
              <w:t>500,000</w:t>
            </w:r>
          </w:p>
        </w:tc>
      </w:tr>
      <w:tr>
        <w:trPr>
          <w:trHeight w:val="216"/>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$100,001–$500,000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$500,001–$1,000,000</w:t>
            </w:r>
          </w:p>
        </w:tc>
        <w:tc>
          <w:tcPr>
            <w:tcW w:w="1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$500,001–$1,000,000</w:t>
            </w:r>
          </w:p>
        </w:tc>
      </w:tr>
      <w:tr>
        <w:trPr>
          <w:trHeight w:val="108"/>
        </w:trPr>
        <w:tc>
          <w:tcPr>
            <w:tcW w:w="5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32"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9" w:lineRule="exact"/>
        <w:rPr>
          <w:rFonts w:ascii="Arial" w:cs="Arial" w:eastAsia="Arial" w:hAnsi="Arial"/>
          <w:sz w:val="18"/>
          <w:szCs w:val="18"/>
          <w:color w:val="auto"/>
        </w:rPr>
      </w:pPr>
    </w:p>
    <w:p>
      <w:pPr>
        <w:ind w:left="460" w:right="20" w:hanging="452"/>
        <w:spacing w:after="0" w:line="292"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66"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and for the period March 4, 2011 (commencement of operations) to September 30, 2011, the Investment Adviser earned base management fees of $0.4 million, $0.7 million and $0.4 million, respectively, from us.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2011 = $160 million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2011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2011 = $150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2012 = $200 million</w:t>
      </w:r>
    </w:p>
    <w:p>
      <w:pPr>
        <w:spacing w:after="0" w:line="15" w:lineRule="exact"/>
        <w:rPr>
          <w:sz w:val="20"/>
          <w:szCs w:val="20"/>
          <w:color w:val="auto"/>
        </w:rPr>
      </w:pPr>
    </w:p>
    <w:p>
      <w:pPr>
        <w:ind w:left="460" w:right="424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2012 = $20 million Adjusted gross assets as of March 31, 2012 = $180 million</w:t>
      </w:r>
    </w:p>
    <w:p>
      <w:pPr>
        <w:spacing w:after="0" w:line="57"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Average value of adjusted gross assets as of March 31, 2012 at the end of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w:t>
      </w:r>
    </w:p>
    <w:p>
      <w:pPr>
        <w:spacing w:after="0" w:line="4" w:lineRule="exact"/>
        <w:rPr>
          <w:sz w:val="20"/>
          <w:szCs w:val="20"/>
          <w:color w:val="auto"/>
        </w:rPr>
      </w:pPr>
    </w:p>
    <w:p>
      <w:pPr>
        <w:ind w:right="100" w:firstLine="8"/>
        <w:spacing w:after="0" w:line="292" w:lineRule="auto"/>
        <w:tabs>
          <w:tab w:leader="none" w:pos="249" w:val="left"/>
        </w:tabs>
        <w:numPr>
          <w:ilvl w:val="0"/>
          <w:numId w:val="88"/>
        </w:numPr>
        <w:rPr>
          <w:rFonts w:ascii="Arial" w:cs="Arial" w:eastAsia="Arial" w:hAnsi="Arial"/>
          <w:sz w:val="16"/>
          <w:szCs w:val="16"/>
          <w:color w:val="auto"/>
        </w:rPr>
      </w:pPr>
      <w:r>
        <w:rPr>
          <w:rFonts w:ascii="Arial" w:cs="Arial" w:eastAsia="Arial" w:hAnsi="Arial"/>
          <w:sz w:val="16"/>
          <w:szCs w:val="16"/>
          <w:color w:val="auto"/>
        </w:rPr>
        <w:t>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135890</wp:posOffset>
            </wp:positionV>
            <wp:extent cx="2470150" cy="4718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70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and for the period from March 4, 2011 (commencement of operations) to September 30, 2011 resulted in no accrual.</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 For the period from March 4, 2011 (commencement of operations) to September 30, 2011, our unrealized and realized capital gains did not exceed our cumulative realized and unrealized losses and resulted in no accrual under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right="4220"/>
        <w:spacing w:after="0" w:line="402" w:lineRule="auto"/>
        <w:rPr>
          <w:sz w:val="20"/>
          <w:szCs w:val="20"/>
          <w:color w:val="auto"/>
        </w:rPr>
      </w:pPr>
      <w:r>
        <w:rPr>
          <w:rFonts w:ascii="Arial" w:cs="Arial" w:eastAsia="Arial" w:hAnsi="Arial"/>
          <w:sz w:val="16"/>
          <w:szCs w:val="16"/>
          <w:color w:val="auto"/>
        </w:rPr>
        <w:t>(investment income—(base management fee + other expenses)) = 0.80% Pre-incentive net investment income does not exceed hurdle; therefore there is no incentive fee.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ind w:left="920"/>
        <w:spacing w:after="0"/>
        <w:tabs>
          <w:tab w:leader="none" w:pos="25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15" w:lineRule="exact"/>
        <w:rPr>
          <w:sz w:val="20"/>
          <w:szCs w:val="20"/>
          <w:color w:val="auto"/>
        </w:rPr>
      </w:pPr>
    </w:p>
    <w:p>
      <w:pPr>
        <w:ind w:left="2700" w:hanging="139"/>
        <w:spacing w:after="0"/>
        <w:tabs>
          <w:tab w:leader="none" w:pos="2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9" w:lineRule="exact"/>
        <w:rPr>
          <w:rFonts w:ascii="Arial" w:cs="Arial" w:eastAsia="Arial" w:hAnsi="Arial"/>
          <w:sz w:val="18"/>
          <w:szCs w:val="18"/>
          <w:color w:val="auto"/>
        </w:rPr>
      </w:pPr>
    </w:p>
    <w:p>
      <w:pPr>
        <w:ind w:left="2700" w:hanging="139"/>
        <w:spacing w:after="0"/>
        <w:tabs>
          <w:tab w:leader="none" w:pos="2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0.25%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4.00%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3.55%</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Incentive fee</w:t>
            </w:r>
          </w:p>
        </w:tc>
        <w:tc>
          <w:tcPr>
            <w:tcW w:w="840" w:type="dxa"/>
            <w:vAlign w:val="bottom"/>
          </w:tcPr>
          <w:p>
            <w:pPr>
              <w:ind w:left="360"/>
              <w:spacing w:after="0"/>
              <w:rPr>
                <w:sz w:val="20"/>
                <w:szCs w:val="20"/>
                <w:color w:val="auto"/>
              </w:rPr>
            </w:pPr>
            <w:r>
              <w:rPr>
                <w:rFonts w:ascii="Arial" w:cs="Arial" w:eastAsia="Arial" w:hAnsi="Arial"/>
                <w:sz w:val="18"/>
                <w:szCs w:val="18"/>
                <w:color w:val="auto"/>
                <w:w w:val="89"/>
              </w:rPr>
              <w:t>= 20%</w:t>
            </w:r>
          </w:p>
        </w:tc>
        <w:tc>
          <w:tcPr>
            <w:tcW w:w="5580" w:type="dxa"/>
            <w:vAlign w:val="bottom"/>
          </w:tcPr>
          <w:p>
            <w:pPr>
              <w:ind w:left="20"/>
              <w:spacing w:after="0"/>
              <w:rPr>
                <w:sz w:val="20"/>
                <w:szCs w:val="20"/>
                <w:color w:val="auto"/>
              </w:rPr>
            </w:pPr>
            <w:r>
              <w:rPr>
                <w:rFonts w:ascii="Arial" w:cs="Arial" w:eastAsia="Arial" w:hAnsi="Arial"/>
                <w:sz w:val="18"/>
                <w:szCs w:val="18"/>
                <w:color w:val="auto"/>
              </w:rPr>
              <w:t>X Pre-Incentive Fee Net Investment Income, subject to “catch-up”</w:t>
            </w:r>
            <w:r>
              <w:rPr>
                <w:rFonts w:ascii="Arial" w:cs="Arial" w:eastAsia="Arial" w:hAnsi="Arial"/>
                <w:sz w:val="11"/>
                <w:szCs w:val="11"/>
                <w:color w:val="auto"/>
              </w:rPr>
              <w:t>(4)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Incentive fee</w:t>
            </w:r>
          </w:p>
        </w:tc>
        <w:tc>
          <w:tcPr>
            <w:tcW w:w="840" w:type="dxa"/>
            <w:vAlign w:val="bottom"/>
          </w:tcPr>
          <w:p>
            <w:pPr>
              <w:ind w:left="360"/>
              <w:spacing w:after="0"/>
              <w:rPr>
                <w:sz w:val="20"/>
                <w:szCs w:val="20"/>
                <w:color w:val="auto"/>
              </w:rPr>
            </w:pPr>
            <w:r>
              <w:rPr>
                <w:rFonts w:ascii="Arial" w:cs="Arial" w:eastAsia="Arial" w:hAnsi="Arial"/>
                <w:sz w:val="18"/>
                <w:szCs w:val="18"/>
                <w:color w:val="auto"/>
                <w:w w:val="89"/>
              </w:rPr>
              <w:t>= 50%</w:t>
            </w:r>
          </w:p>
        </w:tc>
        <w:tc>
          <w:tcPr>
            <w:tcW w:w="5580" w:type="dxa"/>
            <w:vAlign w:val="bottom"/>
          </w:tcPr>
          <w:p>
            <w:pPr>
              <w:ind w:left="20"/>
              <w:spacing w:after="0"/>
              <w:rPr>
                <w:sz w:val="20"/>
                <w:szCs w:val="20"/>
                <w:color w:val="auto"/>
              </w:rPr>
            </w:pPr>
            <w:r>
              <w:rPr>
                <w:rFonts w:ascii="Arial" w:cs="Arial" w:eastAsia="Arial" w:hAnsi="Arial"/>
                <w:sz w:val="18"/>
                <w:szCs w:val="18"/>
                <w:color w:val="auto"/>
                <w:w w:val="89"/>
              </w:rPr>
              <w:t>X “catch-up” + (20% x (Pre-Incentive Fee Net Investment Income - 2.9167%))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Catch-up</w:t>
            </w: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=2.9167%-1.75%</w:t>
            </w:r>
          </w:p>
        </w:tc>
      </w:tr>
      <w:tr>
        <w:trPr>
          <w:trHeight w:val="216"/>
        </w:trPr>
        <w:tc>
          <w:tcPr>
            <w:tcW w:w="1280" w:type="dxa"/>
            <w:vAlign w:val="bottom"/>
          </w:tcPr>
          <w:p>
            <w:pPr>
              <w:spacing w:after="0"/>
              <w:rPr>
                <w:sz w:val="18"/>
                <w:szCs w:val="18"/>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=1.1667%</w:t>
            </w:r>
          </w:p>
        </w:tc>
      </w:tr>
      <w:tr>
        <w:trPr>
          <w:trHeight w:val="222"/>
        </w:trPr>
        <w:tc>
          <w:tcPr>
            <w:tcW w:w="1280" w:type="dxa"/>
            <w:vAlign w:val="bottom"/>
          </w:tcPr>
          <w:p>
            <w:pPr>
              <w:spacing w:after="0"/>
              <w:rPr>
                <w:sz w:val="19"/>
                <w:szCs w:val="19"/>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=(50% X 1.1667%) + (20% X (3.55% -2.9167%))</w:t>
            </w:r>
          </w:p>
        </w:tc>
      </w:tr>
    </w:tbl>
    <w:p>
      <w:pPr>
        <w:ind w:left="2560"/>
        <w:spacing w:after="0"/>
        <w:rPr>
          <w:sz w:val="20"/>
          <w:szCs w:val="20"/>
          <w:color w:val="auto"/>
        </w:rPr>
      </w:pPr>
      <w:r>
        <w:rPr>
          <w:rFonts w:ascii="Arial" w:cs="Arial" w:eastAsia="Arial" w:hAnsi="Arial"/>
          <w:sz w:val="18"/>
          <w:szCs w:val="18"/>
          <w:color w:val="auto"/>
        </w:rPr>
        <w:t>=0.5833% + (20% X 0.6333%)</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=0.5833% + 0.1267%</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1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240" w:top="459" w:right="5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Investment B sold for $31 million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460" w:right="160"/>
        <w:spacing w:after="0" w:line="254"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w:t>
      </w:r>
    </w:p>
    <w:p>
      <w:pPr>
        <w:ind w:left="460"/>
        <w:spacing w:after="0"/>
        <w:rPr>
          <w:sz w:val="20"/>
          <w:szCs w:val="20"/>
          <w:color w:val="auto"/>
        </w:rPr>
      </w:pPr>
      <w:r>
        <w:rPr>
          <w:rFonts w:ascii="Arial" w:cs="Arial" w:eastAsia="Arial" w:hAnsi="Arial"/>
          <w:sz w:val="18"/>
          <w:szCs w:val="18"/>
          <w:color w:val="auto"/>
        </w:rPr>
        <w:t>(previous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 multiplied by $25 million ($30 million realized capital gains on sale of Investment A less $5 million unrealized capital depreciation on Investment B)</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 million cumulative fee (20% multiplied by $32 million ($35 million cumulative realized capital gains less $3 million unrealized capital depreciation))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$5 million (previous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460" w:right="3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right="120" w:hanging="452"/>
        <w:spacing w:after="0" w:line="252" w:lineRule="auto"/>
        <w:tabs>
          <w:tab w:leader="none" w:pos="460" w:val="left"/>
        </w:tabs>
        <w:numPr>
          <w:ilvl w:val="0"/>
          <w:numId w:val="92"/>
        </w:numPr>
        <w:rPr>
          <w:rFonts w:ascii="Arial" w:cs="Arial" w:eastAsia="Arial" w:hAnsi="Arial"/>
          <w:sz w:val="21"/>
          <w:szCs w:val="21"/>
          <w:color w:val="auto"/>
          <w:vertAlign w:val="superscript"/>
        </w:rPr>
      </w:pPr>
      <w:r>
        <w:rPr>
          <w:rFonts w:ascii="Arial" w:cs="Arial" w:eastAsia="Arial" w:hAnsi="Arial"/>
          <w:sz w:val="17"/>
          <w:szCs w:val="17"/>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us, in March 2011. Unless terminated earlier as described below, the Investment Management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w:t>
      </w:r>
    </w:p>
    <w:p>
      <w:pPr>
        <w:spacing w:after="0" w:line="113"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2012 and for the period March 4, 2011 (commencement of operations) to September 30, 2011, the Investment Adviser and Administrator were reimbursed $0.1 million,$0.1 million and $0.1 million, respectively.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Administration Agreement was approved by our board of directors, including a majority of our independent directors who are not interested persons of us, in March 2011. Unless terminated earlier as described below, our Administration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advance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To the extent we invest in derivative instruments in the future, such instruments would be valued at fair value in accordance with our valuation policy. 92</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76" w:lineRule="exact"/>
        <w:rPr>
          <w:rFonts w:ascii="Arial" w:cs="Arial" w:eastAsia="Arial" w:hAnsi="Arial"/>
          <w:sz w:val="18"/>
          <w:szCs w:val="18"/>
          <w:color w:val="auto"/>
        </w:rPr>
      </w:pPr>
    </w:p>
    <w:p>
      <w:pPr>
        <w:jc w:val="both"/>
        <w:ind w:left="900" w:right="160" w:hanging="446"/>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60" w:right="3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P.O. Box 922, Wall Street Station, New York, New York 10269, or by the plan administrator’s Interactive Voice Response System at 1-877-322-4951.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July 24, 2012,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last reported closing market price of our common stock on July 24, 2012 was $12.14 per share. As of July 24, 2011, we had 4 stockholders of record.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July 24,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Amount Held by</w:t>
            </w:r>
          </w:p>
        </w:tc>
        <w:tc>
          <w:tcPr>
            <w:tcW w:w="102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Amount</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664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Authorized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203"/>
        </w:trPr>
        <w:tc>
          <w:tcPr>
            <w:tcW w:w="7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380" w:type="dxa"/>
            <w:vAlign w:val="bottom"/>
            <w:tcBorders>
              <w:top w:val="single" w:sz="8" w:color="auto"/>
            </w:tcBorders>
            <w:shd w:val="clear" w:color="auto" w:fill="CCEEFF"/>
          </w:tcPr>
          <w:p>
            <w:pPr>
              <w:jc w:val="right"/>
              <w:ind w:right="26"/>
              <w:spacing w:after="0" w:line="203" w:lineRule="exact"/>
              <w:rPr>
                <w:sz w:val="20"/>
                <w:szCs w:val="20"/>
                <w:color w:val="auto"/>
              </w:rPr>
            </w:pPr>
            <w:r>
              <w:rPr>
                <w:rFonts w:ascii="Arial" w:cs="Arial" w:eastAsia="Arial" w:hAnsi="Arial"/>
                <w:sz w:val="18"/>
                <w:szCs w:val="18"/>
                <w:color w:val="auto"/>
              </w:rPr>
              <w:t>100,000,000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6,850,667</w:t>
            </w: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in 2013, 2013, and 2014, respectively, and in each case, those directors will serve until their successors are duly elected and qualify. Beginning in 2013, upon expiration of their current terms, directors of each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is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merger, consolidation, share exchange or, in circumstances specified in the statute, an asset transfer or issuance or reclassification of equity securities. An interested stockholder is defined as:</w:t>
      </w:r>
    </w:p>
    <w:p>
      <w:pPr>
        <w:spacing w:after="0" w:line="5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59"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indenture securities and issue additional indenture securities of that series unless the reopening was restricted when that series was created.</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6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 We and the trustee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have no responsibility for any aspect of the depositary’s actions or for its records of ownership interests in a global security. We and the trustee also do not supervise the depositary in any way;</w:t>
      </w:r>
    </w:p>
    <w:p>
      <w:pPr>
        <w:spacing w:after="0" w:line="51" w:lineRule="exact"/>
        <w:rPr>
          <w:sz w:val="20"/>
          <w:szCs w:val="20"/>
          <w:color w:val="auto"/>
        </w:rPr>
      </w:pPr>
    </w:p>
    <w:p>
      <w:pPr>
        <w:ind w:left="900" w:right="14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7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20" w:hanging="446"/>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20" w:hanging="446"/>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318" w:lineRule="auto"/>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18" w:lineRule="exact"/>
        <w:rPr>
          <w:rFonts w:ascii="Arial" w:cs="Arial" w:eastAsia="Arial" w:hAnsi="Arial"/>
          <w:sz w:val="15"/>
          <w:szCs w:val="15"/>
          <w:color w:val="auto"/>
        </w:rPr>
      </w:pPr>
    </w:p>
    <w:p>
      <w:pPr>
        <w:ind w:left="900" w:right="120" w:hanging="446"/>
        <w:spacing w:after="0" w:line="370" w:lineRule="auto"/>
        <w:tabs>
          <w:tab w:leader="none" w:pos="90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77"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00"/>
          </w:cols>
          <w:pgMar w:left="240" w:top="460"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right="540" w:hanging="567"/>
        <w:spacing w:after="0" w:line="259"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 —Regulations governing our operation as a BDC will affect our ability to, and the way in which we, raise additional capital.”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annual report on Form 10-K (File No. 814-00891 filed on November 17, 2011).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4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60" w:right="2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20"/>
          </w:cols>
          <w:pgMar w:left="240" w:top="460"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over whose administration a court within the United States has primary supervision and all substantial decisions of which are under the control of one or more U.S. fiduciaries.</w:t>
      </w:r>
    </w:p>
    <w:p>
      <w:pPr>
        <w:spacing w:after="0" w:line="132"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report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15% on their net capital gain (through 2012), i.e., the excess of realized net long-term capital gain over realized net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short-term capital loss for a taxable year, including a long-term capital gain derived from an investment in our shares. Such rate is lower than the maximum rate of 35% on ordinary income currently payable by individuals through 2012. After 2012, these maximum individual tax rates currently are scheduled to increase to 20% (for long-term capital gain) and 39.6% (for ordinary income). Furthermore, for taxable years beginning after December 31, 2012, an additional 3.8% Medicare tax will be imposed on certain net investment income (including interest, dividends, annuities, royalties, rents and net capital gains) of a U.S. stockholder that is an individual, estate or trust, to the extent that such person’s “modified adjusted gross income” (in the case of an individual) or “adjusted gross income” (in the case of an estate or trust) exceeds a threshold amount.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and, in the case of a corporate Non-U.S. stockholder, an additional “branch profits” tax at a 30% rate (or a lower rate if provided for by an applicable treaty). In that case, a withholding agent will not be required to withhold federal tax if the Non-U.S. stockholder complies with applicable certification and disclosure requirements. A Non-U.S. stockholder will also be subject to backup withholding unless the stockholder complies with certain certification requirements. Special certification requirements apply to a Non-U.S. stockholder that is a foreign partnership or a foreign trust, and such entities are urged to consult their own tax advisors.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stockholder is present in the United States for 183 days or more during a taxable year.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2013, withholding at a rate of 30% on dividends in respect of, and (after 2014)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may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may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P.O. Box 922, Wall Street Station, New York, New York 10269, telephone number: (800) 937-5449. American Stock Transfer &amp; Trust Company, LLC may also serve as trustee for offerings of our debt securities.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consolidated financial statements of PennantPark Floating Rate Capital Ltd. as of September 30, 2011, including the consolidated schedule of investments, and for the period March 4, 2011 (commencement of operations) to September 30, 2011, have been included herein in reliance upon the report of KPMG LLP, independent registered public accounting firm, appearing elsewhere herein, and upon the authority of said firm as experts in accounting and auditing.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6900" w:type="dxa"/>
            <w:vAlign w:val="bottom"/>
            <w:gridSpan w:val="13"/>
          </w:tcPr>
          <w:p>
            <w:pPr>
              <w:jc w:val="center"/>
              <w:ind w:right="21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080" w:type="dxa"/>
            <w:vAlign w:val="bottom"/>
          </w:tcPr>
          <w:p>
            <w:pPr>
              <w:spacing w:after="0"/>
              <w:rPr>
                <w:sz w:val="19"/>
                <w:szCs w:val="19"/>
                <w:color w:val="auto"/>
              </w:rPr>
            </w:pPr>
          </w:p>
        </w:tc>
      </w:tr>
      <w:tr>
        <w:trPr>
          <w:trHeight w:val="419"/>
        </w:trPr>
        <w:tc>
          <w:tcPr>
            <w:tcW w:w="10240" w:type="dxa"/>
            <w:vAlign w:val="bottom"/>
            <w:gridSpan w:val="14"/>
          </w:tcPr>
          <w:p>
            <w:pPr>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1080" w:type="dxa"/>
            <w:vAlign w:val="bottom"/>
          </w:tcPr>
          <w:p>
            <w:pPr>
              <w:spacing w:after="0"/>
              <w:rPr>
                <w:sz w:val="24"/>
                <w:szCs w:val="24"/>
                <w:color w:val="auto"/>
              </w:rPr>
            </w:pPr>
          </w:p>
        </w:tc>
      </w:tr>
      <w:tr>
        <w:trPr>
          <w:trHeight w:val="324"/>
        </w:trPr>
        <w:tc>
          <w:tcPr>
            <w:tcW w:w="10240" w:type="dxa"/>
            <w:vAlign w:val="bottom"/>
            <w:gridSpan w:val="14"/>
          </w:tcPr>
          <w:p>
            <w:pPr>
              <w:spacing w:after="0"/>
              <w:rPr>
                <w:sz w:val="20"/>
                <w:szCs w:val="20"/>
                <w:color w:val="auto"/>
              </w:rPr>
            </w:pPr>
            <w:r>
              <w:rPr>
                <w:rFonts w:ascii="Arial" w:cs="Arial" w:eastAsia="Arial" w:hAnsi="Arial"/>
                <w:sz w:val="18"/>
                <w:szCs w:val="18"/>
                <w:b w:val="1"/>
                <w:bCs w:val="1"/>
                <w:color w:val="auto"/>
              </w:rPr>
              <w:t>Annual Financial Statements</w:t>
            </w:r>
          </w:p>
        </w:tc>
        <w:tc>
          <w:tcPr>
            <w:tcW w:w="1080" w:type="dxa"/>
            <w:vAlign w:val="bottom"/>
          </w:tcPr>
          <w:p>
            <w:pPr>
              <w:spacing w:after="0"/>
              <w:rPr>
                <w:sz w:val="24"/>
                <w:szCs w:val="24"/>
                <w:color w:val="auto"/>
              </w:rPr>
            </w:pPr>
          </w:p>
        </w:tc>
      </w:tr>
      <w:tr>
        <w:trPr>
          <w:trHeight w:val="286"/>
        </w:trPr>
        <w:tc>
          <w:tcPr>
            <w:tcW w:w="10240" w:type="dxa"/>
            <w:vAlign w:val="bottom"/>
            <w:gridSpan w:val="14"/>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Report of Independent Registered Public Accounting Firm</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52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36">
              <w:r>
                <w:rPr>
                  <w:rFonts w:ascii="Arial" w:cs="Arial" w:eastAsia="Arial" w:hAnsi="Arial"/>
                  <w:sz w:val="18"/>
                  <w:szCs w:val="18"/>
                  <w:color w:val="0000EE"/>
                  <w:w w:val="87"/>
                </w:rPr>
                <w:t>Consolidated Statement of Assets and Liabilities as of September 30, 2011</w:t>
              </w:r>
            </w:hyperlink>
          </w:p>
        </w:tc>
        <w:tc>
          <w:tcPr>
            <w:tcW w:w="4980" w:type="dxa"/>
            <w:vAlign w:val="bottom"/>
            <w:gridSpan w:val="9"/>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86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37">
              <w:r>
                <w:rPr>
                  <w:rFonts w:ascii="Arial" w:cs="Arial" w:eastAsia="Arial" w:hAnsi="Arial"/>
                  <w:sz w:val="18"/>
                  <w:szCs w:val="18"/>
                  <w:color w:val="0000EE"/>
                  <w:w w:val="88"/>
                </w:rPr>
                <w:t>Consolidated Statement of Operations for the period March 4, 2011 (commencement of operations) to September 30, 2011</w:t>
              </w:r>
            </w:hyperlink>
          </w:p>
        </w:tc>
        <w:tc>
          <w:tcPr>
            <w:tcW w:w="158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94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38">
              <w:r>
                <w:rPr>
                  <w:rFonts w:ascii="Arial" w:cs="Arial" w:eastAsia="Arial" w:hAnsi="Arial"/>
                  <w:sz w:val="18"/>
                  <w:szCs w:val="18"/>
                  <w:color w:val="0000EE"/>
                  <w:w w:val="88"/>
                </w:rPr>
                <w:t>Consolidated Statement of Changes in Net Assets for the period March 4, 2011 (commencement of operations) to September 30, 2011</w:t>
              </w:r>
            </w:hyperlink>
          </w:p>
        </w:tc>
        <w:tc>
          <w:tcPr>
            <w:tcW w:w="7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8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39">
              <w:r>
                <w:rPr>
                  <w:rFonts w:ascii="Arial" w:cs="Arial" w:eastAsia="Arial" w:hAnsi="Arial"/>
                  <w:sz w:val="18"/>
                  <w:szCs w:val="18"/>
                  <w:color w:val="0000EE"/>
                  <w:w w:val="88"/>
                </w:rPr>
                <w:t>Consolidated Statement of Cash Flows for the period March 4, 2011 (commencement of operations) to September 30, 2011</w:t>
              </w:r>
            </w:hyperlink>
          </w:p>
        </w:tc>
        <w:tc>
          <w:tcPr>
            <w:tcW w:w="152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45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40">
              <w:r>
                <w:rPr>
                  <w:rFonts w:ascii="Arial" w:cs="Arial" w:eastAsia="Arial" w:hAnsi="Arial"/>
                  <w:sz w:val="18"/>
                  <w:szCs w:val="18"/>
                  <w:color w:val="0000EE"/>
                  <w:w w:val="87"/>
                </w:rPr>
                <w:t>Consolidated Schedule of Investments as of September 30, 2011</w:t>
              </w:r>
            </w:hyperlink>
          </w:p>
        </w:tc>
        <w:tc>
          <w:tcPr>
            <w:tcW w:w="5700" w:type="dxa"/>
            <w:vAlign w:val="bottom"/>
            <w:gridSpan w:val="10"/>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3340" w:type="dxa"/>
            <w:vAlign w:val="bottom"/>
            <w:tcBorders>
              <w:bottom w:val="single" w:sz="8" w:color="0000EE"/>
            </w:tcBorders>
          </w:tcPr>
          <w:p>
            <w:pPr>
              <w:spacing w:after="0"/>
              <w:rPr>
                <w:rFonts w:ascii="Arial" w:cs="Arial" w:eastAsia="Arial" w:hAnsi="Arial"/>
                <w:sz w:val="18"/>
                <w:szCs w:val="18"/>
                <w:color w:val="0000EE"/>
                <w:w w:val="87"/>
              </w:rPr>
            </w:pPr>
            <w:hyperlink w:anchor="page243">
              <w:r>
                <w:rPr>
                  <w:rFonts w:ascii="Arial" w:cs="Arial" w:eastAsia="Arial" w:hAnsi="Arial"/>
                  <w:sz w:val="18"/>
                  <w:szCs w:val="18"/>
                  <w:color w:val="0000EE"/>
                  <w:w w:val="87"/>
                </w:rPr>
                <w:t>Notes to the Consolidated Financial Statements</w:t>
              </w:r>
            </w:hyperlink>
          </w:p>
        </w:tc>
        <w:tc>
          <w:tcPr>
            <w:tcW w:w="6900" w:type="dxa"/>
            <w:vAlign w:val="bottom"/>
            <w:gridSpan w:val="1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43"/>
        </w:trPr>
        <w:tc>
          <w:tcPr>
            <w:tcW w:w="10240" w:type="dxa"/>
            <w:vAlign w:val="bottom"/>
            <w:gridSpan w:val="14"/>
          </w:tcPr>
          <w:p>
            <w:pPr>
              <w:spacing w:after="0"/>
              <w:rPr>
                <w:sz w:val="20"/>
                <w:szCs w:val="20"/>
                <w:color w:val="auto"/>
              </w:rPr>
            </w:pPr>
            <w:r>
              <w:rPr>
                <w:rFonts w:ascii="Arial" w:cs="Arial" w:eastAsia="Arial" w:hAnsi="Arial"/>
                <w:sz w:val="18"/>
                <w:szCs w:val="18"/>
                <w:b w:val="1"/>
                <w:bCs w:val="1"/>
                <w:color w:val="auto"/>
              </w:rPr>
              <w:t>Interim Financial Statements</w:t>
            </w:r>
          </w:p>
        </w:tc>
        <w:tc>
          <w:tcPr>
            <w:tcW w:w="1080" w:type="dxa"/>
            <w:vAlign w:val="bottom"/>
          </w:tcPr>
          <w:p>
            <w:pPr>
              <w:spacing w:after="0"/>
              <w:rPr>
                <w:sz w:val="24"/>
                <w:szCs w:val="24"/>
                <w:color w:val="auto"/>
              </w:rPr>
            </w:pPr>
          </w:p>
        </w:tc>
      </w:tr>
      <w:tr>
        <w:trPr>
          <w:trHeight w:val="286"/>
        </w:trPr>
        <w:tc>
          <w:tcPr>
            <w:tcW w:w="10240" w:type="dxa"/>
            <w:vAlign w:val="bottom"/>
            <w:gridSpan w:val="14"/>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Report of Independent Registered Public Accounting Firm</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F-25</w:t>
            </w:r>
          </w:p>
        </w:tc>
      </w:tr>
      <w:tr>
        <w:trPr>
          <w:trHeight w:val="20"/>
        </w:trPr>
        <w:tc>
          <w:tcPr>
            <w:tcW w:w="3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76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59">
              <w:r>
                <w:rPr>
                  <w:rFonts w:ascii="Arial" w:cs="Arial" w:eastAsia="Arial" w:hAnsi="Arial"/>
                  <w:sz w:val="18"/>
                  <w:szCs w:val="18"/>
                  <w:color w:val="0000EE"/>
                  <w:w w:val="88"/>
                </w:rPr>
                <w:t>Consolidated Statements of Assets and Liabilities as of March 31, 2012 (unaudited) and September 30, 2011</w:t>
              </w:r>
            </w:hyperlink>
          </w:p>
        </w:tc>
        <w:tc>
          <w:tcPr>
            <w:tcW w:w="2560" w:type="dxa"/>
            <w:vAlign w:val="bottom"/>
            <w:gridSpan w:val="4"/>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F-26</w:t>
            </w:r>
          </w:p>
        </w:tc>
      </w:tr>
      <w:tr>
        <w:trPr>
          <w:trHeight w:val="304"/>
        </w:trPr>
        <w:tc>
          <w:tcPr>
            <w:tcW w:w="71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260">
              <w:r>
                <w:rPr>
                  <w:rFonts w:ascii="Arial" w:cs="Arial" w:eastAsia="Arial" w:hAnsi="Arial"/>
                  <w:sz w:val="18"/>
                  <w:szCs w:val="18"/>
                  <w:color w:val="0000EE"/>
                  <w:w w:val="87"/>
                </w:rPr>
                <w:t>Consolidated Statement of Operations for the three and six months ended March 31, 2012 (unaudited)</w:t>
              </w:r>
            </w:hyperlink>
          </w:p>
        </w:tc>
        <w:tc>
          <w:tcPr>
            <w:tcW w:w="3060" w:type="dxa"/>
            <w:vAlign w:val="bottom"/>
            <w:gridSpan w:val="6"/>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F-27</w:t>
            </w:r>
          </w:p>
        </w:tc>
      </w:tr>
      <w:tr>
        <w:trPr>
          <w:trHeight w:val="304"/>
        </w:trPr>
        <w:tc>
          <w:tcPr>
            <w:tcW w:w="73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1">
              <w:r>
                <w:rPr>
                  <w:rFonts w:ascii="Arial" w:cs="Arial" w:eastAsia="Arial" w:hAnsi="Arial"/>
                  <w:sz w:val="18"/>
                  <w:szCs w:val="18"/>
                  <w:color w:val="0000EE"/>
                  <w:w w:val="87"/>
                </w:rPr>
                <w:t>Consolidated Statement of Changes in Net Assets for the six months ended March 31, 2012 (unaudited)</w:t>
              </w:r>
            </w:hyperlink>
          </w:p>
        </w:tc>
        <w:tc>
          <w:tcPr>
            <w:tcW w:w="294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F-28</w:t>
            </w:r>
          </w:p>
        </w:tc>
      </w:tr>
      <w:tr>
        <w:trPr>
          <w:trHeight w:val="304"/>
        </w:trPr>
        <w:tc>
          <w:tcPr>
            <w:tcW w:w="65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2">
              <w:r>
                <w:rPr>
                  <w:rFonts w:ascii="Arial" w:cs="Arial" w:eastAsia="Arial" w:hAnsi="Arial"/>
                  <w:sz w:val="18"/>
                  <w:szCs w:val="18"/>
                  <w:color w:val="0000EE"/>
                  <w:w w:val="88"/>
                </w:rPr>
                <w:t>Consolidated Statement of Cash Flows for the six months ended March 31, 2012 (unaudited)</w:t>
              </w:r>
            </w:hyperlink>
          </w:p>
        </w:tc>
        <w:tc>
          <w:tcPr>
            <w:tcW w:w="3700" w:type="dxa"/>
            <w:vAlign w:val="bottom"/>
            <w:gridSpan w:val="8"/>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F-29</w:t>
            </w:r>
          </w:p>
        </w:tc>
      </w:tr>
      <w:tr>
        <w:trPr>
          <w:trHeight w:val="304"/>
        </w:trPr>
        <w:tc>
          <w:tcPr>
            <w:tcW w:w="69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63">
              <w:r>
                <w:rPr>
                  <w:rFonts w:ascii="Arial" w:cs="Arial" w:eastAsia="Arial" w:hAnsi="Arial"/>
                  <w:sz w:val="18"/>
                  <w:szCs w:val="18"/>
                  <w:color w:val="0000EE"/>
                  <w:w w:val="87"/>
                </w:rPr>
                <w:t>Consolidated Schedules of Investments as of March 31, 2012 (unaudited) and September 30, 2011</w:t>
              </w:r>
            </w:hyperlink>
          </w:p>
        </w:tc>
        <w:tc>
          <w:tcPr>
            <w:tcW w:w="3320" w:type="dxa"/>
            <w:vAlign w:val="bottom"/>
            <w:gridSpan w:val="7"/>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304"/>
        </w:trPr>
        <w:tc>
          <w:tcPr>
            <w:tcW w:w="10240" w:type="dxa"/>
            <w:vAlign w:val="bottom"/>
            <w:gridSpan w:val="14"/>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Notes to Consolidated Financial Statements (unaudited)</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383"/>
        </w:trPr>
        <w:tc>
          <w:tcPr>
            <w:tcW w:w="33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gridSpan w:val="9"/>
          </w:tcPr>
          <w:p>
            <w:pPr>
              <w:jc w:val="center"/>
              <w:ind w:right="4060"/>
              <w:spacing w:after="0"/>
              <w:rPr>
                <w:sz w:val="20"/>
                <w:szCs w:val="20"/>
                <w:color w:val="auto"/>
              </w:rPr>
            </w:pPr>
            <w:r>
              <w:rPr>
                <w:rFonts w:ascii="Arial" w:cs="Arial" w:eastAsia="Arial" w:hAnsi="Arial"/>
                <w:sz w:val="18"/>
                <w:szCs w:val="18"/>
                <w:color w:val="auto"/>
                <w:w w:val="88"/>
              </w:rPr>
              <w:t>F-1</w:t>
            </w:r>
          </w:p>
        </w:tc>
        <w:tc>
          <w:tcPr>
            <w:tcW w:w="108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statement of assets and liabilities of PennantPark Floating Rate Capital Ltd. and its Subsidiary (collectively referred to as the “Company”), including the consolidated schedule of investments as of September 30, 2011, and the related consolidated statements of operations, changes in net assets, and cash flows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Subsidiary as of September 30, 2011, and the results of their operations and their cash flows for the period March 4, 2011 (commencement of operations) to September 30, 2011, in conformity with U.S. generally accepted accounting principles.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0" w:type="dxa"/>
            <w:vAlign w:val="bottom"/>
          </w:tcPr>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200" w:type="dxa"/>
            <w:vAlign w:val="bottom"/>
          </w:tcPr>
          <w:p>
            <w:pPr>
              <w:ind w:left="3180"/>
              <w:spacing w:after="0"/>
              <w:rPr>
                <w:sz w:val="20"/>
                <w:szCs w:val="20"/>
                <w:color w:val="auto"/>
              </w:rPr>
            </w:pPr>
            <w:r>
              <w:rPr>
                <w:rFonts w:ascii="Arial" w:cs="Arial" w:eastAsia="Arial" w:hAnsi="Arial"/>
                <w:sz w:val="18"/>
                <w:szCs w:val="18"/>
                <w:b w:val="1"/>
                <w:bCs w:val="1"/>
                <w:color w:val="auto"/>
              </w:rPr>
              <w:t>CONSOLIDATED STATEMENT OF ASSETS AND 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2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10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(cost—$114,829,621)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110,724,241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121,075,260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(cost—$24,650,000), (See Notes 5 and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29,003,155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100,000,000 shares authorized.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97,251,174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22"/>
        </w:trPr>
        <w:tc>
          <w:tcPr>
            <w:tcW w:w="1020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92,072,105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121,075,260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60"/>
        <w:spacing w:after="0"/>
        <w:rPr>
          <w:sz w:val="20"/>
          <w:szCs w:val="20"/>
          <w:color w:val="auto"/>
        </w:rPr>
      </w:pPr>
      <w:r>
        <w:rPr>
          <w:rFonts w:ascii="Arial" w:cs="Arial" w:eastAsia="Arial" w:hAnsi="Arial"/>
          <w:sz w:val="16"/>
          <w:szCs w:val="16"/>
          <w:b w:val="1"/>
          <w:bCs w:val="1"/>
          <w:color w:val="auto"/>
        </w:rPr>
        <w:t>PENNANTPARK FLOATING RATE CAPITAL LTD. AND SUBSIDIARY</w:t>
      </w:r>
    </w:p>
    <w:p>
      <w:pPr>
        <w:spacing w:after="0" w:line="44" w:lineRule="exact"/>
        <w:rPr>
          <w:sz w:val="20"/>
          <w:szCs w:val="20"/>
          <w:color w:val="auto"/>
        </w:rPr>
      </w:pPr>
    </w:p>
    <w:p>
      <w:pPr>
        <w:jc w:val="center"/>
        <w:ind w:left="266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non-controlled, non-affiliated investments: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 management fee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expenses on the credit facility (See Note 10)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Administrative services expenses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general and administrative expenses</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Expenses before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issuance costs (See Note 5)</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investment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 on non-controlled, non-affiliated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unrealized (depreciation)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Non-controlled, non-affiliated investments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and unrealized loss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net assets resulting from operations per common share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per common share</w:t>
      </w:r>
    </w:p>
    <w:p>
      <w:pPr>
        <w:spacing w:after="0" w:line="171"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20" w:right="80"/>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6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51" w:lineRule="exact"/>
        <w:rPr>
          <w:sz w:val="20"/>
          <w:szCs w:val="20"/>
          <w:color w:val="auto"/>
        </w:rPr>
      </w:pPr>
    </w:p>
    <w:p>
      <w:pPr>
        <w:ind w:left="1120" w:hanging="1111"/>
        <w:spacing w:after="0"/>
        <w:tabs>
          <w:tab w:leader="none" w:pos="11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2,946,599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11576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365,433</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155,913</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182,995</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556,076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11576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1,260,417</w:t>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1,366,043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11576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2,626,460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320,139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311,988</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(3,793,392)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0" w:lineRule="exact"/>
        <w:rPr>
          <w:sz w:val="20"/>
          <w:szCs w:val="20"/>
          <w:color w:val="auto"/>
        </w:rPr>
      </w:pPr>
    </w:p>
    <w:p>
      <w:pPr>
        <w:ind w:left="1080" w:hanging="1071"/>
        <w:spacing w:after="0"/>
        <w:tabs>
          <w:tab w:leader="none" w:pos="10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(3,473,253)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115760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11576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r>
    </w:tbl>
    <w:p>
      <w:pPr>
        <w:sectPr>
          <w:pgSz w:w="11900" w:h="16838" w:orient="portrait"/>
          <w:cols w:equalWidth="0" w:num="2">
            <w:col w:w="8760" w:space="720"/>
            <w:col w:w="1900"/>
          </w:cols>
          <w:pgMar w:left="240" w:top="459" w:right="2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9480" w:type="dxa"/>
            <w:vAlign w:val="bottom"/>
          </w:tcPr>
          <w:p>
            <w:pPr>
              <w:spacing w:after="0"/>
              <w:rPr>
                <w:sz w:val="12"/>
                <w:szCs w:val="12"/>
                <w:color w:val="auto"/>
              </w:rPr>
            </w:pPr>
          </w:p>
        </w:tc>
        <w:tc>
          <w:tcPr>
            <w:tcW w:w="1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49"/>
        </w:trPr>
        <w:tc>
          <w:tcPr>
            <w:tcW w:w="9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61"/>
        </w:trPr>
        <w:tc>
          <w:tcPr>
            <w:tcW w:w="9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96"/>
        </w:trPr>
        <w:tc>
          <w:tcPr>
            <w:tcW w:w="9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decrease in net assets from operations:</w:t>
            </w:r>
          </w:p>
        </w:tc>
        <w:tc>
          <w:tcPr>
            <w:tcW w:w="2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 and cash equivalents</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unrealized depreciation on investments</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b w:val="1"/>
                <w:bCs w:val="1"/>
                <w:color w:val="auto"/>
              </w:rPr>
              <w:t>Distributions to stockholders:</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(1,712,667)</w:t>
            </w:r>
          </w:p>
        </w:tc>
        <w:tc>
          <w:tcPr>
            <w:tcW w:w="0" w:type="dxa"/>
            <w:vAlign w:val="bottom"/>
          </w:tcPr>
          <w:p>
            <w:pPr>
              <w:spacing w:after="0"/>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102,760,000</w:t>
            </w: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Arial" w:cs="Arial" w:eastAsia="Arial" w:hAnsi="Arial"/>
                <w:sz w:val="18"/>
                <w:szCs w:val="18"/>
                <w:color w:val="auto"/>
              </w:rPr>
              <w:t>Offering costs</w:t>
            </w:r>
          </w:p>
        </w:tc>
        <w:tc>
          <w:tcPr>
            <w:tcW w:w="26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(5,501,975)</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97,258,025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ind w:left="440"/>
              <w:spacing w:after="0"/>
              <w:rPr>
                <w:sz w:val="20"/>
                <w:szCs w:val="20"/>
                <w:color w:val="auto"/>
              </w:rPr>
            </w:pPr>
            <w:r>
              <w:rPr>
                <w:rFonts w:ascii="Arial" w:cs="Arial" w:eastAsia="Arial" w:hAnsi="Arial"/>
                <w:sz w:val="18"/>
                <w:szCs w:val="18"/>
                <w:color w:val="auto"/>
              </w:rPr>
              <w:t>Distributions in excess of net investment income, at period end</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2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440"/>
              <w:spacing w:after="0"/>
              <w:rPr>
                <w:sz w:val="20"/>
                <w:szCs w:val="20"/>
                <w:color w:val="auto"/>
              </w:rPr>
            </w:pPr>
            <w:r>
              <w:rPr>
                <w:rFonts w:ascii="Arial" w:cs="Arial" w:eastAsia="Arial" w:hAnsi="Arial"/>
                <w:sz w:val="18"/>
                <w:szCs w:val="18"/>
                <w:color w:val="auto"/>
              </w:rPr>
              <w:t>Shares issued from public and private offerings</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6,850,667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60"/>
        <w:spacing w:after="0"/>
        <w:rPr>
          <w:sz w:val="20"/>
          <w:szCs w:val="20"/>
          <w:color w:val="auto"/>
        </w:rPr>
      </w:pPr>
      <w:r>
        <w:rPr>
          <w:rFonts w:ascii="Arial" w:cs="Arial" w:eastAsia="Arial" w:hAnsi="Arial"/>
          <w:sz w:val="16"/>
          <w:szCs w:val="16"/>
          <w:b w:val="1"/>
          <w:bCs w:val="1"/>
          <w:color w:val="auto"/>
        </w:rPr>
        <w:t>PENNANTPARK FLOATING RATE CAPITAL LTD. AND SUBSIDIARY</w:t>
      </w:r>
    </w:p>
    <w:p>
      <w:pPr>
        <w:spacing w:after="0" w:line="44" w:lineRule="exact"/>
        <w:rPr>
          <w:sz w:val="20"/>
          <w:szCs w:val="20"/>
          <w:color w:val="auto"/>
        </w:rPr>
      </w:pPr>
    </w:p>
    <w:p>
      <w:pPr>
        <w:jc w:val="center"/>
        <w:ind w:left="266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decrease in net assets resulting from operations</w:t>
      </w:r>
    </w:p>
    <w:p>
      <w:pPr>
        <w:spacing w:after="0" w:line="23" w:lineRule="exact"/>
        <w:rPr>
          <w:sz w:val="20"/>
          <w:szCs w:val="20"/>
          <w:color w:val="auto"/>
        </w:rPr>
      </w:pPr>
    </w:p>
    <w:p>
      <w:pPr>
        <w:ind w:left="660" w:right="1540" w:hanging="215"/>
        <w:spacing w:after="0" w:line="258" w:lineRule="auto"/>
        <w:rPr>
          <w:sz w:val="20"/>
          <w:szCs w:val="20"/>
          <w:color w:val="auto"/>
        </w:rPr>
      </w:pPr>
      <w:r>
        <w:rPr>
          <w:rFonts w:ascii="Arial" w:cs="Arial" w:eastAsia="Arial" w:hAnsi="Arial"/>
          <w:sz w:val="18"/>
          <w:szCs w:val="18"/>
          <w:color w:val="auto"/>
        </w:rPr>
        <w:t>Adjustments to reconcile net decrease in net assets resulting from operations to 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283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net unrealized depreciation on investments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Purchase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Proceeds from disposition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receivables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prepaid expenses and other assets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for operating activities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Proceeds from issuance of common stock</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Repayments under credit facility (See Note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20" w:right="120"/>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60"/>
        <w:spacing w:after="0"/>
        <w:rPr>
          <w:sz w:val="20"/>
          <w:szCs w:val="20"/>
          <w:color w:val="auto"/>
        </w:rPr>
      </w:pPr>
      <w:r>
        <w:rPr>
          <w:rFonts w:ascii="Arial" w:cs="Arial" w:eastAsia="Arial" w:hAnsi="Arial"/>
          <w:sz w:val="14"/>
          <w:szCs w:val="14"/>
          <w:b w:val="1"/>
          <w:bCs w:val="1"/>
          <w:color w:val="auto"/>
        </w:rPr>
        <w:t>September 30, 2011</w:t>
      </w:r>
    </w:p>
    <w:p>
      <w:pPr>
        <w:spacing w:after="0" w:line="222" w:lineRule="exact"/>
        <w:rPr>
          <w:sz w:val="20"/>
          <w:szCs w:val="20"/>
          <w:color w:val="auto"/>
        </w:rPr>
      </w:pPr>
    </w:p>
    <w:p>
      <w:pPr>
        <w:ind w:left="1080" w:hanging="1071"/>
        <w:spacing w:after="0"/>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(3,473,253)</w:t>
      </w:r>
    </w:p>
    <w:p>
      <w:pPr>
        <w:spacing w:after="0" w:line="200" w:lineRule="exact"/>
        <w:rPr>
          <w:sz w:val="20"/>
          <w:szCs w:val="20"/>
          <w:color w:val="auto"/>
        </w:rPr>
      </w:pPr>
    </w:p>
    <w:p>
      <w:pPr>
        <w:spacing w:after="0" w:line="29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4,105,380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(311,988)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(136,975)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(147,545,077)</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(42,074)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33,206,493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(732,695)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(2,467,500)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(163,374)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2,323,250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150,246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266,432</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(113,687,455)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5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102,760,000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(5,501,975)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(1,233,120)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29,000,000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(4,350,000)</w:t>
      </w:r>
    </w:p>
    <w:p>
      <w:pPr>
        <w:spacing w:after="0" w:line="15" w:lineRule="exact"/>
        <w:rPr>
          <w:sz w:val="20"/>
          <w:szCs w:val="20"/>
          <w:color w:val="auto"/>
        </w:rPr>
      </w:pPr>
    </w:p>
    <w:p>
      <w:pPr>
        <w:sectPr>
          <w:pgSz w:w="11900" w:h="16838" w:orient="portrait"/>
          <w:cols w:equalWidth="0" w:num="2">
            <w:col w:w="8760" w:space="720"/>
            <w:col w:w="1940"/>
          </w:cols>
          <w:pgMar w:left="240" w:top="460" w:right="239" w:bottom="1440" w:gutter="0" w:footer="0" w:header="0"/>
        </w:sectPr>
      </w:pPr>
    </w:p>
    <w:tbl>
      <w:tblPr>
        <w:tblLayout w:type="fixed"/>
        <w:tblInd w:w="0" w:type="dxa"/>
        <w:tblCellMar>
          <w:top w:w="0" w:type="dxa"/>
          <w:left w:w="0" w:type="dxa"/>
          <w:bottom w:w="0" w:type="dxa"/>
          <w:right w:w="0" w:type="dxa"/>
        </w:tblCellMar>
      </w:tblPr>
      <w:tr>
        <w:trPr>
          <w:trHeight w:val="239"/>
        </w:trPr>
        <w:tc>
          <w:tcPr>
            <w:tcW w:w="9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120,674,905</w:t>
            </w:r>
          </w:p>
        </w:tc>
        <w:tc>
          <w:tcPr>
            <w:tcW w:w="100" w:type="dxa"/>
            <w:vAlign w:val="bottom"/>
            <w:shd w:val="clear" w:color="auto" w:fill="CCEEFF"/>
          </w:tcPr>
          <w:p>
            <w:pPr>
              <w:spacing w:after="0"/>
              <w:rPr>
                <w:sz w:val="20"/>
                <w:szCs w:val="20"/>
                <w:color w:val="auto"/>
              </w:rPr>
            </w:pPr>
          </w:p>
        </w:tc>
      </w:tr>
      <w:tr>
        <w:trPr>
          <w:trHeight w:val="235"/>
        </w:trPr>
        <w:tc>
          <w:tcPr>
            <w:tcW w:w="9480" w:type="dxa"/>
            <w:vAlign w:val="bottom"/>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5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32"/>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5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6"/>
        </w:trPr>
        <w:tc>
          <w:tcPr>
            <w:tcW w:w="9480" w:type="dxa"/>
            <w:vAlign w:val="bottom"/>
          </w:tcPr>
          <w:p>
            <w:pPr>
              <w:spacing w:after="0"/>
              <w:rPr>
                <w:sz w:val="20"/>
                <w:szCs w:val="20"/>
                <w:color w:val="auto"/>
              </w:rPr>
            </w:pPr>
            <w:r>
              <w:rPr>
                <w:rFonts w:ascii="Arial" w:cs="Arial" w:eastAsia="Arial" w:hAnsi="Arial"/>
                <w:sz w:val="18"/>
                <w:szCs w:val="18"/>
                <w:b w:val="1"/>
                <w:bCs w:val="1"/>
                <w:color w:val="auto"/>
              </w:rPr>
              <w:t>Cash equivalents, end of year</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0"/>
        </w:trPr>
        <w:tc>
          <w:tcPr>
            <w:tcW w:w="9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9480" w:type="dxa"/>
            <w:vAlign w:val="bottom"/>
          </w:tcPr>
          <w:p>
            <w:pPr>
              <w:spacing w:after="0"/>
              <w:rPr>
                <w:sz w:val="20"/>
                <w:szCs w:val="20"/>
                <w:color w:val="auto"/>
              </w:rPr>
            </w:pPr>
            <w:r>
              <w:rPr>
                <w:rFonts w:ascii="Arial" w:cs="Arial" w:eastAsia="Arial" w:hAnsi="Arial"/>
                <w:sz w:val="18"/>
                <w:szCs w:val="18"/>
                <w:color w:val="auto"/>
              </w:rPr>
              <w:t>Interest paid</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5,556</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840" w:type="dxa"/>
            <w:vAlign w:val="bottom"/>
          </w:tcPr>
          <w:p>
            <w:pPr>
              <w:spacing w:after="0"/>
              <w:rPr>
                <w:sz w:val="15"/>
                <w:szCs w:val="15"/>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94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76"/>
              </w:rPr>
              <w:t>Cost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center"/>
              <w:ind w:right="18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24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w:t>
            </w: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Companies—120.2%</w:t>
            </w:r>
            <w:r>
              <w:rPr>
                <w:rFonts w:ascii="Arial" w:cs="Arial" w:eastAsia="Arial" w:hAnsi="Arial"/>
                <w:sz w:val="20"/>
                <w:szCs w:val="20"/>
                <w:b w:val="1"/>
                <w:bCs w:val="1"/>
                <w:color w:val="auto"/>
                <w:vertAlign w:val="superscript"/>
              </w:rPr>
              <w:t>(3),(4)</w:t>
            </w: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Airvana Network Solutions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3/25/2015</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87"/>
              </w:rPr>
              <w:t>Telecommunications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L+800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1,209,524</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1,213,365</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1,215,571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Artel, LLC</w:t>
            </w:r>
            <w:r>
              <w:rPr>
                <w:rFonts w:ascii="Arial" w:cs="Arial" w:eastAsia="Arial" w:hAnsi="Arial"/>
                <w:sz w:val="18"/>
                <w:szCs w:val="18"/>
                <w:color w:val="auto"/>
                <w:vertAlign w:val="superscript"/>
              </w:rPr>
              <w:t>(11)</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6/1/2016</w:t>
            </w:r>
          </w:p>
        </w:tc>
        <w:tc>
          <w:tcPr>
            <w:tcW w:w="160" w:type="dxa"/>
            <w:vAlign w:val="bottom"/>
          </w:tcPr>
          <w:p>
            <w:pPr>
              <w:spacing w:after="0"/>
              <w:rPr>
                <w:sz w:val="14"/>
                <w:szCs w:val="14"/>
                <w:color w:val="auto"/>
              </w:rPr>
            </w:pPr>
          </w:p>
        </w:tc>
        <w:tc>
          <w:tcPr>
            <w:tcW w:w="232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Telecommunications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L+425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987,500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978,043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972,688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Autoparts Holdings Limited</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7/29/2017</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91"/>
              </w:rPr>
              <w:t>Automotive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6.50%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L+500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1,000,000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995,085</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Chester Downs and Marina, LLC</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7/31/2016</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7"/>
              </w:rPr>
              <w:t>Hotel, Gaming and Leisure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12.38%</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L+988</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478,873</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488,220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476,878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C.H.I. Overhead Doors,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8/17/2017</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7"/>
              </w:rPr>
              <w:t>Consumer Goods: Durable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L+575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4,000,000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3,921,236</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3,900,000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EAG, Inc.</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7/28/2017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6.75%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P+350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987,500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982,590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967,750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Ernest Health, Inc.</w:t>
            </w:r>
            <w:r>
              <w:rPr>
                <w:rFonts w:ascii="Arial" w:cs="Arial" w:eastAsia="Arial" w:hAnsi="Arial"/>
                <w:sz w:val="15"/>
                <w:szCs w:val="15"/>
                <w:color w:val="auto"/>
                <w:vertAlign w:val="superscript"/>
              </w:rPr>
              <w:t>(11)</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5/13/2016</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6"/>
              </w:rPr>
              <w:t>Healthcare and</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L+475</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2,966,250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2,939,107</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2,936,587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4"/>
              </w:rPr>
              <w:t>Pharmaceuticals</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Frac Tech International, LLC</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5/6/2016</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7"/>
              </w:rPr>
              <w:t>Energy: Oil and Gas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2,073,930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2,054,330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2,033,747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Gundle/SLT Environmental,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5/27/2016</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9"/>
              </w:rPr>
              <w:t>Environmental Industries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7.01%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L+550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2,964,467</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2,812,950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gridSpan w:val="2"/>
          </w:tcPr>
          <w:p>
            <w:pPr>
              <w:spacing w:after="0" w:line="133" w:lineRule="exact"/>
              <w:rPr>
                <w:sz w:val="20"/>
                <w:szCs w:val="20"/>
                <w:color w:val="auto"/>
              </w:rPr>
            </w:pPr>
            <w:r>
              <w:rPr>
                <w:rFonts w:ascii="Arial" w:cs="Arial" w:eastAsia="Arial" w:hAnsi="Arial"/>
                <w:sz w:val="10"/>
                <w:szCs w:val="10"/>
                <w:color w:val="auto"/>
              </w:rPr>
              <w:t>Harmony Foods Corporation</w:t>
            </w:r>
            <w:r>
              <w:rPr>
                <w:rFonts w:ascii="Arial" w:cs="Arial" w:eastAsia="Arial" w:hAnsi="Arial"/>
                <w:sz w:val="15"/>
                <w:szCs w:val="15"/>
                <w:color w:val="auto"/>
                <w:vertAlign w:val="superscript"/>
              </w:rPr>
              <w:t>(5) (6)</w:t>
            </w:r>
          </w:p>
        </w:tc>
        <w:tc>
          <w:tcPr>
            <w:tcW w:w="1160" w:type="dxa"/>
            <w:vAlign w:val="bottom"/>
            <w:gridSpan w:val="2"/>
          </w:tcPr>
          <w:p>
            <w:pPr>
              <w:jc w:val="center"/>
              <w:ind w:left="492"/>
              <w:spacing w:after="0" w:line="133" w:lineRule="exact"/>
              <w:rPr>
                <w:sz w:val="20"/>
                <w:szCs w:val="20"/>
                <w:color w:val="auto"/>
              </w:rPr>
            </w:pPr>
            <w:r>
              <w:rPr>
                <w:rFonts w:ascii="Arial" w:cs="Arial" w:eastAsia="Arial" w:hAnsi="Arial"/>
                <w:sz w:val="14"/>
                <w:szCs w:val="14"/>
                <w:color w:val="auto"/>
                <w:w w:val="88"/>
              </w:rPr>
              <w:t>5/1/2016</w:t>
            </w:r>
          </w:p>
        </w:tc>
        <w:tc>
          <w:tcPr>
            <w:tcW w:w="160" w:type="dxa"/>
            <w:vAlign w:val="bottom"/>
          </w:tcPr>
          <w:p>
            <w:pPr>
              <w:spacing w:after="0"/>
              <w:rPr>
                <w:sz w:val="11"/>
                <w:szCs w:val="11"/>
                <w:color w:val="auto"/>
              </w:rPr>
            </w:pPr>
          </w:p>
        </w:tc>
        <w:tc>
          <w:tcPr>
            <w:tcW w:w="2320" w:type="dxa"/>
            <w:vAlign w:val="bottom"/>
            <w:gridSpan w:val="3"/>
          </w:tcPr>
          <w:p>
            <w:pPr>
              <w:jc w:val="center"/>
              <w:ind w:right="140"/>
              <w:spacing w:after="0" w:line="133" w:lineRule="exact"/>
              <w:rPr>
                <w:sz w:val="20"/>
                <w:szCs w:val="20"/>
                <w:color w:val="auto"/>
              </w:rPr>
            </w:pPr>
            <w:r>
              <w:rPr>
                <w:rFonts w:ascii="Arial" w:cs="Arial" w:eastAsia="Arial" w:hAnsi="Arial"/>
                <w:sz w:val="14"/>
                <w:szCs w:val="14"/>
                <w:color w:val="auto"/>
                <w:w w:val="85"/>
              </w:rPr>
              <w:t>Beverage, Food and Tobacco</w:t>
            </w:r>
          </w:p>
        </w:tc>
        <w:tc>
          <w:tcPr>
            <w:tcW w:w="960" w:type="dxa"/>
            <w:vAlign w:val="bottom"/>
            <w:gridSpan w:val="2"/>
          </w:tcPr>
          <w:p>
            <w:pPr>
              <w:jc w:val="right"/>
              <w:ind w:right="340"/>
              <w:spacing w:after="0" w:line="133" w:lineRule="exact"/>
              <w:rPr>
                <w:sz w:val="20"/>
                <w:szCs w:val="20"/>
                <w:color w:val="auto"/>
              </w:rPr>
            </w:pPr>
            <w:r>
              <w:rPr>
                <w:rFonts w:ascii="Arial" w:cs="Arial" w:eastAsia="Arial" w:hAnsi="Arial"/>
                <w:sz w:val="14"/>
                <w:szCs w:val="14"/>
                <w:color w:val="auto"/>
              </w:rPr>
              <w:t>10.00%</w:t>
            </w:r>
          </w:p>
        </w:tc>
        <w:tc>
          <w:tcPr>
            <w:tcW w:w="940" w:type="dxa"/>
            <w:vAlign w:val="bottom"/>
            <w:gridSpan w:val="2"/>
          </w:tcPr>
          <w:p>
            <w:pPr>
              <w:jc w:val="right"/>
              <w:ind w:right="320"/>
              <w:spacing w:after="0" w:line="133"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40"/>
              <w:spacing w:after="0" w:line="133" w:lineRule="exact"/>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1"/>
                <w:szCs w:val="11"/>
                <w:color w:val="auto"/>
              </w:rPr>
            </w:pPr>
          </w:p>
        </w:tc>
        <w:tc>
          <w:tcPr>
            <w:tcW w:w="600" w:type="dxa"/>
            <w:vAlign w:val="bottom"/>
            <w:gridSpan w:val="3"/>
          </w:tcPr>
          <w:p>
            <w:pPr>
              <w:jc w:val="right"/>
              <w:spacing w:after="0" w:line="133" w:lineRule="exact"/>
              <w:rPr>
                <w:sz w:val="20"/>
                <w:szCs w:val="20"/>
                <w:color w:val="auto"/>
              </w:rPr>
            </w:pPr>
            <w:r>
              <w:rPr>
                <w:rFonts w:ascii="Arial" w:cs="Arial" w:eastAsia="Arial" w:hAnsi="Arial"/>
                <w:sz w:val="14"/>
                <w:szCs w:val="14"/>
                <w:color w:val="auto"/>
                <w:w w:val="93"/>
              </w:rPr>
              <w:t>2,000,000</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spacing w:after="0" w:line="133" w:lineRule="exact"/>
              <w:rPr>
                <w:sz w:val="20"/>
                <w:szCs w:val="20"/>
                <w:color w:val="auto"/>
              </w:rPr>
            </w:pPr>
            <w:r>
              <w:rPr>
                <w:rFonts w:ascii="Arial" w:cs="Arial" w:eastAsia="Arial" w:hAnsi="Arial"/>
                <w:sz w:val="14"/>
                <w:szCs w:val="14"/>
                <w:color w:val="auto"/>
                <w:w w:val="96"/>
              </w:rPr>
              <w:t>1,990,000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40" w:type="dxa"/>
            <w:vAlign w:val="bottom"/>
            <w:gridSpan w:val="2"/>
          </w:tcPr>
          <w:p>
            <w:pPr>
              <w:spacing w:after="0" w:line="151" w:lineRule="exact"/>
              <w:rPr>
                <w:sz w:val="20"/>
                <w:szCs w:val="20"/>
                <w:color w:val="auto"/>
              </w:rPr>
            </w:pPr>
            <w:r>
              <w:rPr>
                <w:rFonts w:ascii="Arial" w:cs="Arial" w:eastAsia="Arial" w:hAnsi="Arial"/>
                <w:sz w:val="11"/>
                <w:szCs w:val="11"/>
                <w:color w:val="auto"/>
              </w:rPr>
              <w:t>Insight Global, Inc.</w:t>
            </w:r>
            <w:r>
              <w:rPr>
                <w:rFonts w:ascii="Arial" w:cs="Arial" w:eastAsia="Arial" w:hAnsi="Arial"/>
                <w:sz w:val="17"/>
                <w:szCs w:val="17"/>
                <w:color w:val="auto"/>
                <w:vertAlign w:val="superscript"/>
              </w:rPr>
              <w:t>(11)</w:t>
            </w:r>
          </w:p>
        </w:tc>
        <w:tc>
          <w:tcPr>
            <w:tcW w:w="1160" w:type="dxa"/>
            <w:vAlign w:val="bottom"/>
            <w:gridSpan w:val="2"/>
          </w:tcPr>
          <w:p>
            <w:pPr>
              <w:jc w:val="center"/>
              <w:ind w:left="512"/>
              <w:spacing w:after="0" w:line="151" w:lineRule="exact"/>
              <w:rPr>
                <w:sz w:val="20"/>
                <w:szCs w:val="20"/>
                <w:color w:val="auto"/>
              </w:rPr>
            </w:pPr>
            <w:r>
              <w:rPr>
                <w:rFonts w:ascii="Arial" w:cs="Arial" w:eastAsia="Arial" w:hAnsi="Arial"/>
                <w:sz w:val="14"/>
                <w:szCs w:val="14"/>
                <w:color w:val="auto"/>
                <w:w w:val="86"/>
              </w:rPr>
              <w:t>8/16/2017</w:t>
            </w:r>
          </w:p>
        </w:tc>
        <w:tc>
          <w:tcPr>
            <w:tcW w:w="160" w:type="dxa"/>
            <w:vAlign w:val="bottom"/>
          </w:tcPr>
          <w:p>
            <w:pPr>
              <w:spacing w:after="0"/>
              <w:rPr>
                <w:sz w:val="13"/>
                <w:szCs w:val="13"/>
                <w:color w:val="auto"/>
              </w:rPr>
            </w:pPr>
          </w:p>
        </w:tc>
        <w:tc>
          <w:tcPr>
            <w:tcW w:w="2320" w:type="dxa"/>
            <w:vAlign w:val="bottom"/>
            <w:gridSpan w:val="3"/>
          </w:tcPr>
          <w:p>
            <w:pPr>
              <w:jc w:val="center"/>
              <w:ind w:right="140"/>
              <w:spacing w:after="0" w:line="151" w:lineRule="exact"/>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6.50%</w:t>
            </w:r>
          </w:p>
        </w:tc>
        <w:tc>
          <w:tcPr>
            <w:tcW w:w="940" w:type="dxa"/>
            <w:vAlign w:val="bottom"/>
            <w:gridSpan w:val="2"/>
          </w:tcPr>
          <w:p>
            <w:pPr>
              <w:jc w:val="right"/>
              <w:ind w:right="260"/>
              <w:spacing w:after="0" w:line="151" w:lineRule="exact"/>
              <w:rPr>
                <w:sz w:val="20"/>
                <w:szCs w:val="20"/>
                <w:color w:val="auto"/>
              </w:rPr>
            </w:pPr>
            <w:r>
              <w:rPr>
                <w:rFonts w:ascii="Arial" w:cs="Arial" w:eastAsia="Arial" w:hAnsi="Arial"/>
                <w:sz w:val="14"/>
                <w:szCs w:val="14"/>
                <w:color w:val="auto"/>
              </w:rPr>
              <w:t>L+500</w:t>
            </w:r>
          </w:p>
        </w:tc>
        <w:tc>
          <w:tcPr>
            <w:tcW w:w="80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2,493,750</w:t>
            </w:r>
          </w:p>
        </w:tc>
        <w:tc>
          <w:tcPr>
            <w:tcW w:w="200" w:type="dxa"/>
            <w:vAlign w:val="bottom"/>
          </w:tcPr>
          <w:p>
            <w:pPr>
              <w:spacing w:after="0"/>
              <w:rPr>
                <w:sz w:val="13"/>
                <w:szCs w:val="13"/>
                <w:color w:val="auto"/>
              </w:rPr>
            </w:pPr>
          </w:p>
        </w:tc>
        <w:tc>
          <w:tcPr>
            <w:tcW w:w="600" w:type="dxa"/>
            <w:vAlign w:val="bottom"/>
            <w:gridSpan w:val="3"/>
          </w:tcPr>
          <w:p>
            <w:pPr>
              <w:jc w:val="right"/>
              <w:spacing w:after="0" w:line="151" w:lineRule="exact"/>
              <w:rPr>
                <w:sz w:val="20"/>
                <w:szCs w:val="20"/>
                <w:color w:val="auto"/>
              </w:rPr>
            </w:pPr>
            <w:r>
              <w:rPr>
                <w:rFonts w:ascii="Arial" w:cs="Arial" w:eastAsia="Arial" w:hAnsi="Arial"/>
                <w:sz w:val="14"/>
                <w:szCs w:val="14"/>
                <w:color w:val="auto"/>
                <w:w w:val="93"/>
              </w:rPr>
              <w:t>2,481,331</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1" w:lineRule="exact"/>
              <w:rPr>
                <w:sz w:val="20"/>
                <w:szCs w:val="20"/>
                <w:color w:val="auto"/>
              </w:rPr>
            </w:pPr>
            <w:r>
              <w:rPr>
                <w:rFonts w:ascii="Arial" w:cs="Arial" w:eastAsia="Arial" w:hAnsi="Arial"/>
                <w:sz w:val="14"/>
                <w:szCs w:val="14"/>
                <w:color w:val="auto"/>
                <w:w w:val="96"/>
              </w:rPr>
              <w:t>2,475,047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8/7/2014</w:t>
            </w:r>
          </w:p>
        </w:tc>
        <w:tc>
          <w:tcPr>
            <w:tcW w:w="160" w:type="dxa"/>
            <w:vAlign w:val="bottom"/>
          </w:tcPr>
          <w:p>
            <w:pPr>
              <w:spacing w:after="0"/>
              <w:rPr>
                <w:sz w:val="15"/>
                <w:szCs w:val="15"/>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Media: Advertising,</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3.61%</w:t>
            </w:r>
          </w:p>
        </w:tc>
        <w:tc>
          <w:tcPr>
            <w:tcW w:w="940" w:type="dxa"/>
            <w:vAlign w:val="bottom"/>
            <w:gridSpan w:val="2"/>
          </w:tcPr>
          <w:p>
            <w:pPr>
              <w:jc w:val="right"/>
              <w:ind w:right="120"/>
              <w:spacing w:after="0" w:line="179" w:lineRule="exact"/>
              <w:rPr>
                <w:sz w:val="20"/>
                <w:szCs w:val="20"/>
                <w:color w:val="auto"/>
              </w:rPr>
            </w:pPr>
            <w:r>
              <w:rPr>
                <w:rFonts w:ascii="Arial" w:cs="Arial" w:eastAsia="Arial" w:hAnsi="Arial"/>
                <w:sz w:val="13"/>
                <w:szCs w:val="13"/>
                <w:color w:val="auto"/>
              </w:rPr>
              <w:t>L+338</w:t>
            </w:r>
            <w:r>
              <w:rPr>
                <w:rFonts w:ascii="Arial" w:cs="Arial" w:eastAsia="Arial" w:hAnsi="Arial"/>
                <w:sz w:val="20"/>
                <w:szCs w:val="20"/>
                <w:color w:val="auto"/>
                <w:vertAlign w:val="superscript"/>
              </w:rPr>
              <w:t>(7)</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6,981,823</w:t>
            </w:r>
          </w:p>
        </w:tc>
        <w:tc>
          <w:tcPr>
            <w:tcW w:w="20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6,523,240</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6,283,641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9"/>
              </w:rPr>
              <w:t>Printing and Publishing</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K2 Pure Solutions NoCal, L.P.</w:t>
            </w:r>
            <w:r>
              <w:rPr>
                <w:rFonts w:ascii="Arial" w:cs="Arial" w:eastAsia="Arial" w:hAnsi="Arial"/>
                <w:sz w:val="15"/>
                <w:szCs w:val="15"/>
                <w:color w:val="auto"/>
                <w:vertAlign w:val="superscript"/>
              </w:rPr>
              <w:t>(11)</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9/10/2015</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6"/>
              </w:rPr>
              <w:t>Chemicals, Plastics and</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P+675</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5,476,250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5,525,637</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5,202,437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000"/>
              <w:spacing w:after="0" w:line="159" w:lineRule="exact"/>
              <w:rPr>
                <w:sz w:val="20"/>
                <w:szCs w:val="20"/>
                <w:color w:val="auto"/>
              </w:rPr>
            </w:pPr>
            <w:r>
              <w:rPr>
                <w:rFonts w:ascii="Arial" w:cs="Arial" w:eastAsia="Arial" w:hAnsi="Arial"/>
                <w:sz w:val="14"/>
                <w:szCs w:val="14"/>
                <w:color w:val="auto"/>
                <w:w w:val="87"/>
              </w:rPr>
              <w:t>Rubber</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KAR Auction Services, Inc.</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5/19/2017</w:t>
            </w:r>
          </w:p>
        </w:tc>
        <w:tc>
          <w:tcPr>
            <w:tcW w:w="160" w:type="dxa"/>
            <w:vAlign w:val="bottom"/>
          </w:tcPr>
          <w:p>
            <w:pPr>
              <w:spacing w:after="0"/>
              <w:rPr>
                <w:sz w:val="14"/>
                <w:szCs w:val="14"/>
                <w:color w:val="auto"/>
              </w:rPr>
            </w:pPr>
          </w:p>
        </w:tc>
        <w:tc>
          <w:tcPr>
            <w:tcW w:w="232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Automotive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5.00%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L+375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2,978,487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2,895,244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KIK Custom Products Inc.</w:t>
            </w:r>
            <w:r>
              <w:rPr>
                <w:rFonts w:ascii="Arial" w:cs="Arial" w:eastAsia="Arial" w:hAnsi="Arial"/>
                <w:sz w:val="15"/>
                <w:szCs w:val="15"/>
                <w:color w:val="auto"/>
                <w:vertAlign w:val="superscript"/>
              </w:rPr>
              <w:t>(7)</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5/31/2014</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6"/>
              </w:rPr>
              <w:t>Consumer Goods:</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8.50%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L+700</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4,987,500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4,847,186</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4,713,187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8"/>
              </w:rPr>
              <w:t>Non-Durable</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Medpace Holdings, Inc.</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6/17/2017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6.50%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L+500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1,966,025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1,895,250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(7)(11)</w:t>
            </w:r>
          </w:p>
        </w:tc>
        <w:tc>
          <w:tcPr>
            <w:tcW w:w="11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8"/>
              </w:rPr>
              <w:t>5/6/2018</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0"/>
              </w:rPr>
              <w:t>Media: Diversified and</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7.00%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L+550</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3,990,000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3,951,886</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3,670,800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6"/>
              </w:rPr>
              <w:t>Production</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8/1/2014</w:t>
            </w:r>
          </w:p>
        </w:tc>
        <w:tc>
          <w:tcPr>
            <w:tcW w:w="160" w:type="dxa"/>
            <w:vAlign w:val="bottom"/>
          </w:tcPr>
          <w:p>
            <w:pPr>
              <w:spacing w:after="0"/>
              <w:rPr>
                <w:sz w:val="14"/>
                <w:szCs w:val="14"/>
                <w:color w:val="auto"/>
              </w:rPr>
            </w:pPr>
          </w:p>
        </w:tc>
        <w:tc>
          <w:tcPr>
            <w:tcW w:w="2320" w:type="dxa"/>
            <w:vAlign w:val="bottom"/>
            <w:gridSpan w:val="3"/>
          </w:tcPr>
          <w:p>
            <w:pPr>
              <w:jc w:val="center"/>
              <w:ind w:right="160"/>
              <w:spacing w:after="0"/>
              <w:rPr>
                <w:sz w:val="20"/>
                <w:szCs w:val="20"/>
                <w:color w:val="auto"/>
              </w:rPr>
            </w:pPr>
            <w:r>
              <w:rPr>
                <w:rFonts w:ascii="Arial" w:cs="Arial" w:eastAsia="Arial" w:hAnsi="Arial"/>
                <w:sz w:val="14"/>
                <w:szCs w:val="14"/>
                <w:color w:val="auto"/>
                <w:w w:val="89"/>
              </w:rPr>
              <w:t>Media: Diversified and Production</w:t>
            </w: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2"/>
                <w:szCs w:val="12"/>
                <w:color w:val="auto"/>
              </w:rPr>
              <w:t>5.00%</w:t>
            </w:r>
            <w:r>
              <w:rPr>
                <w:rFonts w:ascii="Arial" w:cs="Arial" w:eastAsia="Arial" w:hAnsi="Arial"/>
                <w:sz w:val="18"/>
                <w:szCs w:val="18"/>
                <w:color w:val="auto"/>
                <w:vertAlign w:val="superscript"/>
              </w:rPr>
              <w:t>(8)</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L+400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5,498,048</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4,675,936</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3,802,818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Potter’s Holdings II, L.P.</w:t>
            </w:r>
            <w:r>
              <w:rPr>
                <w:rFonts w:ascii="Arial" w:cs="Arial" w:eastAsia="Arial" w:hAnsi="Arial"/>
                <w:sz w:val="15"/>
                <w:szCs w:val="15"/>
                <w:color w:val="auto"/>
                <w:vertAlign w:val="superscript"/>
              </w:rPr>
              <w:t>(11)</w:t>
            </w:r>
          </w:p>
        </w:tc>
        <w:tc>
          <w:tcPr>
            <w:tcW w:w="11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8"/>
              </w:rPr>
              <w:t>5/8/2017</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6"/>
              </w:rPr>
              <w:t>Containers, Packaging</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L+450</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1,995,000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1,976,257</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1,900,237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and Glass</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Pro Mach, Inc.</w:t>
            </w:r>
            <w:r>
              <w:rPr>
                <w:rFonts w:ascii="Arial" w:cs="Arial" w:eastAsia="Arial" w:hAnsi="Arial"/>
                <w:sz w:val="18"/>
                <w:szCs w:val="18"/>
                <w:color w:val="auto"/>
                <w:vertAlign w:val="superscript"/>
              </w:rPr>
              <w:t>(11)</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7/6/2017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9"/>
              </w:rPr>
              <w:t>Capital Equipment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997,500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987,986</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982,537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Securus Technologies,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5/31/2017</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87"/>
              </w:rPr>
              <w:t>Telecommunications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L+400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2,963,597</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2,891,503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Select Medical Corporation</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6/1/2018</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L+375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2,963,943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2,708,212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Seven Seas Cruises</w:t>
            </w:r>
            <w:r>
              <w:rPr>
                <w:rFonts w:ascii="Arial" w:cs="Arial" w:eastAsia="Arial" w:hAnsi="Arial"/>
                <w:sz w:val="18"/>
                <w:szCs w:val="18"/>
                <w:color w:val="auto"/>
                <w:vertAlign w:val="superscript"/>
              </w:rPr>
              <w:t>(5) (6) (7)</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5/15/2019</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7"/>
              </w:rPr>
              <w:t>Hotel, Gaming and Leisure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9.13%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3,000,000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3,000,000</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2,970,000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Sotera Defense Solutions, Inc.</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4/22/2017</w:t>
            </w:r>
          </w:p>
        </w:tc>
        <w:tc>
          <w:tcPr>
            <w:tcW w:w="160" w:type="dxa"/>
            <w:vAlign w:val="bottom"/>
          </w:tcPr>
          <w:p>
            <w:pPr>
              <w:spacing w:after="0"/>
              <w:rPr>
                <w:sz w:val="14"/>
                <w:szCs w:val="14"/>
                <w:color w:val="auto"/>
              </w:rPr>
            </w:pPr>
          </w:p>
        </w:tc>
        <w:tc>
          <w:tcPr>
            <w:tcW w:w="232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Aerospace and Defense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7.00%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L+550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2,964,848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2,917,688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Tank Intermediate Holding Corp.</w:t>
            </w:r>
            <w:r>
              <w:rPr>
                <w:rFonts w:ascii="Arial" w:cs="Arial" w:eastAsia="Arial" w:hAnsi="Arial"/>
                <w:sz w:val="15"/>
                <w:szCs w:val="15"/>
                <w:color w:val="auto"/>
                <w:vertAlign w:val="superscript"/>
              </w:rPr>
              <w:t>(11)</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4/15/2016</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6"/>
              </w:rPr>
              <w:t>Containers, Packaging</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5.00%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L+375</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1,835,472</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1,831,420</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1,807,940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and Glass</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Terex Corporation</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4/28/2017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9"/>
              </w:rPr>
              <w:t>Capital Equipment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L+400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1,980,598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1,962,500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Triple Point Technology,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4/14/2016</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8"/>
              </w:rPr>
              <w:t>High Tech Industries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4,968,750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4,923,769</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4,819,688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Univita Health Inc.</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6/19/2017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6"/>
              </w:rPr>
              <w:t>Consumer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4"/>
                <w:szCs w:val="14"/>
                <w:color w:val="auto"/>
                <w:w w:val="93"/>
              </w:rPr>
              <w:t>2,964,110</w:t>
            </w: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2,827,913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U.S. Healthworks Holding Company,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6/15/2016</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5"/>
              </w:rPr>
              <w:t>Healthcare and Pharmaceuticals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2,964,480</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2,887,763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Valitas Health Services, Inc.</w:t>
            </w:r>
            <w:r>
              <w:rPr>
                <w:rFonts w:ascii="Arial" w:cs="Arial" w:eastAsia="Arial" w:hAnsi="Arial"/>
                <w:sz w:val="18"/>
                <w:szCs w:val="18"/>
                <w:color w:val="auto"/>
                <w:vertAlign w:val="superscript"/>
              </w:rPr>
              <w:t>(11)</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6/2/2017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Healthcare and Pharmaceuticals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5.75%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L+450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1,496,250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1,489,223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1,406,475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4/19/2016</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2"/>
              </w:rPr>
              <w:t>Media: Advertising,</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7.00%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L+550</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4,750,000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4,694,273</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9"/>
              </w:rPr>
              <w:t>Printing and Publishing</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Virtual Radiologic Corporation</w:t>
            </w:r>
            <w:r>
              <w:rPr>
                <w:rFonts w:ascii="Arial" w:cs="Arial" w:eastAsia="Arial" w:hAnsi="Arial"/>
                <w:sz w:val="18"/>
                <w:szCs w:val="18"/>
                <w:color w:val="auto"/>
                <w:vertAlign w:val="superscript"/>
              </w:rPr>
              <w:t>(11)</w:t>
            </w:r>
          </w:p>
        </w:tc>
        <w:tc>
          <w:tcPr>
            <w:tcW w:w="1320" w:type="dxa"/>
            <w:vAlign w:val="bottom"/>
            <w:gridSpan w:val="3"/>
          </w:tcPr>
          <w:p>
            <w:pPr>
              <w:jc w:val="center"/>
              <w:ind w:left="352"/>
              <w:spacing w:after="0"/>
              <w:rPr>
                <w:sz w:val="20"/>
                <w:szCs w:val="20"/>
                <w:color w:val="auto"/>
              </w:rPr>
            </w:pPr>
            <w:r>
              <w:rPr>
                <w:rFonts w:ascii="Arial" w:cs="Arial" w:eastAsia="Arial" w:hAnsi="Arial"/>
                <w:sz w:val="14"/>
                <w:szCs w:val="14"/>
                <w:color w:val="auto"/>
                <w:w w:val="88"/>
              </w:rPr>
              <w:t>12/22/2016</w:t>
            </w: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7.75%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P+450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2,963,172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2,812,950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Water Pik, Inc. </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8/10/2017</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7"/>
              </w:rPr>
              <w:t>Consumer Goods: Durable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6.75%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L+525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3,500,000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3,465,501</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3,430,000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Yonkers Racing Corporation</w:t>
            </w:r>
            <w:r>
              <w:rPr>
                <w:rFonts w:ascii="Arial" w:cs="Arial" w:eastAsia="Arial" w:hAnsi="Arial"/>
                <w:sz w:val="18"/>
                <w:szCs w:val="18"/>
                <w:color w:val="auto"/>
                <w:vertAlign w:val="superscript"/>
              </w:rPr>
              <w:t>(5) (6)</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7/15/2016</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7"/>
              </w:rPr>
              <w:t>Hotel, Gaming and Leisure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11.38%</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4,355,966</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6"/>
              </w:rPr>
              <w:t>4,080,000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First Lien Secured Debt</w:t>
            </w: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2"/>
              </w:rPr>
              <w:t>97,975,314</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5"/>
              </w:rPr>
              <w:t>94,333,126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-3197860</wp:posOffset>
            </wp:positionV>
            <wp:extent cx="7246620" cy="1028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4"/>
              </w:rPr>
              <w:t>Current</w:t>
            </w:r>
          </w:p>
        </w:tc>
        <w:tc>
          <w:tcPr>
            <w:tcW w:w="8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2"/>
                <w:szCs w:val="12"/>
                <w:color w:val="auto"/>
              </w:rPr>
            </w:pPr>
          </w:p>
        </w:tc>
        <w:tc>
          <w:tcPr>
            <w:tcW w:w="6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1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36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Industry</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Coupon</w:t>
            </w:r>
          </w:p>
        </w:tc>
        <w:tc>
          <w:tcPr>
            <w:tcW w:w="840" w:type="dxa"/>
            <w:vAlign w:val="bottom"/>
            <w:gridSpan w:val="2"/>
          </w:tcPr>
          <w:p>
            <w:pPr>
              <w:jc w:val="center"/>
              <w:ind w:right="180"/>
              <w:spacing w:after="0" w:line="168" w:lineRule="exact"/>
              <w:rPr>
                <w:sz w:val="20"/>
                <w:szCs w:val="20"/>
                <w:color w:val="auto"/>
              </w:rPr>
            </w:pPr>
            <w:r>
              <w:rPr>
                <w:rFonts w:ascii="Arial" w:cs="Arial" w:eastAsia="Arial" w:hAnsi="Arial"/>
                <w:sz w:val="12"/>
                <w:szCs w:val="12"/>
                <w:b w:val="1"/>
                <w:bCs w:val="1"/>
                <w:color w:val="auto"/>
                <w:w w:val="98"/>
              </w:rPr>
              <w:t>Index</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ind w:right="160"/>
              <w:spacing w:after="0" w:line="168"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Debt—10.1%</w:t>
            </w: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1"/>
                <w:szCs w:val="11"/>
                <w:color w:val="auto"/>
              </w:rPr>
              <w:t>Autoparts Holdings Limited</w:t>
            </w:r>
            <w:r>
              <w:rPr>
                <w:rFonts w:ascii="Arial" w:cs="Arial" w:eastAsia="Arial" w:hAnsi="Arial"/>
                <w:sz w:val="17"/>
                <w:szCs w:val="17"/>
                <w:color w:val="auto"/>
                <w:vertAlign w:val="superscript"/>
              </w:rPr>
              <w:t>(11)</w:t>
            </w:r>
          </w:p>
        </w:tc>
        <w:tc>
          <w:tcPr>
            <w:tcW w:w="1740" w:type="dxa"/>
            <w:vAlign w:val="bottom"/>
            <w:gridSpan w:val="2"/>
          </w:tcPr>
          <w:p>
            <w:pPr>
              <w:jc w:val="center"/>
              <w:ind w:left="1092"/>
              <w:spacing w:after="0" w:line="149" w:lineRule="exact"/>
              <w:rPr>
                <w:sz w:val="20"/>
                <w:szCs w:val="20"/>
                <w:color w:val="auto"/>
              </w:rPr>
            </w:pPr>
            <w:r>
              <w:rPr>
                <w:rFonts w:ascii="Arial" w:cs="Arial" w:eastAsia="Arial" w:hAnsi="Arial"/>
                <w:sz w:val="14"/>
                <w:szCs w:val="14"/>
                <w:color w:val="auto"/>
                <w:w w:val="86"/>
              </w:rPr>
              <w:t>1/29/2018</w:t>
            </w:r>
          </w:p>
        </w:tc>
        <w:tc>
          <w:tcPr>
            <w:tcW w:w="14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Automotive</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10.50%</w:t>
            </w:r>
          </w:p>
        </w:tc>
        <w:tc>
          <w:tcPr>
            <w:tcW w:w="8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L+900</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995,000</w:t>
            </w:r>
          </w:p>
        </w:tc>
        <w:tc>
          <w:tcPr>
            <w:tcW w:w="9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  985,000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1740" w:type="dxa"/>
            <w:vAlign w:val="bottom"/>
            <w:gridSpan w:val="2"/>
            <w:shd w:val="clear" w:color="auto" w:fill="CCEEFF"/>
          </w:tcPr>
          <w:p>
            <w:pPr>
              <w:jc w:val="center"/>
              <w:ind w:left="1092"/>
              <w:spacing w:after="0" w:line="138" w:lineRule="exact"/>
              <w:rPr>
                <w:sz w:val="20"/>
                <w:szCs w:val="20"/>
                <w:color w:val="auto"/>
              </w:rPr>
            </w:pPr>
            <w:r>
              <w:rPr>
                <w:rFonts w:ascii="Arial" w:cs="Arial" w:eastAsia="Arial" w:hAnsi="Arial"/>
                <w:sz w:val="14"/>
                <w:szCs w:val="14"/>
                <w:color w:val="auto"/>
                <w:w w:val="86"/>
              </w:rPr>
              <w:t>5/13/2017</w:t>
            </w:r>
          </w:p>
        </w:tc>
        <w:tc>
          <w:tcPr>
            <w:tcW w:w="14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4"/>
              </w:rPr>
              <w:t>Healthcare and</w:t>
            </w:r>
          </w:p>
        </w:tc>
        <w:tc>
          <w:tcPr>
            <w:tcW w:w="8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10.25%</w:t>
            </w:r>
          </w:p>
        </w:tc>
        <w:tc>
          <w:tcPr>
            <w:tcW w:w="84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L+850</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4,000,000</w:t>
            </w:r>
          </w:p>
        </w:tc>
        <w:tc>
          <w:tcPr>
            <w:tcW w:w="7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3,942,406</w:t>
            </w:r>
          </w:p>
        </w:tc>
        <w:tc>
          <w:tcPr>
            <w:tcW w:w="9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3,940,000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4"/>
              </w:rPr>
              <w:t>Pharmaceuticals</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(7)</w:t>
            </w:r>
          </w:p>
        </w:tc>
        <w:tc>
          <w:tcPr>
            <w:tcW w:w="1740" w:type="dxa"/>
            <w:vAlign w:val="bottom"/>
            <w:gridSpan w:val="2"/>
          </w:tcPr>
          <w:p>
            <w:pPr>
              <w:jc w:val="center"/>
              <w:ind w:left="1092"/>
              <w:spacing w:after="0" w:line="138" w:lineRule="exact"/>
              <w:rPr>
                <w:sz w:val="20"/>
                <w:szCs w:val="20"/>
                <w:color w:val="auto"/>
              </w:rPr>
            </w:pPr>
            <w:r>
              <w:rPr>
                <w:rFonts w:ascii="Arial" w:cs="Arial" w:eastAsia="Arial" w:hAnsi="Arial"/>
                <w:sz w:val="14"/>
                <w:szCs w:val="14"/>
                <w:color w:val="auto"/>
                <w:w w:val="86"/>
              </w:rPr>
              <w:t>11/6/2018</w:t>
            </w:r>
          </w:p>
        </w:tc>
        <w:tc>
          <w:tcPr>
            <w:tcW w:w="140" w:type="dxa"/>
            <w:vAlign w:val="bottom"/>
          </w:tcPr>
          <w:p>
            <w:pPr>
              <w:spacing w:after="0"/>
              <w:rPr>
                <w:sz w:val="11"/>
                <w:szCs w:val="11"/>
                <w:color w:val="auto"/>
              </w:rPr>
            </w:pPr>
          </w:p>
        </w:tc>
        <w:tc>
          <w:tcPr>
            <w:tcW w:w="136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1"/>
              </w:rPr>
              <w:t>Media: Diversified</w:t>
            </w:r>
          </w:p>
        </w:tc>
        <w:tc>
          <w:tcPr>
            <w:tcW w:w="8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10.25%</w:t>
            </w:r>
          </w:p>
        </w:tc>
        <w:tc>
          <w:tcPr>
            <w:tcW w:w="84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L+875</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1,500,000</w:t>
            </w:r>
          </w:p>
        </w:tc>
        <w:tc>
          <w:tcPr>
            <w:tcW w:w="7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1,485,581</w:t>
            </w:r>
          </w:p>
        </w:tc>
        <w:tc>
          <w:tcPr>
            <w:tcW w:w="980" w:type="dxa"/>
            <w:vAlign w:val="bottom"/>
            <w:gridSpan w:val="5"/>
          </w:tcPr>
          <w:p>
            <w:pPr>
              <w:jc w:val="right"/>
              <w:ind w:right="80"/>
              <w:spacing w:after="0" w:line="138" w:lineRule="exact"/>
              <w:rPr>
                <w:sz w:val="20"/>
                <w:szCs w:val="20"/>
                <w:color w:val="auto"/>
              </w:rPr>
            </w:pPr>
            <w:r>
              <w:rPr>
                <w:rFonts w:ascii="Arial" w:cs="Arial" w:eastAsia="Arial" w:hAnsi="Arial"/>
                <w:sz w:val="14"/>
                <w:szCs w:val="14"/>
                <w:color w:val="auto"/>
              </w:rPr>
              <w:t>1,380,000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and Production</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ROC Finance LLC and ROC Finance 1 Corp</w:t>
            </w:r>
            <w:r>
              <w:rPr>
                <w:rFonts w:ascii="Arial" w:cs="Arial" w:eastAsia="Arial" w:hAnsi="Arial"/>
                <w:sz w:val="15"/>
                <w:szCs w:val="15"/>
                <w:color w:val="auto"/>
                <w:vertAlign w:val="superscript"/>
              </w:rPr>
              <w:t>(5)</w:t>
            </w:r>
          </w:p>
        </w:tc>
        <w:tc>
          <w:tcPr>
            <w:tcW w:w="1740" w:type="dxa"/>
            <w:vAlign w:val="bottom"/>
            <w:gridSpan w:val="2"/>
            <w:shd w:val="clear" w:color="auto" w:fill="CCEEFF"/>
          </w:tcPr>
          <w:p>
            <w:pPr>
              <w:jc w:val="center"/>
              <w:ind w:left="1112"/>
              <w:spacing w:after="0" w:line="138" w:lineRule="exact"/>
              <w:rPr>
                <w:sz w:val="20"/>
                <w:szCs w:val="20"/>
                <w:color w:val="auto"/>
              </w:rPr>
            </w:pPr>
            <w:r>
              <w:rPr>
                <w:rFonts w:ascii="Arial" w:cs="Arial" w:eastAsia="Arial" w:hAnsi="Arial"/>
                <w:sz w:val="14"/>
                <w:szCs w:val="14"/>
                <w:color w:val="auto"/>
                <w:w w:val="88"/>
              </w:rPr>
              <w:t>9/1/2018</w:t>
            </w:r>
          </w:p>
        </w:tc>
        <w:tc>
          <w:tcPr>
            <w:tcW w:w="14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9"/>
              </w:rPr>
              <w:t>Hotel, Gaming</w:t>
            </w:r>
          </w:p>
        </w:tc>
        <w:tc>
          <w:tcPr>
            <w:tcW w:w="8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12.13%</w:t>
            </w:r>
          </w:p>
        </w:tc>
        <w:tc>
          <w:tcPr>
            <w:tcW w:w="8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2,000,000</w:t>
            </w:r>
          </w:p>
        </w:tc>
        <w:tc>
          <w:tcPr>
            <w:tcW w:w="7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1,965,834</w:t>
            </w:r>
          </w:p>
        </w:tc>
        <w:tc>
          <w:tcPr>
            <w:tcW w:w="9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2,020,000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7"/>
              </w:rPr>
              <w:t>and Leisure</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1740" w:type="dxa"/>
            <w:vAlign w:val="bottom"/>
            <w:gridSpan w:val="2"/>
          </w:tcPr>
          <w:p>
            <w:pPr>
              <w:jc w:val="center"/>
              <w:ind w:left="1112"/>
              <w:spacing w:after="0" w:line="149" w:lineRule="exact"/>
              <w:rPr>
                <w:sz w:val="20"/>
                <w:szCs w:val="20"/>
                <w:color w:val="auto"/>
              </w:rPr>
            </w:pPr>
            <w:r>
              <w:rPr>
                <w:rFonts w:ascii="Arial" w:cs="Arial" w:eastAsia="Arial" w:hAnsi="Arial"/>
                <w:sz w:val="14"/>
                <w:szCs w:val="14"/>
                <w:color w:val="auto"/>
                <w:w w:val="88"/>
              </w:rPr>
              <w:t>5/9/2018</w:t>
            </w:r>
          </w:p>
        </w:tc>
        <w:tc>
          <w:tcPr>
            <w:tcW w:w="140" w:type="dxa"/>
            <w:vAlign w:val="bottom"/>
          </w:tcPr>
          <w:p>
            <w:pPr>
              <w:spacing w:after="0"/>
              <w:rPr>
                <w:sz w:val="13"/>
                <w:szCs w:val="13"/>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Utilities: Water</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8.50%</w:t>
            </w:r>
          </w:p>
        </w:tc>
        <w:tc>
          <w:tcPr>
            <w:tcW w:w="8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L+725</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990,624</w:t>
            </w:r>
          </w:p>
        </w:tc>
        <w:tc>
          <w:tcPr>
            <w:tcW w:w="280" w:type="dxa"/>
            <w:vAlign w:val="bottom"/>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9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156"/>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Affinion Group Holdings, Inc.</w:t>
            </w:r>
            <w:r>
              <w:rPr>
                <w:rFonts w:ascii="Arial" w:cs="Arial" w:eastAsia="Arial" w:hAnsi="Arial"/>
                <w:sz w:val="15"/>
                <w:szCs w:val="15"/>
                <w:color w:val="auto"/>
                <w:vertAlign w:val="superscript"/>
              </w:rPr>
              <w:t>(5)</w:t>
            </w:r>
          </w:p>
        </w:tc>
        <w:tc>
          <w:tcPr>
            <w:tcW w:w="1880" w:type="dxa"/>
            <w:vAlign w:val="bottom"/>
            <w:gridSpan w:val="3"/>
            <w:shd w:val="clear" w:color="auto" w:fill="CCEEFF"/>
          </w:tcPr>
          <w:p>
            <w:pPr>
              <w:jc w:val="center"/>
              <w:ind w:left="972"/>
              <w:spacing w:after="0" w:line="138" w:lineRule="exact"/>
              <w:rPr>
                <w:sz w:val="20"/>
                <w:szCs w:val="20"/>
                <w:color w:val="auto"/>
              </w:rPr>
            </w:pPr>
            <w:r>
              <w:rPr>
                <w:rFonts w:ascii="Arial" w:cs="Arial" w:eastAsia="Arial" w:hAnsi="Arial"/>
                <w:sz w:val="14"/>
                <w:szCs w:val="14"/>
                <w:color w:val="auto"/>
                <w:w w:val="85"/>
              </w:rPr>
              <w:t>11/15/2015</w:t>
            </w:r>
          </w:p>
        </w:tc>
        <w:tc>
          <w:tcPr>
            <w:tcW w:w="1360" w:type="dxa"/>
            <w:vAlign w:val="bottom"/>
            <w:gridSpan w:val="3"/>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Goods:</w:t>
            </w:r>
          </w:p>
        </w:tc>
        <w:tc>
          <w:tcPr>
            <w:tcW w:w="8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11.63%</w:t>
            </w:r>
          </w:p>
        </w:tc>
        <w:tc>
          <w:tcPr>
            <w:tcW w:w="8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1,500,000</w:t>
            </w:r>
          </w:p>
        </w:tc>
        <w:tc>
          <w:tcPr>
            <w:tcW w:w="7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1,524,891</w:t>
            </w:r>
          </w:p>
        </w:tc>
        <w:tc>
          <w:tcPr>
            <w:tcW w:w="9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1,155,000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90"/>
              </w:rPr>
              <w:t>Non-Durable</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Trusthouse Services Group, Inc.</w:t>
            </w:r>
            <w:r>
              <w:rPr>
                <w:rFonts w:ascii="Arial" w:cs="Arial" w:eastAsia="Arial" w:hAnsi="Arial"/>
                <w:sz w:val="15"/>
                <w:szCs w:val="15"/>
                <w:color w:val="auto"/>
                <w:vertAlign w:val="superscript"/>
              </w:rPr>
              <w:t>(5) (7)</w:t>
            </w:r>
          </w:p>
        </w:tc>
        <w:tc>
          <w:tcPr>
            <w:tcW w:w="1740" w:type="dxa"/>
            <w:vAlign w:val="bottom"/>
            <w:gridSpan w:val="2"/>
          </w:tcPr>
          <w:p>
            <w:pPr>
              <w:jc w:val="center"/>
              <w:ind w:left="1092"/>
              <w:spacing w:after="0" w:line="138" w:lineRule="exact"/>
              <w:rPr>
                <w:sz w:val="20"/>
                <w:szCs w:val="20"/>
                <w:color w:val="auto"/>
              </w:rPr>
            </w:pPr>
            <w:r>
              <w:rPr>
                <w:rFonts w:ascii="Arial" w:cs="Arial" w:eastAsia="Arial" w:hAnsi="Arial"/>
                <w:sz w:val="14"/>
                <w:szCs w:val="14"/>
                <w:color w:val="auto"/>
                <w:w w:val="86"/>
              </w:rPr>
              <w:t>7/31/2018</w:t>
            </w:r>
          </w:p>
        </w:tc>
        <w:tc>
          <w:tcPr>
            <w:tcW w:w="140" w:type="dxa"/>
            <w:vAlign w:val="bottom"/>
          </w:tcPr>
          <w:p>
            <w:pPr>
              <w:spacing w:after="0"/>
              <w:rPr>
                <w:sz w:val="11"/>
                <w:szCs w:val="11"/>
                <w:color w:val="auto"/>
              </w:rPr>
            </w:pPr>
          </w:p>
        </w:tc>
        <w:tc>
          <w:tcPr>
            <w:tcW w:w="13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4"/>
              </w:rPr>
              <w:t>Beverage, Food</w:t>
            </w:r>
          </w:p>
        </w:tc>
        <w:tc>
          <w:tcPr>
            <w:tcW w:w="8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14.00%</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3,762,500</w:t>
            </w:r>
          </w:p>
        </w:tc>
        <w:tc>
          <w:tcPr>
            <w:tcW w:w="7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3,688,091</w:t>
            </w:r>
          </w:p>
        </w:tc>
        <w:tc>
          <w:tcPr>
            <w:tcW w:w="980" w:type="dxa"/>
            <w:vAlign w:val="bottom"/>
            <w:gridSpan w:val="5"/>
          </w:tcPr>
          <w:p>
            <w:pPr>
              <w:jc w:val="right"/>
              <w:ind w:right="80"/>
              <w:spacing w:after="0" w:line="138" w:lineRule="exact"/>
              <w:rPr>
                <w:sz w:val="20"/>
                <w:szCs w:val="20"/>
                <w:color w:val="auto"/>
              </w:rPr>
            </w:pPr>
            <w:r>
              <w:rPr>
                <w:rFonts w:ascii="Arial" w:cs="Arial" w:eastAsia="Arial" w:hAnsi="Arial"/>
                <w:sz w:val="14"/>
                <w:szCs w:val="14"/>
                <w:color w:val="auto"/>
              </w:rPr>
              <w:t>3,687,250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Trusthouse Services Group, Inc.</w:t>
            </w:r>
            <w:r>
              <w:rPr>
                <w:rFonts w:ascii="Arial" w:cs="Arial" w:eastAsia="Arial" w:hAnsi="Arial"/>
                <w:sz w:val="15"/>
                <w:szCs w:val="15"/>
                <w:color w:val="auto"/>
                <w:vertAlign w:val="superscript"/>
              </w:rPr>
              <w:t>(5) (9)</w:t>
            </w:r>
          </w:p>
        </w:tc>
        <w:tc>
          <w:tcPr>
            <w:tcW w:w="1740" w:type="dxa"/>
            <w:vAlign w:val="bottom"/>
            <w:gridSpan w:val="2"/>
            <w:shd w:val="clear" w:color="auto" w:fill="CCEEFF"/>
          </w:tcPr>
          <w:p>
            <w:pPr>
              <w:jc w:val="center"/>
              <w:ind w:left="1092"/>
              <w:spacing w:after="0" w:line="138" w:lineRule="exact"/>
              <w:rPr>
                <w:sz w:val="20"/>
                <w:szCs w:val="20"/>
                <w:color w:val="auto"/>
              </w:rPr>
            </w:pPr>
            <w:r>
              <w:rPr>
                <w:rFonts w:ascii="Arial" w:cs="Arial" w:eastAsia="Arial" w:hAnsi="Arial"/>
                <w:sz w:val="14"/>
                <w:szCs w:val="14"/>
                <w:color w:val="auto"/>
                <w:w w:val="86"/>
              </w:rPr>
              <w:t>7/31/2018</w:t>
            </w:r>
          </w:p>
        </w:tc>
        <w:tc>
          <w:tcPr>
            <w:tcW w:w="14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4"/>
              </w:rPr>
              <w:t>Beverage, Food</w:t>
            </w:r>
          </w:p>
        </w:tc>
        <w:tc>
          <w:tcPr>
            <w:tcW w:w="8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2,206,000</w:t>
            </w:r>
          </w:p>
        </w:tc>
        <w:tc>
          <w:tcPr>
            <w:tcW w:w="7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9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2,161,880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7,374,862</w:t>
            </w:r>
          </w:p>
        </w:tc>
        <w:tc>
          <w:tcPr>
            <w:tcW w:w="98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7,004,130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Interests—0.1%</w:t>
            </w: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180" w:type="dxa"/>
            <w:vAlign w:val="bottom"/>
          </w:tcPr>
          <w:p>
            <w:pPr>
              <w:spacing w:after="0"/>
              <w:rPr>
                <w:sz w:val="11"/>
                <w:szCs w:val="11"/>
                <w:color w:val="auto"/>
              </w:rPr>
            </w:pPr>
          </w:p>
        </w:tc>
        <w:tc>
          <w:tcPr>
            <w:tcW w:w="70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4"/>
              </w:rPr>
              <w:t>Beverage, Food</w:t>
            </w:r>
          </w:p>
        </w:tc>
        <w:tc>
          <w:tcPr>
            <w:tcW w:w="8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12.50%</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158</w:t>
            </w:r>
          </w:p>
        </w:tc>
        <w:tc>
          <w:tcPr>
            <w:tcW w:w="7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95,000</w:t>
            </w:r>
          </w:p>
        </w:tc>
        <w:tc>
          <w:tcPr>
            <w:tcW w:w="980" w:type="dxa"/>
            <w:vAlign w:val="bottom"/>
            <w:gridSpan w:val="5"/>
          </w:tcPr>
          <w:p>
            <w:pPr>
              <w:jc w:val="right"/>
              <w:ind w:right="80"/>
              <w:spacing w:after="0" w:line="138" w:lineRule="exact"/>
              <w:rPr>
                <w:sz w:val="20"/>
                <w:szCs w:val="20"/>
                <w:color w:val="auto"/>
              </w:rPr>
            </w:pPr>
            <w:r>
              <w:rPr>
                <w:rFonts w:ascii="Arial" w:cs="Arial" w:eastAsia="Arial" w:hAnsi="Arial"/>
                <w:sz w:val="14"/>
                <w:szCs w:val="14"/>
                <w:color w:val="auto"/>
              </w:rPr>
              <w:t>96,985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280" w:type="dxa"/>
            <w:vAlign w:val="bottom"/>
            <w:shd w:val="clear" w:color="auto" w:fill="CCEEFF"/>
          </w:tcPr>
          <w:p>
            <w:pPr>
              <w:spacing w:after="0"/>
              <w:rPr>
                <w:sz w:val="12"/>
                <w:szCs w:val="12"/>
                <w:color w:val="auto"/>
              </w:rPr>
            </w:pPr>
          </w:p>
        </w:tc>
        <w:tc>
          <w:tcPr>
            <w:tcW w:w="6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Basis Point</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8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Current</w:t>
            </w:r>
          </w:p>
        </w:tc>
        <w:tc>
          <w:tcPr>
            <w:tcW w:w="3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Fair Value</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162"/>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Industry</w:t>
            </w: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Coupon</w:t>
            </w:r>
          </w:p>
        </w:tc>
        <w:tc>
          <w:tcPr>
            <w:tcW w:w="30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(1)</w:t>
            </w:r>
          </w:p>
        </w:tc>
        <w:tc>
          <w:tcPr>
            <w:tcW w:w="3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6"/>
              </w:rPr>
              <w:t>Beverage, Food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6"/>
              </w:rPr>
              <w:t>and Tobacco</w:t>
            </w:r>
          </w:p>
        </w:tc>
        <w:tc>
          <w:tcPr>
            <w:tcW w:w="500" w:type="dxa"/>
            <w:vAlign w:val="bottom"/>
          </w:tcPr>
          <w:p>
            <w:pPr>
              <w:ind w:left="380"/>
              <w:spacing w:after="0" w:line="159" w:lineRule="exact"/>
              <w:rPr>
                <w:sz w:val="20"/>
                <w:szCs w:val="20"/>
                <w:color w:val="auto"/>
              </w:rPr>
            </w:pPr>
            <w:r>
              <w:rPr>
                <w:rFonts w:ascii="Arial" w:cs="Arial" w:eastAsia="Arial" w:hAnsi="Arial"/>
                <w:sz w:val="14"/>
                <w:szCs w:val="14"/>
                <w:color w:val="auto"/>
                <w:w w:val="71"/>
              </w:rPr>
              <w:t>—</w:t>
            </w:r>
          </w:p>
        </w:tc>
        <w:tc>
          <w:tcPr>
            <w:tcW w:w="300" w:type="dxa"/>
            <w:vAlign w:val="bottom"/>
          </w:tcPr>
          <w:p>
            <w:pPr>
              <w:spacing w:after="0"/>
              <w:rPr>
                <w:sz w:val="14"/>
                <w:szCs w:val="14"/>
                <w:color w:val="auto"/>
              </w:rPr>
            </w:pPr>
          </w:p>
        </w:tc>
        <w:tc>
          <w:tcPr>
            <w:tcW w:w="660" w:type="dxa"/>
            <w:vAlign w:val="bottom"/>
          </w:tcPr>
          <w:p>
            <w:pPr>
              <w:ind w:left="540"/>
              <w:spacing w:after="0" w:line="159" w:lineRule="exact"/>
              <w:rPr>
                <w:sz w:val="20"/>
                <w:szCs w:val="20"/>
                <w:color w:val="auto"/>
              </w:rPr>
            </w:pPr>
            <w:r>
              <w:rPr>
                <w:rFonts w:ascii="Arial" w:cs="Arial" w:eastAsia="Arial" w:hAnsi="Arial"/>
                <w:sz w:val="14"/>
                <w:szCs w:val="14"/>
                <w:color w:val="auto"/>
                <w:w w:val="71"/>
              </w:rPr>
              <w:t>—</w:t>
            </w:r>
          </w:p>
        </w:tc>
        <w:tc>
          <w:tcPr>
            <w:tcW w:w="102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8</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5,000</w:t>
            </w:r>
          </w:p>
        </w:tc>
        <w:tc>
          <w:tcPr>
            <w:tcW w:w="360" w:type="dxa"/>
            <w:vAlign w:val="bottom"/>
            <w:gridSpan w:val="2"/>
          </w:tcPr>
          <w:p>
            <w:pPr>
              <w:ind w:left="28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114,829,621</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110,724,241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6,987,450</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right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Equivalents—127.8%</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4"/>
              </w:rPr>
              <w:t>121,817,071</w:t>
            </w:r>
          </w:p>
        </w:tc>
        <w:tc>
          <w:tcPr>
            <w:tcW w:w="360" w:type="dxa"/>
            <w:vAlign w:val="bottom"/>
            <w:gridSpan w:val="2"/>
          </w:tcPr>
          <w:p>
            <w:pPr>
              <w:ind w:left="28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7"/>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Liabilities in Excess of Other Assets—(27.8%)</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w w:val="90"/>
              </w:rPr>
              <w:t>(25,639,586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Net Assets—100.0%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92,072,105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80" w:hanging="332"/>
        <w:spacing w:after="0" w:line="230"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 or prime rate (Prime or “P”) and its coupon is subject to a LIBOR or prime rate floor.</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8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right="10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securities are pledged as collateral under PennantPark Floating Rate Funding I, LLC’s Credit Facility.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Except where the context suggests otherwise, the terms “Company,” “we,” “our” or “us” refer to PennantPark Floating Rate Capital Ltd.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PennantPark Floating Rate Capital Ltd. was organized as a Maryland corporation on October 28, 2010. The Company is a closed-end, externally managed, non-diversified investment company that has elected to be treated as a business development company, or BDC, under the Investment Company Act of 1940, as amended, or the 1940 Act.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high current income and capital appreciation. We will seek to achieve our investment objectives by investing primarily in floating rate loans and other instruments made to private middle-market companies whose debt is rated below investment grade. “Floating Rate Loans” are defined as loans that typically pay interest at variable-rates,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13, 2011, we closed our initial public offering of 6,700,000 shares, and on May 11, 2011 the underwriters exercised their overallotment option and purchased an additional 150,000 shares, resulting in total gross proceeds of $102.8 million. After deducting the underwriters’ discount, or sales load, of $5.1 million, we received net proceeds of $97.7 million from our initial public offering. Additionally, offering costs were estimated at $1.0 million. The underwriters agreed to reimburse, and have paid us, $0.4 million of the estimated $1.0 million of offering expenses. On March 4, 2011, the Company sold 667 shares of common stock for $10,000 ($15.00 per share) to the Investment Adviser.</w:t>
      </w:r>
    </w:p>
    <w:p>
      <w:pPr>
        <w:spacing w:after="0" w:line="11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are externally managed by PennantPark Investment Advisers, LLC, or the Investment Adviser or PennantPark Investment Advisers. PennantPark Investment Administration, LLC, or the Administrator or PennantPark Investment Administration, provides the administrative services necessary for us to operate.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April 13, 2011, PennantPark Floating Rate Capital Ltd. closed its initial public offering and our common stock trades on the NASDAQ Global Select Market under the symbol “PFLT”. We entered into an investment management agreement, the Investment Management Agreement, with PennantPark Investment Advisers, LLC the Investment Adviser or Adviser, an external adviser that manages our day-to-day operations. We also entered into an administration agreement, the Administration Agreement, with the Administrator, that provides the administrative services necessary for us to operate.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on May 18, 2011. We formed Funding I, in order to establish a senior secured revolving facility, the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commercial paper rate that approximates LIBOR plus 225 basis points during the revolving period. The Credit Facility is secured by all of the assets held by Funding I. See Note 10 to the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567"/>
        <w:spacing w:after="0"/>
        <w:tabs>
          <w:tab w:leader="none" w:pos="1480" w:val="left"/>
        </w:tabs>
        <w:numPr>
          <w:ilvl w:val="0"/>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900" w:right="20" w:hanging="446"/>
        <w:spacing w:after="0" w:line="256"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0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1480" w:hanging="567"/>
        <w:spacing w:after="0"/>
        <w:tabs>
          <w:tab w:leader="none" w:pos="148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7 to the Consolidated Financial Statements.</w:t>
      </w:r>
    </w:p>
    <w:p>
      <w:pPr>
        <w:spacing w:after="0" w:line="262" w:lineRule="exact"/>
        <w:rPr>
          <w:sz w:val="20"/>
          <w:szCs w:val="20"/>
          <w:color w:val="auto"/>
        </w:rPr>
      </w:pPr>
    </w:p>
    <w:p>
      <w:pPr>
        <w:ind w:left="1480" w:hanging="567"/>
        <w:spacing w:after="0"/>
        <w:tabs>
          <w:tab w:leader="none" w:pos="148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567"/>
        <w:spacing w:after="0"/>
        <w:tabs>
          <w:tab w:leader="none" w:pos="148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Assets related to transactions that do not meet ASC Topic 860—Transfers and Servicing requirements for accounting sale treatment are reflected in the Consolidated Balance Sheet as investments. Any such assets are owned by Funding I, the creditors of Funding I have received security interests in any such assets are not intended to be available to the creditors of the Company (or any affiliate of the Company).</w:t>
      </w:r>
    </w:p>
    <w:p>
      <w:pPr>
        <w:spacing w:after="0" w:line="262" w:lineRule="exact"/>
        <w:rPr>
          <w:sz w:val="20"/>
          <w:szCs w:val="20"/>
          <w:color w:val="auto"/>
        </w:rPr>
      </w:pPr>
    </w:p>
    <w:p>
      <w:pPr>
        <w:ind w:left="1480" w:hanging="567"/>
        <w:spacing w:after="0"/>
        <w:tabs>
          <w:tab w:leader="none" w:pos="148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investment management agreement, or the Investment Management Agreement, with the investment adviser, the adviser, was approved by our board of directors, including a majority of our independent directors in March 2011. Under this agreement the Investment Adviser, subject to the overall supervision of the Company’s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For providing these services, the Investment Adviser receives a fee from the Company, consisting of two components—a base management fee and an incentive fee, collectively, the Management Fees.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w:t>
      </w:r>
    </w:p>
    <w:p>
      <w:pPr>
        <w:spacing w:after="0" w:line="11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gross assets are calculated based on the average gross assets at the end of the two most recently completed calendar quarters, appropriately adjusted for any share issuances or repurchases during the current calendar quarter. Base management fees for any partial quarter are appropriately pro-rated. For the period from March 4, 2011 (commencement of operations) to September 30, 2011, the Investment Adviser earned a base management fee of $0.4 million from us.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the Company’s net assets at the end of the immediately preceding calendar quarter, is compared to the hurdle rate of 1.75% per quarter (7.00% annualized). The Company pays the Investment Adviser an incentive fee with respect to the Company’s Pre-Incentive Fee Net Investment Income in each calendar quarter as follows: (1) no incentive fee in any calendar quarter in which the Company’s Pre-Incentive Fee Net Investment Income does not exceed the hurdle rate of 1.75%, (2) 50% of the Company’s Pre-Incentive Fee Net Investment Income with respect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that portion of such Pre-Incentive Fee Net Investment Income, if any, that exceeds the hurdle rate but is less than 2.9167% in any calendar quarter (11.67% annualized), and (3) 20% of the amount of the Company’s Pre-Incentive Fee Net Investment Income, if any, that exceeds 2.9167% in any calendar quarter. These calculations are pro-rated for any period of less than three months and adjusted for any share issuances or repurchases during the relevant quarter.</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accordance with GAAP, the Company did not accrue a capital gains incentive fee for the period from March 4, 2011 (commencement of operations) to September 30, 2011.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period from March 4, 2011 (commencement of operations) to September 30, 2011, resulted in no accrual.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an administration agreement with the Administrator, or the Administration Agreement, which was approved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including a majority of the independent directors, in March 2011. Under this agreement, the Administrator provides administration services to the Company.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providing these services, facilities and personnel we have agreed to reimburse the Administrator for our allocable portion of overhead and other expenses incurred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by the Administrator in performing its obligations under our Administration Agreement, including rent and our allocable portion of the costs of compensation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expenses of our chief compliance officer, chief financial officer and their respective staffs. The Administrator also offers, on our behalf, managerial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assistance to portfolio companies to which the Company is required to offer such assistance. Reimbursement for certain of these costs is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services expenses in the Consolidated Statement of Operations. For the period from March 4, 2011 (commencement of operations)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2011, the Investment Adviser was reimbursed approximately $0.1 million, from us, including expenses it incurred on behalf of the Administrator,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services described above.</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2011, as well as the likelihood of future activity that may generate additional returns, management determined that the 7.0% return on Pre-Incentive Fee Net Investment Income was uncertain. Accordingly, the Company did not record a liability for it. Management assesses performance to determine whether the 7% return on Pre-Incentive Fee Net Investment Income is probable before recording the $2.1 million charge to capital.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Purchases of long-term investments, including PIK, for the period from March 4, 2011 (commencement of operations) to September 30, 2011 totaled $147.5 million. Sales and repayments of long-term investments for the same period totaled $33.2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6"/>
          </w:tcPr>
          <w:p>
            <w:pPr>
              <w:ind w:left="700"/>
              <w:spacing w:after="0"/>
              <w:rPr>
                <w:sz w:val="20"/>
                <w:szCs w:val="20"/>
                <w:color w:val="auto"/>
              </w:rPr>
            </w:pPr>
            <w:r>
              <w:rPr>
                <w:rFonts w:ascii="Arial" w:cs="Arial" w:eastAsia="Arial" w:hAnsi="Arial"/>
                <w:sz w:val="14"/>
                <w:szCs w:val="14"/>
                <w:b w:val="1"/>
                <w:bCs w:val="1"/>
                <w:color w:val="auto"/>
              </w:rPr>
              <w:t>September 30, 2011</w:t>
            </w:r>
          </w:p>
        </w:tc>
      </w:tr>
      <w:tr>
        <w:trPr>
          <w:trHeight w:val="142"/>
        </w:trPr>
        <w:tc>
          <w:tcPr>
            <w:tcW w:w="36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Cost</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3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97,975,314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94,333,126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6"/>
        </w:trPr>
        <w:tc>
          <w:tcPr>
            <w:tcW w:w="3680" w:type="dxa"/>
            <w:vAlign w:val="bottom"/>
          </w:tcPr>
          <w:p>
            <w:pPr>
              <w:spacing w:after="0"/>
              <w:rPr>
                <w:sz w:val="20"/>
                <w:szCs w:val="20"/>
                <w:color w:val="auto"/>
              </w:rPr>
            </w:pPr>
            <w:r>
              <w:rPr>
                <w:rFonts w:ascii="Arial" w:cs="Arial" w:eastAsia="Arial" w:hAnsi="Arial"/>
                <w:sz w:val="18"/>
                <w:szCs w:val="18"/>
                <w:color w:val="auto"/>
              </w:rPr>
              <w:t>Second lien</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9,379,445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9,285,000</w:t>
            </w:r>
          </w:p>
        </w:tc>
      </w:tr>
      <w:tr>
        <w:trPr>
          <w:trHeight w:val="23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7,004,130</w:t>
            </w: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Preferred and common equity</w:t>
            </w:r>
          </w:p>
        </w:tc>
        <w:tc>
          <w:tcPr>
            <w:tcW w:w="3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20"/>
                <w:szCs w:val="20"/>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114,829,621</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110,724,241</w:t>
            </w: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Cash equivalents</w:t>
            </w:r>
          </w:p>
        </w:tc>
        <w:tc>
          <w:tcPr>
            <w:tcW w:w="3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20"/>
                <w:szCs w:val="20"/>
                <w:color w:val="auto"/>
              </w:rPr>
            </w:pPr>
          </w:p>
        </w:tc>
      </w:tr>
      <w:tr>
        <w:trPr>
          <w:trHeight w:val="23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121,817,071</w:t>
            </w: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117,711,691</w:t>
            </w:r>
          </w:p>
        </w:tc>
      </w:tr>
      <w:tr>
        <w:trPr>
          <w:trHeight w:val="20"/>
        </w:trPr>
        <w:tc>
          <w:tcPr>
            <w:tcW w:w="3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3140" w:type="dxa"/>
            <w:vAlign w:val="bottom"/>
            <w:gridSpan w:val="2"/>
          </w:tcPr>
          <w:p>
            <w:pPr>
              <w:jc w:val="right"/>
              <w:ind w:right="1783"/>
              <w:spacing w:after="0"/>
              <w:rPr>
                <w:sz w:val="20"/>
                <w:szCs w:val="20"/>
                <w:color w:val="auto"/>
              </w:rPr>
            </w:pPr>
            <w:r>
              <w:rPr>
                <w:rFonts w:ascii="Arial" w:cs="Arial" w:eastAsia="Arial" w:hAnsi="Arial"/>
                <w:sz w:val="18"/>
                <w:szCs w:val="18"/>
                <w:color w:val="auto"/>
              </w:rPr>
              <w:t>F-16</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2011.</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8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 Water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r>
      <w:tr>
        <w:trPr>
          <w:trHeight w:val="221"/>
        </w:trPr>
        <w:tc>
          <w:tcPr>
            <w:tcW w:w="7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the Company. Unobservable inputs are inputs that reflect the assumptions market participants would use in pricing an asset or liability based on the best information available to us at the reporting period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period March 4, 2011 (commencement of operations) to September 30, 2011, our ability to observe valuation inputs has resulted in no reclassification of assets from Level 3 to Level 2. There were no investments transferred between Levels 1 and 2 for the same period.</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(See Note 2). Consistent with our valuation policy, we evaluate the source of inputs, including any markets in which its investments are trading, in determining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At September 30, 2011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720" w:type="dxa"/>
            <w:vAlign w:val="bottom"/>
          </w:tcPr>
          <w:p>
            <w:pPr>
              <w:jc w:val="right"/>
              <w:ind w:right="115"/>
              <w:spacing w:after="0"/>
              <w:rPr>
                <w:sz w:val="20"/>
                <w:szCs w:val="20"/>
                <w:color w:val="auto"/>
              </w:rPr>
            </w:pPr>
            <w:r>
              <w:rPr>
                <w:rFonts w:ascii="Arial" w:cs="Arial" w:eastAsia="Arial" w:hAnsi="Arial"/>
                <w:sz w:val="14"/>
                <w:szCs w:val="14"/>
                <w:b w:val="1"/>
                <w:bCs w:val="1"/>
                <w:color w:val="auto"/>
              </w:rPr>
              <w:t>Level 2</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2,033,747</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92,299,379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9,285,000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7,004,130</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1,155,000</w:t>
            </w: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110,724,241</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3,188,747</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40"/>
              <w:spacing w:after="0"/>
              <w:rPr>
                <w:sz w:val="20"/>
                <w:szCs w:val="20"/>
                <w:color w:val="auto"/>
              </w:rPr>
            </w:pPr>
            <w:r>
              <w:rPr>
                <w:rFonts w:ascii="Arial" w:cs="Arial" w:eastAsia="Arial" w:hAnsi="Arial"/>
                <w:sz w:val="18"/>
                <w:szCs w:val="18"/>
                <w:color w:val="auto"/>
              </w:rPr>
              <w:t>Cash Equivalents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6,987,450</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117,711,691</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6,987,450</w:t>
            </w:r>
          </w:p>
        </w:tc>
        <w:tc>
          <w:tcPr>
            <w:tcW w:w="6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3,188,747</w:t>
            </w:r>
          </w:p>
        </w:tc>
        <w:tc>
          <w:tcPr>
            <w:tcW w:w="6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24,650,000</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period from March 4, 2011 (commencement of operations) to September 30,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Second Lien,</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Subordinated Debt and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right"/>
              <w:ind w:right="600"/>
              <w:spacing w:after="0" w:line="148" w:lineRule="exact"/>
              <w:rPr>
                <w:sz w:val="20"/>
                <w:szCs w:val="20"/>
                <w:color w:val="auto"/>
              </w:rPr>
            </w:pPr>
            <w:r>
              <w:rPr>
                <w:rFonts w:ascii="Arial" w:cs="Arial" w:eastAsia="Arial" w:hAnsi="Arial"/>
                <w:sz w:val="14"/>
                <w:szCs w:val="14"/>
                <w:b w:val="1"/>
                <w:bCs w:val="1"/>
                <w:color w:val="auto"/>
              </w:rPr>
              <w:t>First Lien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tcPr>
          <w:p>
            <w:pPr>
              <w:jc w:val="right"/>
              <w:ind w:right="880"/>
              <w:spacing w:after="0" w:line="148" w:lineRule="exact"/>
              <w:rPr>
                <w:sz w:val="20"/>
                <w:szCs w:val="20"/>
                <w:color w:val="auto"/>
              </w:rPr>
            </w:pPr>
            <w:r>
              <w:rPr>
                <w:rFonts w:ascii="Arial" w:cs="Arial" w:eastAsia="Arial" w:hAnsi="Arial"/>
                <w:sz w:val="14"/>
                <w:szCs w:val="14"/>
                <w:b w:val="1"/>
                <w:bCs w:val="1"/>
                <w:color w:val="auto"/>
                <w:w w:val="87"/>
              </w:rPr>
              <w:t>Equity Investments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93,319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312,003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(3,621,606)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(93,301)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124,246,206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19,766,732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144,012,938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0"/>
              </w:rPr>
              <w:t>(28,543,905)</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(4,530,635)</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Transfers in and /or out of Level 3</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92,299,379</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15,236,115</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107,535,494</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for the period above within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the net change in unrealized appreciation on investments in our Consolidated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Statement of Operations attributable to our Level 3 assets still held at 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reporting date: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(3,621,606)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700"/>
              <w:spacing w:after="0"/>
              <w:rPr>
                <w:sz w:val="20"/>
                <w:szCs w:val="20"/>
                <w:color w:val="auto"/>
              </w:rPr>
            </w:pPr>
            <w:r>
              <w:rPr>
                <w:rFonts w:ascii="Arial" w:cs="Arial" w:eastAsia="Arial" w:hAnsi="Arial"/>
                <w:sz w:val="18"/>
                <w:szCs w:val="18"/>
                <w:color w:val="auto"/>
              </w:rPr>
              <w:t>(93,301)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period from March 4, 2011 (commencement of operations) to September 30,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Carrying/</w:t>
            </w: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Credit Facility</w:t>
            </w:r>
          </w:p>
        </w:tc>
        <w:tc>
          <w:tcPr>
            <w:tcW w:w="1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Beginning balance, March 4, 2011 (Cost—$0)</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33"/>
        </w:trPr>
        <w:tc>
          <w:tcPr>
            <w:tcW w:w="20" w:type="dxa"/>
            <w:vAlign w:val="bottom"/>
          </w:tcPr>
          <w:p>
            <w:pPr>
              <w:spacing w:after="0"/>
              <w:rPr>
                <w:sz w:val="20"/>
                <w:szCs w:val="20"/>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29,000,000</w:t>
            </w:r>
          </w:p>
        </w:tc>
        <w:tc>
          <w:tcPr>
            <w:tcW w:w="1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(4,350,000)</w:t>
            </w:r>
          </w:p>
        </w:tc>
      </w:tr>
      <w:tr>
        <w:trPr>
          <w:trHeight w:val="237"/>
        </w:trPr>
        <w:tc>
          <w:tcPr>
            <w:tcW w:w="20" w:type="dxa"/>
            <w:vAlign w:val="bottom"/>
          </w:tcPr>
          <w:p>
            <w:pPr>
              <w:spacing w:after="0"/>
              <w:rPr>
                <w:sz w:val="20"/>
                <w:szCs w:val="20"/>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Credit Facility, September 30, 2011 (Cost—$24,650,000)</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24,650,000</w:t>
            </w:r>
          </w:p>
        </w:tc>
        <w:tc>
          <w:tcPr>
            <w:tcW w:w="120" w:type="dxa"/>
            <w:vAlign w:val="bottom"/>
            <w:shd w:val="clear" w:color="auto" w:fill="CCEEFF"/>
          </w:tcPr>
          <w:p>
            <w:pPr>
              <w:spacing w:after="0"/>
              <w:rPr>
                <w:sz w:val="19"/>
                <w:szCs w:val="19"/>
                <w:color w:val="auto"/>
              </w:rPr>
            </w:pPr>
          </w:p>
        </w:tc>
      </w:tr>
      <w:tr>
        <w:trPr>
          <w:trHeight w:val="370"/>
        </w:trPr>
        <w:tc>
          <w:tcPr>
            <w:tcW w:w="20" w:type="dxa"/>
            <w:vAlign w:val="bottom"/>
          </w:tcPr>
          <w:p>
            <w:pPr>
              <w:spacing w:after="0"/>
              <w:rPr>
                <w:sz w:val="24"/>
                <w:szCs w:val="24"/>
                <w:color w:val="auto"/>
              </w:rPr>
            </w:pPr>
          </w:p>
        </w:tc>
        <w:tc>
          <w:tcPr>
            <w:tcW w:w="6040" w:type="dxa"/>
            <w:vAlign w:val="bottom"/>
          </w:tcPr>
          <w:p>
            <w:pPr>
              <w:ind w:left="4140"/>
              <w:spacing w:after="0"/>
              <w:rPr>
                <w:sz w:val="20"/>
                <w:szCs w:val="20"/>
                <w:color w:val="auto"/>
              </w:rPr>
            </w:pPr>
            <w:r>
              <w:rPr>
                <w:rFonts w:ascii="Arial" w:cs="Arial" w:eastAsia="Arial" w:hAnsi="Arial"/>
                <w:sz w:val="18"/>
                <w:szCs w:val="18"/>
                <w:color w:val="auto"/>
              </w:rPr>
              <w:t>F-19</w:t>
            </w:r>
          </w:p>
        </w:tc>
        <w:tc>
          <w:tcPr>
            <w:tcW w:w="1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$1.4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period from March 4, 2011 (commencement of operations) to September 30, 2011, our Credit Facility had no net change in unrealized (appreciation) depreciation. PennantPark Floating Rate Capital Ltd. uses one or more nationally recognized independent valuation service to measure the fair value of its credit facility in a manner consistent with the valuation process that the board of directors uses to value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decrease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8600" w:type="dxa"/>
            <w:vAlign w:val="bottom"/>
            <w:vMerge w:val="restart"/>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(commencement of operations)</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8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to September 30, 2011</w:t>
            </w:r>
          </w:p>
        </w:tc>
        <w:tc>
          <w:tcPr>
            <w:tcW w:w="0" w:type="dxa"/>
            <w:vAlign w:val="bottom"/>
          </w:tcPr>
          <w:p>
            <w:pPr>
              <w:spacing w:after="0"/>
              <w:rPr>
                <w:sz w:val="1"/>
                <w:szCs w:val="1"/>
                <w:color w:val="auto"/>
              </w:rPr>
            </w:pPr>
          </w:p>
        </w:tc>
      </w:tr>
      <w:tr>
        <w:trPr>
          <w:trHeight w:val="203"/>
        </w:trPr>
        <w:tc>
          <w:tcPr>
            <w:tcW w:w="9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decrease in net assets resulting from operations</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6,826,105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As of September 30, 2011, we had no permanent book-to-tax differences.</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September 30, 2011, the cost of investments for federal income tax purposes was $114.8 million resulting in a gross unrealized appreciation of $0.1 million and depreciation of $4.2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decrease in net assets resulting from operations to taxable income: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For the period March 4, 2011</w:t>
            </w:r>
          </w:p>
        </w:tc>
      </w:tr>
      <w:tr>
        <w:trPr>
          <w:trHeight w:val="149"/>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8"/>
              </w:rPr>
              <w:t>(commencement of operations)</w:t>
            </w:r>
          </w:p>
        </w:tc>
      </w:t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to September 30, 2011</w:t>
            </w:r>
          </w:p>
        </w:tc>
      </w:tr>
      <w:tr>
        <w:trPr>
          <w:trHeight w:val="210"/>
        </w:trPr>
        <w:tc>
          <w:tcPr>
            <w:tcW w:w="8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 and credit facility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4,105,380</w:t>
            </w:r>
          </w:p>
        </w:tc>
        <w:tc>
          <w:tcPr>
            <w:tcW w:w="80" w:type="dxa"/>
            <w:vAlign w:val="bottom"/>
          </w:tcPr>
          <w:p>
            <w:pPr>
              <w:spacing w:after="0"/>
              <w:rPr>
                <w:sz w:val="19"/>
                <w:szCs w:val="19"/>
                <w:color w:val="auto"/>
              </w:rPr>
            </w:pPr>
          </w:p>
        </w:tc>
      </w:tr>
      <w:tr>
        <w:trPr>
          <w:trHeight w:val="237"/>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book-to-tax differences</w:t>
            </w: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1,297,741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1,929,868</w:t>
            </w:r>
          </w:p>
        </w:tc>
        <w:tc>
          <w:tcPr>
            <w:tcW w:w="80" w:type="dxa"/>
            <w:vAlign w:val="bottom"/>
          </w:tcPr>
          <w:p>
            <w:pPr>
              <w:spacing w:after="0"/>
              <w:rPr>
                <w:sz w:val="20"/>
                <w:szCs w:val="20"/>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components of accumulated losses on tax basis and reconciliation to accumulated losses on a GAAP basis for the period from March 4, 2011 (commencement of operations) to September 30, 2011 are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696,748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696,748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Dividends payable and other temporary differences</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(1,777,288)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(4,105,380)</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Total accumulated deficit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52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(5,185,920)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characteristics of dividends during the fiscal year ended September 30, 2011 totaled $1.7 million or $0.25 per share.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Floating Rate Capital Ltd. may invest temporarily in U.S. Treasury Bills (of varying maturities), repurchase agreements, money market funds or repo-like treasury securities. These temporary investments with maturities of 90 days or less are deemed cash equivalents and are included in the Consolidated Schedule of Investments. At the end of each fiscal quarter, PennantPark Floating Rate Capital Ltd. could take proactive steps to preserve investment flexibility for the next quarter, which is dependent upon the composition of its total assets at quarter end. PennantPark Floating Rate Capital Ltd.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Floating Rate Capital Ltd.’s valuation policy. As of September 30, 2011, cash equivalents consisted of $7.0 million in money market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reported period: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For the period 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 of 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to 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realized and unrealized losses</w:t>
            </w:r>
            <w:r>
              <w:rPr>
                <w:rFonts w:ascii="Arial" w:cs="Arial" w:eastAsia="Arial" w:hAnsi="Arial"/>
                <w:sz w:val="11"/>
                <w:szCs w:val="11"/>
                <w:color w:val="auto"/>
              </w:rPr>
              <w:t>(1)</w:t>
            </w:r>
          </w:p>
        </w:tc>
        <w:tc>
          <w:tcPr>
            <w:tcW w:w="16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(1)</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(1),(2)</w:t>
            </w:r>
          </w:p>
        </w:tc>
        <w:tc>
          <w:tcPr>
            <w:tcW w:w="16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Offering Costs</w:t>
            </w:r>
            <w:r>
              <w:rPr>
                <w:rFonts w:ascii="Arial" w:cs="Arial" w:eastAsia="Arial" w:hAnsi="Arial"/>
                <w:sz w:val="11"/>
                <w:szCs w:val="11"/>
                <w:color w:val="auto"/>
              </w:rPr>
              <w:t>(1)</w:t>
            </w:r>
          </w:p>
        </w:tc>
        <w:tc>
          <w:tcPr>
            <w:tcW w:w="160" w:type="dxa"/>
            <w:vAlign w:val="bottom"/>
          </w:tcPr>
          <w:p>
            <w:pPr>
              <w:spacing w:after="0"/>
              <w:rPr>
                <w:sz w:val="20"/>
                <w:szCs w:val="20"/>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6,850,667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11"/>
                <w:szCs w:val="11"/>
                <w:color w:val="auto"/>
              </w:rPr>
              <w:t>(4)</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expenses to average net assets**</w:t>
            </w:r>
          </w:p>
        </w:tc>
        <w:tc>
          <w:tcPr>
            <w:tcW w:w="1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92,072,105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7,550,877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Weighted average debt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 annualized for a period of less than a year.</w:t>
      </w:r>
    </w:p>
    <w:p>
      <w:pPr>
        <w:spacing w:after="0" w:line="15"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Includes both recurring and non-recurring expenses such as debt issuance costs and organizational expenses.</w:t>
      </w:r>
    </w:p>
    <w:p>
      <w:pPr>
        <w:spacing w:after="0" w:line="9" w:lineRule="exact"/>
        <w:rPr>
          <w:sz w:val="20"/>
          <w:szCs w:val="20"/>
          <w:color w:val="auto"/>
        </w:rPr>
      </w:pPr>
    </w:p>
    <w:p>
      <w:pPr>
        <w:ind w:left="460" w:right="380" w:hanging="452"/>
        <w:spacing w:after="0" w:line="250"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from the initial public offering date of March 4, 2011 to September 30, 2011.</w:t>
      </w:r>
    </w:p>
    <w:p>
      <w:pPr>
        <w:ind w:left="460" w:right="280" w:hanging="452"/>
        <w:spacing w:after="0" w:line="250"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w:t>
      </w:r>
    </w:p>
    <w:p>
      <w:pPr>
        <w:ind w:left="460" w:hanging="452"/>
        <w:spacing w:after="0" w:line="250"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Excluding debt issuance cost the ratio would be 0.16%.</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June 23, 2011, Funding I entered into a five-year senior secured revolving credit facility with the Lender, an asset-backed commercial paper conduit administered by STRH. The Credit Facility allows Funding I to borrow up to $100.0 million and contains an accordion feature whereby the Credit Facility can be expanded to $600.0 million, subject to satisfaction of certain conditions. As of September 30, 2011, Funding I had $24.7 million of outstanding borrowings under the Credit Facility, carried an interest rate of 2.53% excluding the 0.50% undrawn commitment fee and had $75.3 million available subject to restrictions and covenants.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Credit Facility’s first three years, or the revolving period, it bears interest at the LIBOR plus 225 basis points, and after the revolving period, the rate sets to LIBOR plus 425 basis points for the remaining or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For example, we must maintain a weighted average loan life of no more than 6 years and cannot have more than 10% of Funding I’s assets in a single portfolio company.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Any violations of these and other covenants could result in the early amortization of the Credit Facility and further limit advances available under it. For a complete list of such covenants, see our report on Form 8-K, filed June 29, 2011.</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accordance with the 1940 Act, with certain limited exceptions, the Company is only allowed to borrow amounts such that its asset coverage, as defined in the 1940 Act, is at least 200% after such borrowing. As of September 30, 2011 our asset coverage for borrowed amounts was 474%.</w:t>
      </w:r>
    </w:p>
    <w:p>
      <w:pPr>
        <w:spacing w:after="0" w:line="8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We also transfered certain loans and debt securities we originated or acquired and may do so again , to Funding I through a Purchase and Contribution Agreement. Funding I may and has originated or acquired loans, consistent with PenantPark Floating Rate Capital Ltd.’s investment objectives. The structure of the financing, including organizing Funding I as a special purpose, bankruptcy-remote entity and selling assets from PennantPark Floating Rate Capital Ltd. to Funding I renders such assets generally unavailable to creditors of PennantPark Floating Rate Capital Ltd. and is intended to protect the Lender from credit and bankruptcy risks.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equity interest in Funding I is subordinate to the secured and unsecured creditors, known or unknown, of Funding I including the Lender. Consequently, to the extent that the value of Funding I’s portfolio of loan investments is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that we fail to receive cash from Funding I, we could be unable to make distributions to our stockholders in amounts sufficient to maintain our status as a RIC, or at all. We also could be forced to sell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subordinated debt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Floating Rate Capital Ltd. and its Subsidiary (collectively referred to as the “Company”), including the consolidated schedules of investments, as of March 31, 2012, the consolidated statements of operations for the three and six months ended March 31, 2012, and the changes in net assets and cash flows for the six months ended March 31, 2012. These interim consolidated financial statements are the responsibility of the Company’s management.</w:t>
      </w:r>
    </w:p>
    <w:p>
      <w:pPr>
        <w:spacing w:after="0" w:line="14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the Company,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0090" cy="2057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460" w:right="2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(cost—$146,227,958 and $114,829,621, respectively)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146,188,132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110,724,241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3,849,360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6,987,450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151,174,164</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121,075,260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513,800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Unfunded investments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2,161,880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2,323,250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(cost—$47,800,000 and $24,650,000, respectively, See Notes 5 and 9)</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47,561,000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342,495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175,740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386,592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54,451,859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29,003,155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97,251,174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97,251,174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(1,452,769)</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(39,826)</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96,722,305</w:t>
            </w:r>
          </w:p>
        </w:tc>
        <w:tc>
          <w:tcPr>
            <w:tcW w:w="4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92,072,105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151,174,164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121,075,260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5520"/>
              <w:spacing w:after="0"/>
              <w:rPr>
                <w:sz w:val="20"/>
                <w:szCs w:val="20"/>
                <w:color w:val="auto"/>
              </w:rPr>
            </w:pPr>
            <w:r>
              <w:rPr>
                <w:rFonts w:ascii="Arial" w:cs="Arial" w:eastAsia="Arial" w:hAnsi="Arial"/>
                <w:sz w:val="18"/>
                <w:szCs w:val="18"/>
                <w:color w:val="auto"/>
              </w:rPr>
              <w:t>F-26</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0"/>
              </w:rPr>
              <w:t>March 31, 2012</w:t>
            </w: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2,943,730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370,352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Performance-base incentive fees payable (Note 3)</w:t>
            </w:r>
          </w:p>
        </w:tc>
        <w:tc>
          <w:tcPr>
            <w:tcW w:w="1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175,740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9)</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342,496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149,624</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360,618</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1,398,830</w:t>
            </w:r>
          </w:p>
        </w:tc>
        <w:tc>
          <w:tcPr>
            <w:tcW w:w="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1,544,900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on investments and Credit Facility:</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95,712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change in unrealized depreciation 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2,996,463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140" w:type="dxa"/>
            <w:vAlign w:val="bottom"/>
          </w:tcPr>
          <w:p>
            <w:pPr>
              <w:spacing w:after="0"/>
              <w:rPr>
                <w:sz w:val="19"/>
                <w:szCs w:val="19"/>
                <w:color w:val="auto"/>
              </w:rPr>
            </w:pP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(112,000)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change in unrealized depreciation on investments and Credit Facility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2,884,463</w:t>
            </w: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from investments and Credit Facility</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2,980,175</w:t>
            </w:r>
          </w:p>
        </w:tc>
        <w:tc>
          <w:tcPr>
            <w:tcW w:w="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4,525,075</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60" w:type="dxa"/>
            <w:vAlign w:val="bottom"/>
          </w:tcPr>
          <w:p>
            <w:pPr>
              <w:jc w:val="center"/>
              <w:ind w:left="1932"/>
              <w:spacing w:after="0"/>
              <w:rPr>
                <w:sz w:val="20"/>
                <w:szCs w:val="20"/>
                <w:color w:val="auto"/>
              </w:rPr>
            </w:pPr>
            <w:r>
              <w:rPr>
                <w:rFonts w:ascii="Arial" w:cs="Arial" w:eastAsia="Arial" w:hAnsi="Arial"/>
                <w:sz w:val="18"/>
                <w:szCs w:val="18"/>
                <w:b w:val="1"/>
                <w:bCs w:val="1"/>
                <w:color w:val="auto"/>
                <w:w w:val="97"/>
              </w:rPr>
              <w:t>PENNANTPARK FLOATING RATE CAPITAL LTD. AND SUBSIDIARY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jc w:val="center"/>
              <w:ind w:left="1952"/>
              <w:spacing w:after="0"/>
              <w:rPr>
                <w:sz w:val="20"/>
                <w:szCs w:val="20"/>
                <w:color w:val="auto"/>
              </w:rPr>
            </w:pPr>
            <w:r>
              <w:rPr>
                <w:rFonts w:ascii="Arial" w:cs="Arial" w:eastAsia="Arial" w:hAnsi="Arial"/>
                <w:sz w:val="18"/>
                <w:szCs w:val="18"/>
                <w:b w:val="1"/>
                <w:bCs w:val="1"/>
                <w:color w:val="auto"/>
                <w:w w:val="96"/>
              </w:rPr>
              <w:t>CONSOLIDATED STATEMENT OF CHANGES IN NET ASSETS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9360" w:type="dxa"/>
            <w:vAlign w:val="bottom"/>
          </w:tcPr>
          <w:p>
            <w:pPr>
              <w:jc w:val="center"/>
              <w:ind w:left="1932"/>
              <w:spacing w:after="0"/>
              <w:rPr>
                <w:sz w:val="20"/>
                <w:szCs w:val="20"/>
                <w:color w:val="auto"/>
              </w:rPr>
            </w:pPr>
            <w:r>
              <w:rPr>
                <w:rFonts w:ascii="Arial" w:cs="Arial" w:eastAsia="Arial" w:hAnsi="Arial"/>
                <w:sz w:val="18"/>
                <w:szCs w:val="18"/>
                <w:b w:val="1"/>
                <w:bCs w:val="1"/>
                <w:color w:val="auto"/>
                <w:w w:val="89"/>
              </w:rPr>
              <w:t>(Unaudited)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March 31, 2012</w:t>
            </w:r>
          </w:p>
        </w:tc>
      </w:tr>
      <w:tr>
        <w:trPr>
          <w:trHeight w:val="196"/>
        </w:trPr>
        <w:tc>
          <w:tcPr>
            <w:tcW w:w="20" w:type="dxa"/>
            <w:vAlign w:val="bottom"/>
          </w:tcPr>
          <w:p>
            <w:pPr>
              <w:spacing w:after="0"/>
              <w:rPr>
                <w:sz w:val="17"/>
                <w:szCs w:val="17"/>
                <w:color w:val="auto"/>
              </w:rPr>
            </w:pPr>
          </w:p>
        </w:tc>
        <w:tc>
          <w:tcPr>
            <w:tcW w:w="9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2,919,799</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405,887</w:t>
            </w: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4,065,554</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(2,980,040)</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8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4,650,200</w:t>
            </w:r>
          </w:p>
        </w:tc>
        <w:tc>
          <w:tcPr>
            <w:tcW w:w="100" w:type="dxa"/>
            <w:vAlign w:val="bottom"/>
            <w:shd w:val="clear" w:color="auto" w:fill="CCEEFF"/>
          </w:tcPr>
          <w:p>
            <w:pPr>
              <w:spacing w:after="0"/>
              <w:rPr>
                <w:sz w:val="18"/>
                <w:szCs w:val="18"/>
                <w:color w:val="auto"/>
              </w:rPr>
            </w:pPr>
          </w:p>
        </w:tc>
      </w:tr>
      <w:tr>
        <w:trPr>
          <w:trHeight w:val="222"/>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92,072,105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96,722,305</w:t>
            </w: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(1,452,769)</w:t>
            </w: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900" w:right="100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CASH FLOWS (Unaudited)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resulting from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Adjustments to reconcile net increase in net assets resulting from operations to net 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Proceeds from dispositions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performance-based incentive fees payable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by operating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 to stockholders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Facility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Repayments under Credit Facility (See Note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Six Months Ended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March 31, 2012</w:t>
      </w:r>
    </w:p>
    <w:p>
      <w:pPr>
        <w:spacing w:after="0" w:line="195" w:lineRule="exact"/>
        <w:rPr>
          <w:sz w:val="20"/>
          <w:szCs w:val="20"/>
          <w:color w:val="auto"/>
        </w:rPr>
      </w:pPr>
    </w:p>
    <w:p>
      <w:pPr>
        <w:ind w:left="360" w:hanging="355"/>
        <w:spacing w:after="0"/>
        <w:tabs>
          <w:tab w:leader="none" w:pos="3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7,630,240</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(4,065,554)</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(239,000)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(405,887)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(333,296)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(72,216,125)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(47,292)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41,604,263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2,467,500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(353,235)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112,632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1,950,000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(161,370)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192,249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103,920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175,740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242,912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67754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(23,342,303)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775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(2,945,787)</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54,050,000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(30,900,000)</w:t>
      </w:r>
    </w:p>
    <w:p>
      <w:pPr>
        <w:spacing w:after="0" w:line="9" w:lineRule="exact"/>
        <w:rPr>
          <w:sz w:val="20"/>
          <w:szCs w:val="20"/>
          <w:color w:val="auto"/>
        </w:rPr>
      </w:pPr>
    </w:p>
    <w:p>
      <w:pPr>
        <w:sectPr>
          <w:pgSz w:w="11900" w:h="16838" w:orient="portrait"/>
          <w:cols w:equalWidth="0" w:num="2">
            <w:col w:w="9520" w:space="720"/>
            <w:col w:w="118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25"/>
        </w:trPr>
        <w:tc>
          <w:tcPr>
            <w:tcW w:w="8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20,204,213</w:t>
            </w:r>
          </w:p>
        </w:tc>
        <w:tc>
          <w:tcPr>
            <w:tcW w:w="100" w:type="dxa"/>
            <w:vAlign w:val="bottom"/>
            <w:shd w:val="clear" w:color="auto" w:fill="CCEEFF"/>
          </w:tcPr>
          <w:p>
            <w:pPr>
              <w:spacing w:after="0"/>
              <w:rPr>
                <w:sz w:val="19"/>
                <w:szCs w:val="19"/>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(3,138,090)</w:t>
            </w: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r>
      <w:tr>
        <w:trPr>
          <w:trHeight w:val="20"/>
        </w:trPr>
        <w:tc>
          <w:tcPr>
            <w:tcW w:w="8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paid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type w:val="continuous"/>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6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6"/>
              </w:rPr>
              <w:t>Current</w:t>
            </w:r>
          </w:p>
        </w:tc>
        <w:tc>
          <w:tcPr>
            <w:tcW w:w="10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8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Par/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Maturity</w:t>
            </w: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18"/>
                <w:szCs w:val="18"/>
                <w:b w:val="1"/>
                <w:bCs w:val="1"/>
                <w:color w:val="auto"/>
                <w:vertAlign w:val="superscript"/>
              </w:rPr>
              <w:t>(1)</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680" w:type="dxa"/>
            <w:vAlign w:val="bottom"/>
            <w:gridSpan w:val="2"/>
          </w:tcPr>
          <w:p>
            <w:pPr>
              <w:jc w:val="center"/>
              <w:ind w:right="60"/>
              <w:spacing w:after="0" w:line="162"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8"/>
                <w:szCs w:val="18"/>
                <w:b w:val="1"/>
                <w:bCs w:val="1"/>
                <w:color w:val="auto"/>
                <w:vertAlign w:val="superscript"/>
              </w:rPr>
              <w:t>(2)</w:t>
            </w: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95"/>
        </w:trPr>
        <w:tc>
          <w:tcPr>
            <w:tcW w:w="4560" w:type="dxa"/>
            <w:vAlign w:val="bottom"/>
            <w:gridSpan w:val="2"/>
            <w:shd w:val="clear" w:color="auto" w:fill="CCEEFF"/>
          </w:tcPr>
          <w:p>
            <w:pPr>
              <w:spacing w:after="0" w:line="95" w:lineRule="exact"/>
              <w:rPr>
                <w:sz w:val="20"/>
                <w:szCs w:val="20"/>
                <w:color w:val="auto"/>
              </w:rPr>
            </w:pPr>
            <w:r>
              <w:rPr>
                <w:rFonts w:ascii="Arial" w:cs="Arial" w:eastAsia="Arial" w:hAnsi="Arial"/>
                <w:sz w:val="11"/>
                <w:szCs w:val="11"/>
                <w:b w:val="1"/>
                <w:bCs w:val="1"/>
                <w:color w:val="auto"/>
              </w:rPr>
              <w:t>Investments in Non-Controlled, Non-Affiliated</w:t>
            </w: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76"/>
        </w:trPr>
        <w:tc>
          <w:tcPr>
            <w:tcW w:w="45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b w:val="1"/>
                <w:bCs w:val="1"/>
                <w:color w:val="auto"/>
              </w:rPr>
              <w:t>Portfolio Companies—151.1%</w:t>
            </w:r>
            <w:r>
              <w:rPr>
                <w:rFonts w:ascii="Arial" w:cs="Arial" w:eastAsia="Arial" w:hAnsi="Arial"/>
                <w:sz w:val="20"/>
                <w:szCs w:val="20"/>
                <w:b w:val="1"/>
                <w:bCs w:val="1"/>
                <w:color w:val="auto"/>
                <w:vertAlign w:val="superscript"/>
              </w:rPr>
              <w:t>(3),(4)</w:t>
            </w: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Debt—130.6%</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03/25/2015</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2"/>
              </w:rPr>
              <w:t>10.00%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L+800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785,714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787,760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746,429</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10/06/2016</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Consumer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2,992,500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2,947,919</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2,970,056</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07/29/2017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1"/>
              </w:rPr>
              <w:t>Automotive</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L+500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995,000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990,663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999,975</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02/15/2018</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High Tech Industries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L+600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4,000,000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3,921,389</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3,980,000</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08/17/2017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Consumer Goods: Durable</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7.27%</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L+575</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3,980,000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3,907,844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3,960,100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03/19/2018</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P+475</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3,000,000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2,955,160</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2,955,000</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12/01/2016</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L+500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1,000,000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990,557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2"/>
                <w:szCs w:val="12"/>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DS Waters of America,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08/29/2017</w:t>
            </w:r>
          </w:p>
        </w:tc>
        <w:tc>
          <w:tcPr>
            <w:tcW w:w="22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Beverage, Food</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2"/>
              </w:rPr>
              <w:t>10.50%</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L+900</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4,000,000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3,920,851</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3,935,000</w:t>
            </w:r>
          </w:p>
        </w:tc>
        <w:tc>
          <w:tcPr>
            <w:tcW w:w="60" w:type="dxa"/>
            <w:vAlign w:val="bottom"/>
          </w:tcPr>
          <w:p>
            <w:pPr>
              <w:spacing w:after="0"/>
              <w:rPr>
                <w:sz w:val="11"/>
                <w:szCs w:val="11"/>
                <w:color w:val="auto"/>
              </w:rPr>
            </w:pPr>
          </w:p>
        </w:tc>
      </w:tr>
      <w:tr>
        <w:trPr>
          <w:trHeight w:val="172"/>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07/28/2017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P+350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970,472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965,250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Fundtech (US FT HOLDCO,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11/30/2017</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L+600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2,992,500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2,905,553</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2,986,889</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12/14/2017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2,992,500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2,935,337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2,994,370</w:t>
            </w:r>
          </w:p>
        </w:tc>
        <w:tc>
          <w:tcPr>
            <w:tcW w:w="60" w:type="dxa"/>
            <w:vAlign w:val="bottom"/>
            <w:shd w:val="clear" w:color="auto" w:fill="CCEEFF"/>
          </w:tcPr>
          <w:p>
            <w:pPr>
              <w:spacing w:after="0"/>
              <w:rPr>
                <w:sz w:val="12"/>
                <w:szCs w:val="12"/>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Gundle/SLT Environmental,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05/27/2016</w:t>
            </w:r>
          </w:p>
        </w:tc>
        <w:tc>
          <w:tcPr>
            <w:tcW w:w="220" w:type="dxa"/>
            <w:vAlign w:val="bottom"/>
          </w:tcPr>
          <w:p>
            <w:pPr>
              <w:spacing w:after="0"/>
              <w:rPr>
                <w:sz w:val="11"/>
                <w:szCs w:val="11"/>
                <w:color w:val="auto"/>
              </w:rPr>
            </w:pPr>
          </w:p>
        </w:tc>
        <w:tc>
          <w:tcPr>
            <w:tcW w:w="1800" w:type="dxa"/>
            <w:vAlign w:val="bottom"/>
            <w:gridSpan w:val="2"/>
          </w:tcPr>
          <w:p>
            <w:pPr>
              <w:jc w:val="center"/>
              <w:ind w:right="240"/>
              <w:spacing w:after="0" w:line="138" w:lineRule="exact"/>
              <w:rPr>
                <w:sz w:val="20"/>
                <w:szCs w:val="20"/>
                <w:color w:val="auto"/>
              </w:rPr>
            </w:pPr>
            <w:r>
              <w:rPr>
                <w:rFonts w:ascii="Arial" w:cs="Arial" w:eastAsia="Arial" w:hAnsi="Arial"/>
                <w:sz w:val="14"/>
                <w:szCs w:val="14"/>
                <w:color w:val="auto"/>
                <w:w w:val="89"/>
              </w:rPr>
              <w:t>Environmental</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6.99%</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L+550</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2,977,500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2,953,133</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2,932,838</w:t>
            </w:r>
          </w:p>
        </w:tc>
        <w:tc>
          <w:tcPr>
            <w:tcW w:w="60" w:type="dxa"/>
            <w:vAlign w:val="bottom"/>
          </w:tcPr>
          <w:p>
            <w:pPr>
              <w:spacing w:after="0"/>
              <w:rPr>
                <w:sz w:val="11"/>
                <w:szCs w:val="11"/>
                <w:color w:val="auto"/>
              </w:rPr>
            </w:pPr>
          </w:p>
        </w:tc>
      </w:tr>
      <w:tr>
        <w:trPr>
          <w:trHeight w:val="172"/>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Industries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Harmony Foods Corporation</w:t>
            </w:r>
            <w:r>
              <w:rPr>
                <w:rFonts w:ascii="Arial" w:cs="Arial" w:eastAsia="Arial" w:hAnsi="Arial"/>
                <w:sz w:val="16"/>
                <w:szCs w:val="16"/>
                <w:color w:val="auto"/>
                <w:vertAlign w:val="superscript"/>
              </w:rPr>
              <w:t>(5)</w:t>
            </w:r>
          </w:p>
        </w:tc>
        <w:tc>
          <w:tcPr>
            <w:tcW w:w="6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05/01/2016</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color w:val="auto"/>
                <w:w w:val="86"/>
              </w:rPr>
              <w:t>Beverage, Food</w:t>
            </w:r>
          </w:p>
        </w:tc>
        <w:tc>
          <w:tcPr>
            <w:tcW w:w="74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w w:val="92"/>
              </w:rPr>
              <w:t>10.00%</w:t>
            </w:r>
          </w:p>
        </w:tc>
        <w:tc>
          <w:tcPr>
            <w:tcW w:w="10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 xml:space="preserve"> (9)</w:t>
            </w:r>
          </w:p>
        </w:tc>
        <w:tc>
          <w:tcPr>
            <w:tcW w:w="88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4"/>
                <w:szCs w:val="14"/>
                <w:color w:val="auto"/>
                <w:w w:val="89"/>
              </w:rPr>
              <w:t>2,000,000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3"/>
              </w:rPr>
              <w:t>2,000,000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2,060,000</w:t>
            </w:r>
          </w:p>
        </w:tc>
        <w:tc>
          <w:tcPr>
            <w:tcW w:w="60" w:type="dxa"/>
            <w:vAlign w:val="bottom"/>
            <w:shd w:val="clear" w:color="auto" w:fill="CCEEFF"/>
          </w:tcPr>
          <w:p>
            <w:pPr>
              <w:spacing w:after="0"/>
              <w:rPr>
                <w:sz w:val="12"/>
                <w:szCs w:val="12"/>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3"/>
              </w:rPr>
              <w:t>and Tobacco</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04/01/2019</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Retail</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L+600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3,000,000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2,940,000</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2,940,000</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04/01/2017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1"/>
              </w:rPr>
              <w:t>Automotive</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2"/>
              </w:rPr>
              <w:t>11.50%</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2,000,000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1,960,101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2,050,000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Insight Global,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08/16/2017</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L+500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988,769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984,109</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971,465</w:t>
            </w:r>
          </w:p>
        </w:tc>
        <w:tc>
          <w:tcPr>
            <w:tcW w:w="60" w:type="dxa"/>
            <w:vAlign w:val="bottom"/>
          </w:tcPr>
          <w:p>
            <w:pPr>
              <w:spacing w:after="0"/>
              <w:rPr>
                <w:sz w:val="12"/>
                <w:szCs w:val="12"/>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08/07/2014</w:t>
            </w: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2"/>
              </w:rPr>
              <w:t>Media: Advertising,</w:t>
            </w:r>
          </w:p>
        </w:tc>
        <w:tc>
          <w:tcPr>
            <w:tcW w:w="7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3.62%</w:t>
            </w:r>
          </w:p>
        </w:tc>
        <w:tc>
          <w:tcPr>
            <w:tcW w:w="10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L+338</w:t>
            </w:r>
            <w:r>
              <w:rPr>
                <w:rFonts w:ascii="Arial" w:cs="Arial" w:eastAsia="Arial" w:hAnsi="Arial"/>
                <w:sz w:val="15"/>
                <w:szCs w:val="15"/>
                <w:color w:val="auto"/>
                <w:vertAlign w:val="superscript"/>
              </w:rPr>
              <w:t>(9)</w:t>
            </w:r>
          </w:p>
        </w:tc>
        <w:tc>
          <w:tcPr>
            <w:tcW w:w="8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89"/>
              </w:rPr>
              <w:t>6,945,468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6,565,294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6,250,920</w:t>
            </w:r>
          </w:p>
        </w:tc>
        <w:tc>
          <w:tcPr>
            <w:tcW w:w="60" w:type="dxa"/>
            <w:vAlign w:val="bottom"/>
            <w:shd w:val="clear" w:color="auto" w:fill="CCEEFF"/>
          </w:tcPr>
          <w:p>
            <w:pPr>
              <w:spacing w:after="0"/>
              <w:rPr>
                <w:sz w:val="11"/>
                <w:szCs w:val="11"/>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9"/>
              </w:rPr>
              <w:t>Printing and Publishing</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09/10/2015</w:t>
            </w:r>
          </w:p>
        </w:tc>
        <w:tc>
          <w:tcPr>
            <w:tcW w:w="22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7"/>
              </w:rPr>
              <w:t>Chemicals, Plastics</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2"/>
              </w:rPr>
              <w:t>10.00%</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P+675</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5,476,250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5,519,390</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5,421,487</w:t>
            </w:r>
          </w:p>
        </w:tc>
        <w:tc>
          <w:tcPr>
            <w:tcW w:w="60" w:type="dxa"/>
            <w:vAlign w:val="bottom"/>
          </w:tcPr>
          <w:p>
            <w:pPr>
              <w:spacing w:after="0"/>
              <w:rPr>
                <w:sz w:val="11"/>
                <w:szCs w:val="11"/>
                <w:color w:val="auto"/>
              </w:rPr>
            </w:pPr>
          </w:p>
        </w:tc>
      </w:tr>
      <w:tr>
        <w:trPr>
          <w:trHeight w:val="172"/>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and Rubber</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6"/>
                <w:szCs w:val="16"/>
                <w:color w:val="auto"/>
                <w:vertAlign w:val="superscript"/>
              </w:rPr>
              <w:t>(6)</w:t>
            </w:r>
          </w:p>
        </w:tc>
        <w:tc>
          <w:tcPr>
            <w:tcW w:w="6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05/31/2014</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color w:val="auto"/>
                <w:w w:val="86"/>
              </w:rPr>
              <w:t>Consumer Goods:</w:t>
            </w:r>
          </w:p>
        </w:tc>
        <w:tc>
          <w:tcPr>
            <w:tcW w:w="74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rPr>
              <w:t>8.50%</w:t>
            </w:r>
          </w:p>
        </w:tc>
        <w:tc>
          <w:tcPr>
            <w:tcW w:w="104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4"/>
                <w:szCs w:val="14"/>
                <w:color w:val="auto"/>
              </w:rPr>
              <w:t>L+700</w:t>
            </w:r>
          </w:p>
        </w:tc>
        <w:tc>
          <w:tcPr>
            <w:tcW w:w="88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4"/>
                <w:szCs w:val="14"/>
                <w:color w:val="auto"/>
                <w:w w:val="89"/>
              </w:rPr>
              <w:t>4,962,500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3"/>
              </w:rPr>
              <w:t>4,848,837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4,881,859</w:t>
            </w:r>
          </w:p>
        </w:tc>
        <w:tc>
          <w:tcPr>
            <w:tcW w:w="60" w:type="dxa"/>
            <w:vAlign w:val="bottom"/>
            <w:shd w:val="clear" w:color="auto" w:fill="CCEEFF"/>
          </w:tcPr>
          <w:p>
            <w:pPr>
              <w:spacing w:after="0"/>
              <w:rPr>
                <w:sz w:val="12"/>
                <w:szCs w:val="12"/>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Non-Durable</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Medpace Intermediateco,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06/17/2017</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L+500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1,985,000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1,958,287</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1,925,450</w:t>
            </w:r>
          </w:p>
        </w:tc>
        <w:tc>
          <w:tcPr>
            <w:tcW w:w="60" w:type="dxa"/>
            <w:vAlign w:val="bottom"/>
          </w:tcPr>
          <w:p>
            <w:pPr>
              <w:spacing w:after="0"/>
              <w:rPr>
                <w:sz w:val="12"/>
                <w:szCs w:val="12"/>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(6)</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05/06/2018</w:t>
            </w: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1"/>
              </w:rPr>
              <w:t>Media: Diversified</w:t>
            </w:r>
          </w:p>
        </w:tc>
        <w:tc>
          <w:tcPr>
            <w:tcW w:w="7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89"/>
              </w:rPr>
              <w:t>3,970,000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3,935,345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3,870,750</w:t>
            </w:r>
          </w:p>
        </w:tc>
        <w:tc>
          <w:tcPr>
            <w:tcW w:w="60" w:type="dxa"/>
            <w:vAlign w:val="bottom"/>
            <w:shd w:val="clear" w:color="auto" w:fill="CCEEFF"/>
          </w:tcPr>
          <w:p>
            <w:pPr>
              <w:spacing w:after="0"/>
              <w:rPr>
                <w:sz w:val="11"/>
                <w:szCs w:val="11"/>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and Production</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1"/>
                <w:szCs w:val="11"/>
                <w:color w:val="auto"/>
              </w:rPr>
              <w:t>MOSAID Technologies Incorporated</w:t>
            </w:r>
            <w:r>
              <w:rPr>
                <w:rFonts w:ascii="Arial" w:cs="Arial" w:eastAsia="Arial" w:hAnsi="Arial"/>
                <w:sz w:val="17"/>
                <w:szCs w:val="17"/>
                <w:color w:val="auto"/>
                <w:vertAlign w:val="superscript"/>
              </w:rPr>
              <w:t>(6)</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12/23/2016</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High Tech Industries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L+700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3,000,000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2,928,463</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2,985,000</w:t>
            </w:r>
          </w:p>
        </w:tc>
        <w:tc>
          <w:tcPr>
            <w:tcW w:w="60" w:type="dxa"/>
            <w:vAlign w:val="bottom"/>
          </w:tcPr>
          <w:p>
            <w:pPr>
              <w:spacing w:after="0"/>
              <w:rPr>
                <w:sz w:val="12"/>
                <w:szCs w:val="12"/>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08/01/2014</w:t>
            </w: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0"/>
              </w:rPr>
              <w:t>Media: Diversified and</w:t>
            </w:r>
          </w:p>
        </w:tc>
        <w:tc>
          <w:tcPr>
            <w:tcW w:w="7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5.00%</w:t>
            </w:r>
          </w:p>
        </w:tc>
        <w:tc>
          <w:tcPr>
            <w:tcW w:w="10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L+400</w:t>
            </w:r>
          </w:p>
        </w:tc>
        <w:tc>
          <w:tcPr>
            <w:tcW w:w="8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89"/>
              </w:rPr>
              <w:t>5,496,951</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4,805,359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4,358,626</w:t>
            </w:r>
          </w:p>
        </w:tc>
        <w:tc>
          <w:tcPr>
            <w:tcW w:w="60" w:type="dxa"/>
            <w:vAlign w:val="bottom"/>
            <w:shd w:val="clear" w:color="auto" w:fill="CCEEFF"/>
          </w:tcPr>
          <w:p>
            <w:pPr>
              <w:spacing w:after="0"/>
              <w:rPr>
                <w:sz w:val="11"/>
                <w:szCs w:val="11"/>
                <w:color w:val="auto"/>
              </w:rPr>
            </w:pPr>
          </w:p>
        </w:tc>
      </w:tr>
      <w:tr>
        <w:trPr>
          <w:trHeight w:val="149"/>
        </w:trPr>
        <w:tc>
          <w:tcPr>
            <w:tcW w:w="66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6"/>
              </w:rPr>
              <w:t>Production</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(PIK</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1.00%)</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Potter’s Holdings II, L.P.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05/08/2017</w:t>
            </w:r>
          </w:p>
        </w:tc>
        <w:tc>
          <w:tcPr>
            <w:tcW w:w="22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Containers,</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6.00%</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L+450</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1,985,000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1,968,064</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1,980,038</w:t>
            </w:r>
          </w:p>
        </w:tc>
        <w:tc>
          <w:tcPr>
            <w:tcW w:w="6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4"/>
              </w:rPr>
              <w:t>Packaging and Glass</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07/06/2017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Capital Equipment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L+475</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992,500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984,001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976,372</w:t>
            </w:r>
          </w:p>
        </w:tc>
        <w:tc>
          <w:tcPr>
            <w:tcW w:w="60" w:type="dxa"/>
            <w:vAlign w:val="bottom"/>
            <w:shd w:val="clear" w:color="auto" w:fill="CCEEFF"/>
          </w:tcPr>
          <w:p>
            <w:pPr>
              <w:spacing w:after="0"/>
              <w:rPr>
                <w:sz w:val="12"/>
                <w:szCs w:val="12"/>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10/19/2017</w:t>
            </w:r>
          </w:p>
        </w:tc>
        <w:tc>
          <w:tcPr>
            <w:tcW w:w="220" w:type="dxa"/>
            <w:vAlign w:val="bottom"/>
          </w:tcPr>
          <w:p>
            <w:pPr>
              <w:spacing w:after="0"/>
              <w:rPr>
                <w:sz w:val="11"/>
                <w:szCs w:val="11"/>
                <w:color w:val="auto"/>
              </w:rPr>
            </w:pPr>
          </w:p>
        </w:tc>
        <w:tc>
          <w:tcPr>
            <w:tcW w:w="1800" w:type="dxa"/>
            <w:vAlign w:val="bottom"/>
            <w:gridSpan w:val="2"/>
          </w:tcPr>
          <w:p>
            <w:pPr>
              <w:jc w:val="center"/>
              <w:ind w:right="240"/>
              <w:spacing w:after="0" w:line="138" w:lineRule="exact"/>
              <w:rPr>
                <w:sz w:val="20"/>
                <w:szCs w:val="20"/>
                <w:color w:val="auto"/>
              </w:rPr>
            </w:pPr>
            <w:r>
              <w:rPr>
                <w:rFonts w:ascii="Arial" w:cs="Arial" w:eastAsia="Arial" w:hAnsi="Arial"/>
                <w:sz w:val="14"/>
                <w:szCs w:val="14"/>
                <w:color w:val="auto"/>
                <w:w w:val="87"/>
              </w:rPr>
              <w:t>Media: Broadcasting and</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7.75%</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L+625</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1,990,000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1,913,981</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1,987,513</w:t>
            </w:r>
          </w:p>
        </w:tc>
        <w:tc>
          <w:tcPr>
            <w:tcW w:w="6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8"/>
              </w:rPr>
              <w:t>Subscription</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02/08/2018</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High Tech Industries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3,990,000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3,911,459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Securus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05/31/2017</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5.25%</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L+400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2,977,500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2,950,706</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2,935,318</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04/22/2017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5"/>
              </w:rPr>
              <w:t>Aerospace and Defense</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2,977,500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2,952,842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2,947,725</w:t>
            </w:r>
          </w:p>
        </w:tc>
        <w:tc>
          <w:tcPr>
            <w:tcW w:w="60" w:type="dxa"/>
            <w:vAlign w:val="bottom"/>
            <w:shd w:val="clear" w:color="auto" w:fill="CCEEFF"/>
          </w:tcPr>
          <w:p>
            <w:pPr>
              <w:spacing w:after="0"/>
              <w:rPr>
                <w:sz w:val="12"/>
                <w:szCs w:val="12"/>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04/15/2016</w:t>
            </w:r>
          </w:p>
        </w:tc>
        <w:tc>
          <w:tcPr>
            <w:tcW w:w="22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Containers,</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4.75%</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L+350</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1,811,321</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1,808,062</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1,806,792</w:t>
            </w:r>
          </w:p>
        </w:tc>
        <w:tc>
          <w:tcPr>
            <w:tcW w:w="6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4"/>
              </w:rPr>
              <w:t>Packaging and Glass</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738,971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2"/>
              </w:rPr>
              <w:t>13.50%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L+1,200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1,875,000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1,821,164</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1,875,000</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04/28/2017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Capital Equipment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L+400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1,990,000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1,972,905</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1,975,075</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10/30/2017</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High Tech Industries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L+650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997,500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959,847</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996,253</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Unifrax I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11/28/2018</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Capital Equipment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2,992,500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2,934,992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3,018,610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06/19/2017</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Consumer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L+475</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2,977,500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2,952,122</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2,783,963</w:t>
            </w:r>
          </w:p>
        </w:tc>
        <w:tc>
          <w:tcPr>
            <w:tcW w:w="60" w:type="dxa"/>
            <w:vAlign w:val="bottom"/>
          </w:tcPr>
          <w:p>
            <w:pPr>
              <w:spacing w:after="0"/>
              <w:rPr>
                <w:sz w:val="12"/>
                <w:szCs w:val="12"/>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U.S. Healthworks Holding Company,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06/15/2016</w:t>
            </w: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Healthcare and</w:t>
            </w:r>
          </w:p>
        </w:tc>
        <w:tc>
          <w:tcPr>
            <w:tcW w:w="7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6.25%</w:t>
            </w:r>
          </w:p>
        </w:tc>
        <w:tc>
          <w:tcPr>
            <w:tcW w:w="10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L+475</w:t>
            </w:r>
          </w:p>
        </w:tc>
        <w:tc>
          <w:tcPr>
            <w:tcW w:w="8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89"/>
              </w:rPr>
              <w:t>2,977,500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2,952,966</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2,932,838</w:t>
            </w:r>
          </w:p>
        </w:tc>
        <w:tc>
          <w:tcPr>
            <w:tcW w:w="60" w:type="dxa"/>
            <w:vAlign w:val="bottom"/>
            <w:shd w:val="clear" w:color="auto" w:fill="CCEEFF"/>
          </w:tcPr>
          <w:p>
            <w:pPr>
              <w:spacing w:after="0"/>
              <w:rPr>
                <w:sz w:val="11"/>
                <w:szCs w:val="11"/>
                <w:color w:val="auto"/>
              </w:rPr>
            </w:pPr>
          </w:p>
        </w:tc>
      </w:tr>
      <w:tr>
        <w:trPr>
          <w:trHeight w:val="159"/>
        </w:trPr>
        <w:tc>
          <w:tcPr>
            <w:tcW w:w="66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240"/>
              <w:spacing w:after="0" w:line="159" w:lineRule="exact"/>
              <w:rPr>
                <w:sz w:val="20"/>
                <w:szCs w:val="20"/>
                <w:color w:val="auto"/>
              </w:rPr>
            </w:pPr>
            <w:r>
              <w:rPr>
                <w:rFonts w:ascii="Arial" w:cs="Arial" w:eastAsia="Arial" w:hAnsi="Arial"/>
                <w:sz w:val="14"/>
                <w:szCs w:val="14"/>
                <w:color w:val="auto"/>
                <w:w w:val="84"/>
              </w:rPr>
              <w:t>Pharmaceuticals</w:t>
            </w: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Par/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18"/>
                <w:szCs w:val="18"/>
                <w:b w:val="1"/>
                <w:bCs w:val="1"/>
                <w:color w:val="auto"/>
                <w:w w:val="97"/>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820" w:type="dxa"/>
            <w:vAlign w:val="bottom"/>
            <w:gridSpan w:val="2"/>
          </w:tcPr>
          <w:p>
            <w:pPr>
              <w:jc w:val="center"/>
              <w:ind w:right="60"/>
              <w:spacing w:after="0" w:line="162"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Valitas Health Services, Inc.</w:t>
            </w:r>
          </w:p>
        </w:tc>
        <w:tc>
          <w:tcPr>
            <w:tcW w:w="64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5"/>
              </w:rPr>
              <w:t>06/02/2017</w:t>
            </w:r>
          </w:p>
        </w:tc>
        <w:tc>
          <w:tcPr>
            <w:tcW w:w="200" w:type="dxa"/>
            <w:vAlign w:val="bottom"/>
            <w:shd w:val="clear" w:color="auto" w:fill="CCEEFF"/>
          </w:tcPr>
          <w:p>
            <w:pPr>
              <w:spacing w:after="0"/>
              <w:rPr>
                <w:sz w:val="10"/>
                <w:szCs w:val="10"/>
                <w:color w:val="auto"/>
              </w:rPr>
            </w:pPr>
          </w:p>
        </w:tc>
        <w:tc>
          <w:tcPr>
            <w:tcW w:w="15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6"/>
              </w:rPr>
              <w:t>Healthcare and</w:t>
            </w: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4"/>
              </w:rPr>
              <w:t>Pharmaceuticals</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5.75%</w:t>
            </w: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L+450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1,488,750</w:t>
            </w:r>
          </w:p>
        </w:tc>
        <w:tc>
          <w:tcPr>
            <w:tcW w:w="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1,482,497</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1,451,531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tcPr>
          <w:p>
            <w:pPr>
              <w:spacing w:after="0" w:line="138" w:lineRule="exact"/>
              <w:rPr>
                <w:sz w:val="20"/>
                <w:szCs w:val="20"/>
                <w:color w:val="auto"/>
              </w:rPr>
            </w:pPr>
            <w:r>
              <w:rPr>
                <w:rFonts w:ascii="Arial" w:cs="Arial" w:eastAsia="Arial" w:hAnsi="Arial"/>
                <w:sz w:val="14"/>
                <w:szCs w:val="14"/>
                <w:color w:val="auto"/>
              </w:rPr>
              <w:t>Vantage Specialties, Inc.</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02/09/2018</w:t>
            </w:r>
          </w:p>
        </w:tc>
        <w:tc>
          <w:tcPr>
            <w:tcW w:w="200" w:type="dxa"/>
            <w:vAlign w:val="bottom"/>
          </w:tcPr>
          <w:p>
            <w:pPr>
              <w:spacing w:after="0"/>
              <w:rPr>
                <w:sz w:val="11"/>
                <w:szCs w:val="11"/>
                <w:color w:val="auto"/>
              </w:rPr>
            </w:pPr>
          </w:p>
        </w:tc>
        <w:tc>
          <w:tcPr>
            <w:tcW w:w="18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Chemicals, Plastics and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Rubber</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7.00%</w:t>
            </w:r>
          </w:p>
        </w:tc>
        <w:tc>
          <w:tcPr>
            <w:tcW w:w="280" w:type="dxa"/>
            <w:vAlign w:val="bottom"/>
          </w:tcPr>
          <w:p>
            <w:pPr>
              <w:spacing w:after="0"/>
              <w:rPr>
                <w:sz w:val="13"/>
                <w:szCs w:val="13"/>
                <w:color w:val="auto"/>
              </w:rPr>
            </w:pP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3,000,000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2,940,664</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04/19/2016</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0"/>
              </w:rPr>
              <w:t>Media: Advertising,</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9"/>
              </w:rPr>
              <w:t>Printing and Publishing</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7.00%</w:t>
            </w: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4,500,000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4,453,517</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4,432,500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12/22/2016</w:t>
            </w:r>
          </w:p>
        </w:tc>
        <w:tc>
          <w:tcPr>
            <w:tcW w:w="2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Business Services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2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2,985,000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2,958,806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2,776,050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10/31/2017</w:t>
            </w: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Energy: Oil and Gas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L+625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1,995,000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1,919,750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1,975,050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tcPr>
          <w:p>
            <w:pPr>
              <w:spacing w:after="0" w:line="138" w:lineRule="exact"/>
              <w:rPr>
                <w:sz w:val="20"/>
                <w:szCs w:val="20"/>
                <w:color w:val="auto"/>
              </w:rPr>
            </w:pPr>
            <w:r>
              <w:rPr>
                <w:rFonts w:ascii="Arial" w:cs="Arial" w:eastAsia="Arial" w:hAnsi="Arial"/>
                <w:sz w:val="14"/>
                <w:szCs w:val="14"/>
                <w:color w:val="auto"/>
              </w:rPr>
              <w:t>Water Pik, Inc.</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08/10/2017</w:t>
            </w:r>
          </w:p>
        </w:tc>
        <w:tc>
          <w:tcPr>
            <w:tcW w:w="20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Consumer Goods:</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Durable</w:t>
            </w:r>
          </w:p>
        </w:tc>
        <w:tc>
          <w:tcPr>
            <w:tcW w:w="480" w:type="dxa"/>
            <w:vAlign w:val="bottom"/>
          </w:tcPr>
          <w:p>
            <w:pPr>
              <w:jc w:val="right"/>
              <w:spacing w:after="0"/>
              <w:rPr>
                <w:sz w:val="20"/>
                <w:szCs w:val="20"/>
                <w:color w:val="auto"/>
              </w:rPr>
            </w:pPr>
            <w:r>
              <w:rPr>
                <w:rFonts w:ascii="Arial" w:cs="Arial" w:eastAsia="Arial" w:hAnsi="Arial"/>
                <w:sz w:val="14"/>
                <w:szCs w:val="14"/>
                <w:color w:val="auto"/>
              </w:rPr>
              <w:t>6.75%</w:t>
            </w:r>
          </w:p>
        </w:tc>
        <w:tc>
          <w:tcPr>
            <w:tcW w:w="28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L+525</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3,482,500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3,450,900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3,473,794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03/23/2017</w:t>
            </w: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Environmental Industries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990,037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Wound Care (National Healing Corporation)</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Healthcare and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11/30/2017</w:t>
            </w: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Pharmaceuticals</w:t>
            </w:r>
          </w:p>
        </w:tc>
        <w:tc>
          <w:tcPr>
            <w:tcW w:w="480" w:type="dxa"/>
            <w:vAlign w:val="bottom"/>
          </w:tcPr>
          <w:p>
            <w:pPr>
              <w:jc w:val="right"/>
              <w:spacing w:after="0"/>
              <w:rPr>
                <w:sz w:val="20"/>
                <w:szCs w:val="20"/>
                <w:color w:val="auto"/>
              </w:rPr>
            </w:pPr>
            <w:r>
              <w:rPr>
                <w:rFonts w:ascii="Arial" w:cs="Arial" w:eastAsia="Arial" w:hAnsi="Arial"/>
                <w:sz w:val="14"/>
                <w:szCs w:val="14"/>
                <w:color w:val="auto"/>
              </w:rPr>
              <w:t>8.25%</w:t>
            </w:r>
          </w:p>
        </w:tc>
        <w:tc>
          <w:tcPr>
            <w:tcW w:w="28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L+675</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4,987,500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4,748,327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4,812,938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Yonkers Racing Corporation</w:t>
            </w:r>
            <w:r>
              <w:rPr>
                <w:rFonts w:ascii="Arial" w:cs="Arial" w:eastAsia="Arial" w:hAnsi="Arial"/>
                <w:sz w:val="15"/>
                <w:szCs w:val="15"/>
                <w:color w:val="auto"/>
                <w:vertAlign w:val="superscript"/>
              </w:rPr>
              <w:t>(5)</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07/15/2016</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9"/>
              </w:rPr>
              <w:t>Hotel, Gaming and</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7"/>
              </w:rPr>
              <w:t>Leisure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11.38%</w:t>
            </w:r>
          </w:p>
        </w:tc>
        <w:tc>
          <w:tcPr>
            <w:tcW w:w="2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4,000,000</w:t>
            </w:r>
          </w:p>
        </w:tc>
        <w:tc>
          <w:tcPr>
            <w:tcW w:w="2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4,322,842</w:t>
            </w:r>
          </w:p>
        </w:tc>
        <w:tc>
          <w:tcPr>
            <w:tcW w:w="2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126,721,245</w:t>
            </w: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126,306,324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Debt—7.4%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Autoparts Holdings Limited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01/29/2018</w:t>
            </w:r>
          </w:p>
        </w:tc>
        <w:tc>
          <w:tcPr>
            <w:tcW w:w="2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Automotive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6"/>
              </w:rPr>
              <w:t>10.50%</w:t>
            </w:r>
          </w:p>
        </w:tc>
        <w:tc>
          <w:tcPr>
            <w:tcW w:w="2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L+900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w:t>
            </w:r>
            <w:r>
              <w:rPr>
                <w:rFonts w:ascii="Arial" w:cs="Arial" w:eastAsia="Arial" w:hAnsi="Arial"/>
                <w:sz w:val="15"/>
                <w:szCs w:val="15"/>
                <w:color w:val="auto"/>
                <w:vertAlign w:val="superscript"/>
              </w:rPr>
              <w:t>(6)</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11/06/2018</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9"/>
              </w:rPr>
              <w:t>Media: Diversified and</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9"/>
              </w:rPr>
              <w:t>Production</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10.25%</w:t>
            </w: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1,500,000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1,485,491</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1,406,250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ROC Finance LLC and ROC Finance 1 Corp</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Hotel, Gaming and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09/01/2018</w:t>
            </w: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Leisure</w:t>
            </w:r>
          </w:p>
        </w:tc>
        <w:tc>
          <w:tcPr>
            <w:tcW w:w="480" w:type="dxa"/>
            <w:vAlign w:val="bottom"/>
          </w:tcPr>
          <w:p>
            <w:pPr>
              <w:jc w:val="right"/>
              <w:spacing w:after="0"/>
              <w:rPr>
                <w:sz w:val="20"/>
                <w:szCs w:val="20"/>
                <w:color w:val="auto"/>
              </w:rPr>
            </w:pPr>
            <w:r>
              <w:rPr>
                <w:rFonts w:ascii="Arial" w:cs="Arial" w:eastAsia="Arial" w:hAnsi="Arial"/>
                <w:sz w:val="14"/>
                <w:szCs w:val="14"/>
                <w:color w:val="auto"/>
                <w:w w:val="96"/>
              </w:rPr>
              <w:t>12.13%</w:t>
            </w: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2,000,000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1,967,727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2,230,000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05/09/2018</w:t>
            </w: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0"/>
              </w:rPr>
              <w:t>Utilities: Water</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991,449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tcPr>
          <w:p>
            <w:pPr>
              <w:spacing w:after="0" w:line="138" w:lineRule="exact"/>
              <w:rPr>
                <w:sz w:val="20"/>
                <w:szCs w:val="20"/>
                <w:color w:val="auto"/>
              </w:rPr>
            </w:pPr>
            <w:r>
              <w:rPr>
                <w:rFonts w:ascii="Arial" w:cs="Arial" w:eastAsia="Arial" w:hAnsi="Arial"/>
                <w:sz w:val="10"/>
                <w:szCs w:val="10"/>
                <w:color w:val="auto"/>
              </w:rPr>
              <w:t>Seven Seas Cruises</w:t>
            </w:r>
            <w:r>
              <w:rPr>
                <w:rFonts w:ascii="Arial" w:cs="Arial" w:eastAsia="Arial" w:hAnsi="Arial"/>
                <w:sz w:val="15"/>
                <w:szCs w:val="15"/>
                <w:color w:val="auto"/>
                <w:vertAlign w:val="superscript"/>
              </w:rPr>
              <w:t>(5), (6)</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05/15/2019</w:t>
            </w:r>
          </w:p>
        </w:tc>
        <w:tc>
          <w:tcPr>
            <w:tcW w:w="200" w:type="dxa"/>
            <w:vAlign w:val="bottom"/>
          </w:tcPr>
          <w:p>
            <w:pPr>
              <w:spacing w:after="0"/>
              <w:rPr>
                <w:sz w:val="11"/>
                <w:szCs w:val="11"/>
                <w:color w:val="auto"/>
              </w:rPr>
            </w:pPr>
          </w:p>
        </w:tc>
        <w:tc>
          <w:tcPr>
            <w:tcW w:w="18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9"/>
              </w:rPr>
              <w:t>Hotel, Gaming and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Leisure</w:t>
            </w:r>
          </w:p>
        </w:tc>
        <w:tc>
          <w:tcPr>
            <w:tcW w:w="480" w:type="dxa"/>
            <w:vAlign w:val="bottom"/>
          </w:tcPr>
          <w:p>
            <w:pPr>
              <w:jc w:val="right"/>
              <w:spacing w:after="0"/>
              <w:rPr>
                <w:sz w:val="20"/>
                <w:szCs w:val="20"/>
                <w:color w:val="auto"/>
              </w:rPr>
            </w:pPr>
            <w:r>
              <w:rPr>
                <w:rFonts w:ascii="Arial" w:cs="Arial" w:eastAsia="Arial" w:hAnsi="Arial"/>
                <w:sz w:val="14"/>
                <w:szCs w:val="14"/>
                <w:color w:val="auto"/>
              </w:rPr>
              <w:t>9.13%</w:t>
            </w: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1,500,000</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6,939,667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7,136,250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Notes—12.6%</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Affinion Group Holdings, Inc.</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11/15/2015</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Consumer Goods:</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Non-Durable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11.63%</w:t>
            </w:r>
          </w:p>
        </w:tc>
        <w:tc>
          <w:tcPr>
            <w:tcW w:w="2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4,100,000</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3,755,717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12/01/2017</w:t>
            </w:r>
          </w:p>
        </w:tc>
        <w:tc>
          <w:tcPr>
            <w:tcW w:w="2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Business Services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6"/>
              </w:rPr>
              <w:t>13.00%</w:t>
            </w:r>
          </w:p>
        </w:tc>
        <w:tc>
          <w:tcPr>
            <w:tcW w:w="2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Lonestar Intermediate Super Holdings, LLC</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09/02/2019</w:t>
            </w:r>
          </w:p>
        </w:tc>
        <w:tc>
          <w:tcPr>
            <w:tcW w:w="2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5"/>
              </w:rPr>
              <w:t>Consumer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11.00%</w:t>
            </w: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L+950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1,500,000</w:t>
            </w: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1,455,331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1,517,250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07/31/2018</w:t>
            </w:r>
          </w:p>
        </w:tc>
        <w:tc>
          <w:tcPr>
            <w:tcW w:w="20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Beverage, Food</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6"/>
              </w:rPr>
              <w:t>14.00%</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and Tobacco</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(PIK</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w:t>
            </w: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3,781,731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3,712,668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3,781,730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Trusthouse Services Group, Inc.</w:t>
            </w:r>
            <w:r>
              <w:rPr>
                <w:rFonts w:ascii="Arial" w:cs="Arial" w:eastAsia="Arial" w:hAnsi="Arial"/>
                <w:sz w:val="15"/>
                <w:szCs w:val="15"/>
                <w:color w:val="auto"/>
                <w:vertAlign w:val="superscript"/>
              </w:rPr>
              <w:t>(7)</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07/31/2018</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Beverage, Food</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3"/>
              </w:rPr>
              <w:t>and Tobacco</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4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2,206,000</w:t>
            </w:r>
          </w:p>
        </w:tc>
        <w:tc>
          <w:tcPr>
            <w:tcW w:w="2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2,161,880</w:t>
            </w:r>
          </w:p>
        </w:tc>
        <w:tc>
          <w:tcPr>
            <w:tcW w:w="2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12,065,596</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12,215,480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Current</w:t>
            </w:r>
          </w:p>
        </w:tc>
        <w:tc>
          <w:tcPr>
            <w:tcW w:w="6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99"/>
              </w:rPr>
              <w:t>Maturity</w:t>
            </w:r>
          </w:p>
        </w:tc>
        <w:tc>
          <w:tcPr>
            <w:tcW w:w="1040" w:type="dxa"/>
            <w:vAlign w:val="bottom"/>
          </w:tcPr>
          <w:p>
            <w:pPr>
              <w:spacing w:after="0"/>
              <w:rPr>
                <w:sz w:val="14"/>
                <w:szCs w:val="14"/>
                <w:color w:val="auto"/>
              </w:rPr>
            </w:pPr>
          </w:p>
        </w:tc>
        <w:tc>
          <w:tcPr>
            <w:tcW w:w="15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620" w:type="dxa"/>
            <w:vAlign w:val="bottom"/>
            <w:gridSpan w:val="2"/>
          </w:tcPr>
          <w:p>
            <w:pPr>
              <w:jc w:val="center"/>
              <w:ind w:right="160"/>
              <w:spacing w:after="0" w:line="168" w:lineRule="exact"/>
              <w:rPr>
                <w:sz w:val="20"/>
                <w:szCs w:val="20"/>
                <w:color w:val="auto"/>
              </w:rPr>
            </w:pPr>
            <w:r>
              <w:rPr>
                <w:rFonts w:ascii="Arial" w:cs="Arial" w:eastAsia="Arial" w:hAnsi="Arial"/>
                <w:sz w:val="12"/>
                <w:szCs w:val="12"/>
                <w:b w:val="1"/>
                <w:bCs w:val="1"/>
                <w:color w:val="auto"/>
                <w:w w:val="98"/>
              </w:rPr>
              <w:t>Index</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20"/>
              <w:spacing w:after="0" w:line="168" w:lineRule="exact"/>
              <w:rPr>
                <w:sz w:val="20"/>
                <w:szCs w:val="20"/>
                <w:color w:val="auto"/>
              </w:rPr>
            </w:pPr>
            <w:r>
              <w:rPr>
                <w:rFonts w:ascii="Arial" w:cs="Arial" w:eastAsia="Arial" w:hAnsi="Arial"/>
                <w:sz w:val="12"/>
                <w:szCs w:val="12"/>
                <w:b w:val="1"/>
                <w:bCs w:val="1"/>
                <w:color w:val="auto"/>
                <w:w w:val="92"/>
              </w:rPr>
              <w:t>Value</w:t>
            </w:r>
            <w:r>
              <w:rPr>
                <w:rFonts w:ascii="Arial" w:cs="Arial" w:eastAsia="Arial" w:hAnsi="Arial"/>
                <w:sz w:val="19"/>
                <w:szCs w:val="19"/>
                <w:b w:val="1"/>
                <w:bCs w:val="1"/>
                <w:color w:val="auto"/>
                <w:w w:val="92"/>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Interests—0.1%</w:t>
            </w:r>
            <w:r>
              <w:rPr>
                <w:rFonts w:ascii="Arial" w:cs="Arial" w:eastAsia="Arial" w:hAnsi="Arial"/>
                <w:sz w:val="17"/>
                <w:szCs w:val="17"/>
                <w:b w:val="1"/>
                <w:bCs w:val="1"/>
                <w:color w:val="auto"/>
                <w:vertAlign w:val="superscript"/>
              </w:rPr>
              <w:t>(8)</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Group, Inc.)</w:t>
            </w:r>
          </w:p>
        </w:tc>
        <w:tc>
          <w:tcPr>
            <w:tcW w:w="5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26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12.50%</w:t>
            </w: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158</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95,000</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122,104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Equity—0.4%</w:t>
            </w:r>
            <w:r>
              <w:rPr>
                <w:rFonts w:ascii="Arial" w:cs="Arial" w:eastAsia="Arial" w:hAnsi="Arial"/>
                <w:sz w:val="17"/>
                <w:szCs w:val="17"/>
                <w:b w:val="1"/>
                <w:bCs w:val="1"/>
                <w:color w:val="auto"/>
                <w:vertAlign w:val="superscript"/>
              </w:rPr>
              <w:t>(8)</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6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401,797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401,450</w:t>
            </w:r>
          </w:p>
        </w:tc>
        <w:tc>
          <w:tcPr>
            <w:tcW w:w="3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401,797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5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Inc.)</w:t>
            </w:r>
          </w:p>
        </w:tc>
        <w:tc>
          <w:tcPr>
            <w:tcW w:w="5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60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Beverage, Food and Tobacco</w:t>
            </w:r>
          </w:p>
        </w:tc>
        <w:tc>
          <w:tcPr>
            <w:tcW w:w="86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3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6,177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406,450</w:t>
            </w:r>
          </w:p>
        </w:tc>
        <w:tc>
          <w:tcPr>
            <w:tcW w:w="340" w:type="dxa"/>
            <w:vAlign w:val="bottom"/>
          </w:tcPr>
          <w:p>
            <w:pPr>
              <w:spacing w:after="0"/>
              <w:rPr>
                <w:sz w:val="14"/>
                <w:szCs w:val="14"/>
                <w:color w:val="auto"/>
              </w:rPr>
            </w:pPr>
          </w:p>
        </w:tc>
        <w:tc>
          <w:tcPr>
            <w:tcW w:w="76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407,974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7"/>
              </w:rPr>
              <w:t>Total Investments in Non-Controlled, Non-Affiliated Portfolio</w:t>
            </w:r>
          </w:p>
        </w:tc>
        <w:tc>
          <w:tcPr>
            <w:tcW w:w="5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2"/>
              </w:rPr>
              <w:t>146,227,958</w:t>
            </w:r>
          </w:p>
        </w:tc>
        <w:tc>
          <w:tcPr>
            <w:tcW w:w="34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4"/>
              </w:rPr>
              <w:t>146,188,132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Equivalents—4.0%</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3,849,360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3,849,360</w:t>
            </w:r>
          </w:p>
        </w:tc>
        <w:tc>
          <w:tcPr>
            <w:tcW w:w="34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3,849,360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Equivalents—155.1%</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150,077,318</w:t>
            </w: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150,037,492</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Assets—(55.1)%</w:t>
            </w: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w w:val="88"/>
              </w:rPr>
              <w:t>(53,315,187)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96,722,305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30"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Prime or “P”. All securities are subject to a LIBOR or Prime rate floor where a spread is provided, unless noted.</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8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8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Current</w:t>
            </w:r>
          </w:p>
        </w:tc>
        <w:tc>
          <w:tcPr>
            <w:tcW w:w="8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2"/>
                <w:szCs w:val="12"/>
                <w:color w:val="auto"/>
              </w:rPr>
            </w:pPr>
          </w:p>
        </w:tc>
        <w:tc>
          <w:tcPr>
            <w:tcW w:w="6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5"/>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Maturity</w:t>
            </w:r>
          </w:p>
        </w:tc>
        <w:tc>
          <w:tcPr>
            <w:tcW w:w="700" w:type="dxa"/>
            <w:vAlign w:val="bottom"/>
          </w:tcPr>
          <w:p>
            <w:pPr>
              <w:spacing w:after="0"/>
              <w:rPr>
                <w:sz w:val="15"/>
                <w:szCs w:val="15"/>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Coupon</w:t>
            </w:r>
          </w:p>
        </w:tc>
        <w:tc>
          <w:tcPr>
            <w:tcW w:w="820" w:type="dxa"/>
            <w:vAlign w:val="bottom"/>
            <w:gridSpan w:val="2"/>
          </w:tcPr>
          <w:p>
            <w:pPr>
              <w:jc w:val="center"/>
              <w:ind w:right="160"/>
              <w:spacing w:after="0" w:line="168" w:lineRule="exact"/>
              <w:rPr>
                <w:sz w:val="20"/>
                <w:szCs w:val="20"/>
                <w:color w:val="auto"/>
              </w:rPr>
            </w:pPr>
            <w:r>
              <w:rPr>
                <w:rFonts w:ascii="Arial" w:cs="Arial" w:eastAsia="Arial" w:hAnsi="Arial"/>
                <w:sz w:val="12"/>
                <w:szCs w:val="12"/>
                <w:b w:val="1"/>
                <w:bCs w:val="1"/>
                <w:color w:val="auto"/>
                <w:w w:val="98"/>
              </w:rPr>
              <w:t>Index</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76"/>
              </w:rPr>
              <w:t>Cost</w:t>
            </w:r>
          </w:p>
        </w:tc>
        <w:tc>
          <w:tcPr>
            <w:tcW w:w="100" w:type="dxa"/>
            <w:vAlign w:val="bottom"/>
          </w:tcPr>
          <w:p>
            <w:pPr>
              <w:spacing w:after="0"/>
              <w:rPr>
                <w:sz w:val="15"/>
                <w:szCs w:val="15"/>
                <w:color w:val="auto"/>
              </w:rPr>
            </w:pPr>
          </w:p>
        </w:tc>
        <w:tc>
          <w:tcPr>
            <w:tcW w:w="640" w:type="dxa"/>
            <w:vAlign w:val="bottom"/>
            <w:gridSpan w:val="3"/>
          </w:tcPr>
          <w:p>
            <w:pPr>
              <w:jc w:val="center"/>
              <w:ind w:right="180"/>
              <w:spacing w:after="0" w:line="168"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860" w:type="dxa"/>
            <w:vAlign w:val="bottom"/>
            <w:gridSpan w:val="5"/>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Non-Controlled, Non-Affiliated Portfolio Companies—120.2%</w:t>
            </w:r>
            <w:r>
              <w:rPr>
                <w:rFonts w:ascii="Arial" w:cs="Arial" w:eastAsia="Arial" w:hAnsi="Arial"/>
                <w:sz w:val="14"/>
                <w:szCs w:val="14"/>
                <w:b w:val="1"/>
                <w:bCs w:val="1"/>
                <w:color w:val="auto"/>
                <w:vertAlign w:val="superscript"/>
              </w:rPr>
              <w:t>(3),</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jc w:val="right"/>
              <w:ind w:right="344"/>
              <w:spacing w:after="0"/>
              <w:rPr>
                <w:sz w:val="20"/>
                <w:szCs w:val="20"/>
                <w:color w:val="auto"/>
              </w:rPr>
            </w:pPr>
            <w:r>
              <w:rPr>
                <w:rFonts w:ascii="Arial" w:cs="Arial" w:eastAsia="Arial" w:hAnsi="Arial"/>
                <w:sz w:val="11"/>
                <w:szCs w:val="11"/>
                <w:b w:val="1"/>
                <w:bCs w:val="1"/>
                <w:color w:val="auto"/>
              </w:rPr>
              <w:t>(4)</w:t>
            </w:r>
          </w:p>
        </w:tc>
        <w:tc>
          <w:tcPr>
            <w:tcW w:w="2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Airvana Network Solutions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03/25/2015</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Telecommunications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L+800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1,209,524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$ 1,213,365</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Artel, LLC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06/01/2016</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Telecommunications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L+425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987,500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978,043</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Autoparts Holdings Limited</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07/29/2017</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Automotive</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07/31/2016</w:t>
            </w:r>
          </w:p>
        </w:tc>
        <w:tc>
          <w:tcPr>
            <w:tcW w:w="20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91"/>
              </w:rPr>
              <w:t>Hotel, Gaming</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color w:val="auto"/>
                <w:w w:val="84"/>
              </w:rPr>
              <w:t>and Leisure</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12.38%</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L+988</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478,873</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488,220</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476,878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C.H.I. Overhead Doors, Inc.</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08/17/2017</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Consumer Goods:</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820"/>
              <w:spacing w:after="0"/>
              <w:rPr>
                <w:sz w:val="20"/>
                <w:szCs w:val="20"/>
                <w:color w:val="auto"/>
              </w:rPr>
            </w:pPr>
            <w:r>
              <w:rPr>
                <w:rFonts w:ascii="Arial" w:cs="Arial" w:eastAsia="Arial" w:hAnsi="Arial"/>
                <w:sz w:val="14"/>
                <w:szCs w:val="14"/>
                <w:color w:val="auto"/>
                <w:w w:val="85"/>
              </w:rPr>
              <w:t>Durable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4,000,000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3,921,236</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EAG,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P+350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987,500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982,590</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Ernest Health, Inc.</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05/13/2016</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Healthcare and</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6"/>
              </w:rPr>
              <w:t>Pharmaceuticals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L+475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2,966,250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2,939,107</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Frac Tech International, LLC</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05/06/2016</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2,073,930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2,054,330</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Gundle/SLT Environmental, Inc.</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05/27/2016</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1"/>
              </w:rPr>
              <w:t>Environmental</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8"/>
              </w:rPr>
              <w:t>Industries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2,992,500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2,964,467</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0"/>
                <w:szCs w:val="10"/>
                <w:color w:val="auto"/>
              </w:rPr>
              <w:t>Harmony Foods Corporation</w:t>
            </w:r>
            <w:r>
              <w:rPr>
                <w:rFonts w:ascii="Arial" w:cs="Arial" w:eastAsia="Arial" w:hAnsi="Arial"/>
                <w:sz w:val="15"/>
                <w:szCs w:val="15"/>
                <w:color w:val="auto"/>
                <w:vertAlign w:val="superscript"/>
              </w:rPr>
              <w:t>(11), (6)</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05/01/2016</w:t>
            </w:r>
          </w:p>
        </w:tc>
        <w:tc>
          <w:tcPr>
            <w:tcW w:w="20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6"/>
              </w:rPr>
              <w:t>Beverage, Food</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color w:val="auto"/>
                <w:w w:val="86"/>
              </w:rPr>
              <w:t>and Tobacco</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10.00%</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2,000,000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2,000,000</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Insight Global,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08/16/2017</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2,493,750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0"/>
                <w:szCs w:val="10"/>
                <w:color w:val="auto"/>
              </w:rPr>
              <w:t>Instant Web, Inc.</w:t>
            </w:r>
            <w:r>
              <w:rPr>
                <w:rFonts w:ascii="Arial" w:cs="Arial" w:eastAsia="Arial" w:hAnsi="Arial"/>
                <w:sz w:val="15"/>
                <w:szCs w:val="15"/>
                <w:color w:val="auto"/>
                <w:vertAlign w:val="superscript"/>
              </w:rPr>
              <w:t>(7)</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08/07/2014</w:t>
            </w:r>
          </w:p>
        </w:tc>
        <w:tc>
          <w:tcPr>
            <w:tcW w:w="20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92"/>
              </w:rPr>
              <w:t>Media: Advertising,</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color w:val="auto"/>
                <w:w w:val="87"/>
              </w:rPr>
              <w:t>Printing and Publishing</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3.61%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L+338</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6,981,823</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6,523,240</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K2 Pure Solutions NoCal, L.P.</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09/10/2015</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Chemicals, Plastics</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4"/>
              </w:rPr>
              <w:t>and Rubber</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P+675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5,476,250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5,525,637</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KAR Auction Services, Inc.</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05/19/2017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Automotive</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L+375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2,978,487</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KIK Custom Products Inc.</w:t>
            </w:r>
            <w:r>
              <w:rPr>
                <w:rFonts w:ascii="Arial" w:cs="Arial" w:eastAsia="Arial" w:hAnsi="Arial"/>
                <w:sz w:val="15"/>
                <w:szCs w:val="15"/>
                <w:color w:val="auto"/>
                <w:vertAlign w:val="superscript"/>
              </w:rPr>
              <w:t>(7)</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05/31/2014</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Consumer Goods:</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8"/>
              </w:rPr>
              <w:t>Non-Durable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L+700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4,987,500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4,847,186</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Medpace Holdings,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06/17/2017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1,995,000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1,966,025</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(7),(5)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05/06/2018</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1"/>
              </w:rPr>
              <w:t>Media: Diversified</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7"/>
              </w:rPr>
              <w:t>and Production</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3,990,000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3,951,886</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08/01/2014</w:t>
            </w:r>
          </w:p>
        </w:tc>
        <w:tc>
          <w:tcPr>
            <w:tcW w:w="20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91"/>
              </w:rPr>
              <w:t>Media: Diversified</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5.00%</w:t>
            </w:r>
            <w:r>
              <w:rPr>
                <w:rFonts w:ascii="Arial" w:cs="Arial" w:eastAsia="Arial" w:hAnsi="Arial"/>
                <w:sz w:val="22"/>
                <w:szCs w:val="22"/>
                <w:color w:val="auto"/>
                <w:vertAlign w:val="superscript"/>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color w:val="auto"/>
                <w:w w:val="87"/>
              </w:rPr>
              <w:t>and Production</w:t>
            </w:r>
          </w:p>
        </w:tc>
        <w:tc>
          <w:tcPr>
            <w:tcW w:w="1000" w:type="dxa"/>
            <w:vAlign w:val="bottom"/>
            <w:gridSpan w:val="2"/>
            <w:vMerge w:val="continue"/>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L+400</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5,498,048</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4,675,936</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Potter’s Holdings II, L.P.</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05/08/2017</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Containers, Packaging</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5"/>
              </w:rPr>
              <w:t>and Glass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L+450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1,995,000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1,976,257</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Pro Mach,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07/06/2017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Capital Equipment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997,500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987,986</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Securus Technologies,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05/31/2017</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Telecommunications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L+400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Select Medical Corporation</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06/01/2018</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L+375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2,963,943</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Seven Seas Cruises</w:t>
            </w:r>
            <w:r>
              <w:rPr>
                <w:rFonts w:ascii="Arial" w:cs="Arial" w:eastAsia="Arial" w:hAnsi="Arial"/>
                <w:sz w:val="15"/>
                <w:szCs w:val="15"/>
                <w:color w:val="auto"/>
                <w:vertAlign w:val="superscript"/>
              </w:rPr>
              <w:t>(11),(6),(7)</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05/15/2019</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1"/>
              </w:rPr>
              <w:t>Hotel, Gaming</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4"/>
              </w:rPr>
              <w:t>and Leisure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9.13%</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3,000,000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0"/>
                <w:szCs w:val="10"/>
                <w:color w:val="auto"/>
              </w:rPr>
              <w:t>Sotera Defense Solutions, Inc.</w:t>
            </w:r>
            <w:r>
              <w:rPr>
                <w:rFonts w:ascii="Arial" w:cs="Arial" w:eastAsia="Arial" w:hAnsi="Arial"/>
                <w:sz w:val="15"/>
                <w:szCs w:val="15"/>
                <w:color w:val="auto"/>
                <w:vertAlign w:val="superscript"/>
              </w:rPr>
              <w:t>(5)</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04/22/2017</w:t>
            </w:r>
          </w:p>
        </w:tc>
        <w:tc>
          <w:tcPr>
            <w:tcW w:w="2060" w:type="dxa"/>
            <w:vAlign w:val="bottom"/>
            <w:gridSpan w:val="3"/>
          </w:tcPr>
          <w:p>
            <w:pPr>
              <w:jc w:val="center"/>
              <w:ind w:right="140"/>
              <w:spacing w:after="0" w:line="138" w:lineRule="exact"/>
              <w:rPr>
                <w:sz w:val="20"/>
                <w:szCs w:val="20"/>
                <w:color w:val="auto"/>
              </w:rPr>
            </w:pPr>
            <w:r>
              <w:rPr>
                <w:rFonts w:ascii="Arial" w:cs="Arial" w:eastAsia="Arial" w:hAnsi="Arial"/>
                <w:sz w:val="14"/>
                <w:szCs w:val="14"/>
                <w:color w:val="auto"/>
                <w:w w:val="84"/>
              </w:rPr>
              <w:t>Aerospace and</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color w:val="auto"/>
                <w:w w:val="88"/>
              </w:rPr>
              <w:t>Defense</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2,964,848</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2,917,688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Tank Intermediate Holding Corp.</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04/15/2016</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Containers, Packaging</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5"/>
              </w:rPr>
              <w:t>and Glass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L+375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1,835,472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1,831,420</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1,807,940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Terex Corporation</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04/28/2017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Capital Equipment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1,980,598</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Triple Point Technology,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04/14/2016</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High Tech Industries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4,968,750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4,923,769</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Univita Health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Consumer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108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2,964,110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U.S. Healthworks Holding Company,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06/15/2016</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2,964,480</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Valitas Health Services,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06/02/2017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1,496,250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1,489,223</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04/19/2016</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0"/>
              </w:rPr>
              <w:t>Media: Advertising, Printing</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9"/>
              </w:rPr>
              <w:t>and Publishing</w:t>
            </w:r>
          </w:p>
        </w:tc>
        <w:tc>
          <w:tcPr>
            <w:tcW w:w="10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4,750,000</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4,694,273</w:t>
            </w:r>
          </w:p>
        </w:tc>
        <w:tc>
          <w:tcPr>
            <w:tcW w:w="2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4,690,625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Virtual Radiologic Corporation</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12/22/2016</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P+450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2,963,172</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Water Pik,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08/10/2017</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Consumer Goods: Durable</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3,465,501</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(11), (6)</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07/15/2016</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11.38%</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4,000,000</w:t>
            </w:r>
          </w:p>
        </w:tc>
        <w:tc>
          <w:tcPr>
            <w:tcW w:w="140" w:type="dxa"/>
            <w:vAlign w:val="bottom"/>
          </w:tcPr>
          <w:p>
            <w:pPr>
              <w:spacing w:after="0"/>
              <w:rPr>
                <w:sz w:val="13"/>
                <w:szCs w:val="13"/>
                <w:color w:val="auto"/>
              </w:rPr>
            </w:pPr>
          </w:p>
        </w:tc>
        <w:tc>
          <w:tcPr>
            <w:tcW w:w="6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4,355,966</w:t>
            </w:r>
          </w:p>
        </w:tc>
        <w:tc>
          <w:tcPr>
            <w:tcW w:w="28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97,975,314</w:t>
            </w:r>
          </w:p>
        </w:tc>
        <w:tc>
          <w:tcPr>
            <w:tcW w:w="280" w:type="dxa"/>
            <w:vAlign w:val="bottom"/>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Basis Point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Current</w:t>
            </w:r>
          </w:p>
        </w:tc>
        <w:tc>
          <w:tcPr>
            <w:tcW w:w="8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2"/>
                <w:szCs w:val="12"/>
                <w:color w:val="auto"/>
              </w:rPr>
            </w:pPr>
          </w:p>
        </w:tc>
        <w:tc>
          <w:tcPr>
            <w:tcW w:w="7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Maturity</w:t>
            </w:r>
          </w:p>
        </w:tc>
        <w:tc>
          <w:tcPr>
            <w:tcW w:w="70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Coupon</w:t>
            </w:r>
          </w:p>
        </w:tc>
        <w:tc>
          <w:tcPr>
            <w:tcW w:w="820" w:type="dxa"/>
            <w:vAlign w:val="bottom"/>
            <w:gridSpan w:val="2"/>
          </w:tcPr>
          <w:p>
            <w:pPr>
              <w:jc w:val="center"/>
              <w:ind w:right="160"/>
              <w:spacing w:after="0" w:line="168" w:lineRule="exact"/>
              <w:rPr>
                <w:sz w:val="20"/>
                <w:szCs w:val="20"/>
                <w:color w:val="auto"/>
              </w:rPr>
            </w:pPr>
            <w:r>
              <w:rPr>
                <w:rFonts w:ascii="Arial" w:cs="Arial" w:eastAsia="Arial" w:hAnsi="Arial"/>
                <w:sz w:val="12"/>
                <w:szCs w:val="12"/>
                <w:b w:val="1"/>
                <w:bCs w:val="1"/>
                <w:color w:val="auto"/>
                <w:w w:val="98"/>
              </w:rPr>
              <w:t>Index</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360"/>
              <w:spacing w:after="0" w:line="168" w:lineRule="exact"/>
              <w:rPr>
                <w:sz w:val="20"/>
                <w:szCs w:val="20"/>
                <w:color w:val="auto"/>
              </w:rPr>
            </w:pPr>
            <w:r>
              <w:rPr>
                <w:rFonts w:ascii="Arial" w:cs="Arial" w:eastAsia="Arial" w:hAnsi="Arial"/>
                <w:sz w:val="12"/>
                <w:szCs w:val="12"/>
                <w:b w:val="1"/>
                <w:bCs w:val="1"/>
                <w:color w:val="auto"/>
                <w:w w:val="92"/>
              </w:rPr>
              <w:t>Value</w:t>
            </w:r>
            <w:r>
              <w:rPr>
                <w:rFonts w:ascii="Arial" w:cs="Arial" w:eastAsia="Arial" w:hAnsi="Arial"/>
                <w:sz w:val="19"/>
                <w:szCs w:val="19"/>
                <w:b w:val="1"/>
                <w:bCs w:val="1"/>
                <w:color w:val="auto"/>
                <w:w w:val="92"/>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Debt—10.1%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1"/>
                <w:szCs w:val="11"/>
                <w:color w:val="auto"/>
              </w:rPr>
              <w:t>Autoparts Holdings Limited</w:t>
            </w:r>
            <w:r>
              <w:rPr>
                <w:rFonts w:ascii="Arial" w:cs="Arial" w:eastAsia="Arial" w:hAnsi="Arial"/>
                <w:sz w:val="17"/>
                <w:szCs w:val="17"/>
                <w:color w:val="auto"/>
                <w:vertAlign w:val="superscript"/>
              </w:rPr>
              <w:t>(5)</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2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10.50%</w:t>
            </w:r>
          </w:p>
        </w:tc>
        <w:tc>
          <w:tcPr>
            <w:tcW w:w="8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L+900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995,000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8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05/13/2017</w:t>
            </w:r>
          </w:p>
        </w:tc>
        <w:tc>
          <w:tcPr>
            <w:tcW w:w="2040" w:type="dxa"/>
            <w:vAlign w:val="bottom"/>
            <w:gridSpan w:val="3"/>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Healthcare and</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4"/>
              </w:rPr>
              <w:t>Pharmaceuticals</w:t>
            </w:r>
          </w:p>
        </w:tc>
        <w:tc>
          <w:tcPr>
            <w:tcW w:w="10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10.25%</w:t>
            </w:r>
          </w:p>
        </w:tc>
        <w:tc>
          <w:tcPr>
            <w:tcW w:w="8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L+850</w:t>
            </w:r>
          </w:p>
        </w:tc>
        <w:tc>
          <w:tcPr>
            <w:tcW w:w="9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3,942,406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3,940,000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(7)</w:t>
            </w:r>
          </w:p>
        </w:tc>
        <w:tc>
          <w:tcPr>
            <w:tcW w:w="8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11/06/2018</w:t>
            </w:r>
          </w:p>
        </w:tc>
        <w:tc>
          <w:tcPr>
            <w:tcW w:w="20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1"/>
              </w:rPr>
              <w:t>Media: Diversified</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and Production</w:t>
            </w: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10.25%</w:t>
            </w:r>
          </w:p>
        </w:tc>
        <w:tc>
          <w:tcPr>
            <w:tcW w:w="8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L+875</w:t>
            </w:r>
          </w:p>
        </w:tc>
        <w:tc>
          <w:tcPr>
            <w:tcW w:w="9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3"/>
                <w:szCs w:val="13"/>
                <w:color w:val="auto"/>
              </w:rPr>
            </w:pPr>
          </w:p>
        </w:tc>
        <w:tc>
          <w:tcPr>
            <w:tcW w:w="80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1,485,581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1,380,000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20" w:type="dxa"/>
            <w:vAlign w:val="bottom"/>
            <w:gridSpan w:val="2"/>
            <w:shd w:val="clear" w:color="auto" w:fill="CCEEFF"/>
          </w:tcPr>
          <w:p>
            <w:pPr>
              <w:spacing w:after="0" w:line="232" w:lineRule="exact"/>
              <w:rPr>
                <w:sz w:val="20"/>
                <w:szCs w:val="20"/>
                <w:color w:val="auto"/>
              </w:rPr>
            </w:pPr>
            <w:r>
              <w:rPr>
                <w:rFonts w:ascii="Arial" w:cs="Arial" w:eastAsia="Arial" w:hAnsi="Arial"/>
                <w:sz w:val="14"/>
                <w:szCs w:val="14"/>
                <w:color w:val="auto"/>
              </w:rPr>
              <w:t>ROC Finance LLC and ROC Finance 1 Corp</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09/01/2018</w:t>
            </w:r>
          </w:p>
        </w:tc>
        <w:tc>
          <w:tcPr>
            <w:tcW w:w="20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12.13%</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9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4"/>
                <w:szCs w:val="14"/>
                <w:color w:val="auto"/>
              </w:rPr>
            </w:pPr>
          </w:p>
        </w:tc>
        <w:tc>
          <w:tcPr>
            <w:tcW w:w="80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1,965,834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2,020,000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880" w:type="dxa"/>
            <w:vAlign w:val="bottom"/>
            <w:gridSpan w:val="3"/>
            <w:vMerge w:val="continue"/>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96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4"/>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3"/>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20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Utilities: Water</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8.50%</w:t>
            </w:r>
          </w:p>
        </w:tc>
        <w:tc>
          <w:tcPr>
            <w:tcW w:w="8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L+725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990,624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960,000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9,379,445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(11)</w:t>
            </w:r>
          </w:p>
        </w:tc>
        <w:tc>
          <w:tcPr>
            <w:tcW w:w="8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20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Consumer Goods: Non-Durable</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11.63%</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1,500,000</w:t>
            </w: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1,524,891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Trusthouse Services Group, Inc.</w:t>
            </w:r>
            <w:r>
              <w:rPr>
                <w:rFonts w:ascii="Arial" w:cs="Arial" w:eastAsia="Arial" w:hAnsi="Arial"/>
                <w:sz w:val="22"/>
                <w:szCs w:val="22"/>
                <w:color w:val="auto"/>
                <w:vertAlign w:val="superscript"/>
              </w:rPr>
              <w:t>(11),(7)</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88"/>
              </w:rPr>
              <w:t>07/31/2018</w:t>
            </w: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Beverage, Food</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1000" w:type="dxa"/>
            <w:vAlign w:val="bottom"/>
            <w:gridSpan w:val="2"/>
            <w:vMerge w:val="continue"/>
          </w:tcPr>
          <w:p>
            <w:pPr>
              <w:spacing w:after="0"/>
              <w:rPr>
                <w:sz w:val="13"/>
                <w:szCs w:val="13"/>
                <w:color w:val="auto"/>
              </w:rPr>
            </w:pP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3,762,500</w:t>
            </w:r>
          </w:p>
        </w:tc>
        <w:tc>
          <w:tcPr>
            <w:tcW w:w="80" w:type="dxa"/>
            <w:vAlign w:val="bottom"/>
          </w:tcPr>
          <w:p>
            <w:pPr>
              <w:spacing w:after="0"/>
              <w:rPr>
                <w:sz w:val="13"/>
                <w:szCs w:val="13"/>
                <w:color w:val="auto"/>
              </w:rPr>
            </w:pPr>
          </w:p>
        </w:tc>
        <w:tc>
          <w:tcPr>
            <w:tcW w:w="80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3,688,091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3,687,250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Trusthouse Services Group,</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20" w:type="dxa"/>
            <w:vAlign w:val="bottom"/>
            <w:gridSpan w:val="2"/>
            <w:shd w:val="clear" w:color="auto" w:fill="CCEEFF"/>
          </w:tcPr>
          <w:p>
            <w:pPr>
              <w:ind w:left="200"/>
              <w:spacing w:after="0" w:line="232" w:lineRule="exact"/>
              <w:rPr>
                <w:sz w:val="20"/>
                <w:szCs w:val="20"/>
                <w:color w:val="auto"/>
              </w:rPr>
            </w:pPr>
            <w:r>
              <w:rPr>
                <w:rFonts w:ascii="Arial" w:cs="Arial" w:eastAsia="Arial" w:hAnsi="Arial"/>
                <w:sz w:val="26"/>
                <w:szCs w:val="26"/>
                <w:color w:val="auto"/>
                <w:vertAlign w:val="subscript"/>
              </w:rPr>
              <w:t>Inc.</w:t>
            </w:r>
            <w:r>
              <w:rPr>
                <w:rFonts w:ascii="Arial" w:cs="Arial" w:eastAsia="Arial" w:hAnsi="Arial"/>
                <w:sz w:val="11"/>
                <w:szCs w:val="11"/>
                <w:color w:val="auto"/>
              </w:rPr>
              <w:t>(11),(9)</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07/31/2018</w:t>
            </w:r>
          </w:p>
        </w:tc>
        <w:tc>
          <w:tcPr>
            <w:tcW w:w="20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Beverage, Food</w:t>
            </w: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10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2,206,000</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2,161,880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2,161,880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20"/>
              <w:spacing w:after="0" w:line="155" w:lineRule="exact"/>
              <w:rPr>
                <w:sz w:val="20"/>
                <w:szCs w:val="20"/>
                <w:color w:val="auto"/>
              </w:rPr>
            </w:pPr>
            <w:r>
              <w:rPr>
                <w:rFonts w:ascii="Arial" w:cs="Arial" w:eastAsia="Arial" w:hAnsi="Arial"/>
                <w:sz w:val="14"/>
                <w:szCs w:val="14"/>
                <w:color w:val="auto"/>
              </w:rPr>
              <w:t>7,374,862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7,004,130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Interests—0.1%</w:t>
            </w:r>
            <w:r>
              <w:rPr>
                <w:rFonts w:ascii="Arial" w:cs="Arial" w:eastAsia="Arial" w:hAnsi="Arial"/>
                <w:sz w:val="17"/>
                <w:szCs w:val="17"/>
                <w:b w:val="1"/>
                <w:bCs w:val="1"/>
                <w:color w:val="auto"/>
                <w:vertAlign w:val="superscript"/>
              </w:rPr>
              <w:t>(10)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Trusthouse Services Holdings, LLC</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Beverage, Food</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12.50%</w:t>
            </w: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158</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95,000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96,985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(10)</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Holdings, LLC</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86"/>
              </w:rPr>
              <w:t>Beverage, Food</w:t>
            </w: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10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20"/>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5,000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1"/>
              </w:rPr>
              <w:t>Total Investments in Non-Controlled, Non-Affiliated Portfolio</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4"/>
              </w:rPr>
              <w:t>114,829,621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w w:val="82"/>
              </w:rPr>
              <w:t>110,724,241</w:t>
            </w: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Equivalents—7.6%</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60"/>
              <w:spacing w:after="0" w:line="155" w:lineRule="exact"/>
              <w:rPr>
                <w:sz w:val="20"/>
                <w:szCs w:val="20"/>
                <w:color w:val="auto"/>
              </w:rPr>
            </w:pPr>
            <w:r>
              <w:rPr>
                <w:rFonts w:ascii="Arial" w:cs="Arial" w:eastAsia="Arial" w:hAnsi="Arial"/>
                <w:sz w:val="14"/>
                <w:szCs w:val="14"/>
                <w:color w:val="auto"/>
              </w:rPr>
              <w:t>6,987,450</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6,987,450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6,987,450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121,817,071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117,711,691</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180"/>
              <w:spacing w:after="0" w:line="143" w:lineRule="exact"/>
              <w:rPr>
                <w:sz w:val="20"/>
                <w:szCs w:val="20"/>
                <w:color w:val="auto"/>
              </w:rPr>
            </w:pPr>
            <w:r>
              <w:rPr>
                <w:rFonts w:ascii="Arial" w:cs="Arial" w:eastAsia="Arial" w:hAnsi="Arial"/>
                <w:sz w:val="14"/>
                <w:szCs w:val="14"/>
                <w:color w:val="auto"/>
                <w:w w:val="85"/>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92,072,105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00" w:hanging="332"/>
        <w:spacing w:after="0" w:line="258" w:lineRule="auto"/>
        <w:tabs>
          <w:tab w:leader="none" w:pos="34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97" w:lineRule="auto"/>
        <w:tabs>
          <w:tab w:leader="none" w:pos="34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2011</w:t>
      </w:r>
    </w:p>
    <w:p>
      <w:pPr>
        <w:spacing w:after="0" w:line="148"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securities are pledged as collateral under the Credit Facility.</w:t>
      </w:r>
    </w:p>
    <w:p>
      <w:pPr>
        <w:ind w:left="340" w:hanging="332"/>
        <w:spacing w:after="0" w:line="22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Coupon is payable in cash and/or through PIK.</w:t>
      </w:r>
    </w:p>
    <w:p>
      <w:pPr>
        <w:ind w:left="340" w:hanging="332"/>
        <w:spacing w:after="0" w:line="22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60" w:right="29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April 13, 2011, we closed our initial public offering and our common stock trades on the NASDAQ Global Select Market under the symbol “PFLT.” Also on April 13, 2011, we issued 6,700,000 shares of common stock, and on May 11,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a commercial paper rate that approximates LIBOR plus 225 basis points during the revolving period. The Credit Facility is secured by all of the assets held by Funding I. See Note 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300" w:hanging="387"/>
        <w:spacing w:after="0"/>
        <w:tabs>
          <w:tab w:leader="none" w:pos="130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InvestmentValuations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0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color w:val="auto"/>
        </w:rPr>
        <w:t>management’s preliminary valuations in light of their own independent assessment and also in light of any market quotations obtained from an independent pricing service, broker, dealer or market maker;</w:t>
      </w:r>
    </w:p>
    <w:p>
      <w:pPr>
        <w:spacing w:after="0" w:line="51" w:lineRule="exact"/>
        <w:rPr>
          <w:sz w:val="20"/>
          <w:szCs w:val="20"/>
          <w:color w:val="auto"/>
        </w:rPr>
      </w:pPr>
    </w:p>
    <w:p>
      <w:pPr>
        <w:ind w:left="900" w:right="180" w:hanging="446"/>
        <w:spacing w:after="0" w:line="332" w:lineRule="auto"/>
        <w:tabs>
          <w:tab w:leader="none" w:pos="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300" w:hanging="387"/>
        <w:spacing w:after="0"/>
        <w:tabs>
          <w:tab w:leader="none" w:pos="1300" w:val="left"/>
        </w:tabs>
        <w:numPr>
          <w:ilvl w:val="0"/>
          <w:numId w:val="1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280" w:hanging="367"/>
        <w:spacing w:after="0"/>
        <w:tabs>
          <w:tab w:leader="none" w:pos="128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federal income tax regulations differ from GAAP, differences in distributable income arise which could be permanent or temporary. Book and tax basis differences which are permanent are reclassified among our capital accounts, to reflect their tax character. Temporary differences arise when certain items of income, expense, gain or loss are recognized at some time in the future.</w:t>
      </w:r>
    </w:p>
    <w:p>
      <w:pPr>
        <w:spacing w:after="0" w:line="262" w:lineRule="exact"/>
        <w:rPr>
          <w:sz w:val="20"/>
          <w:szCs w:val="20"/>
          <w:color w:val="auto"/>
        </w:rPr>
      </w:pPr>
    </w:p>
    <w:p>
      <w:pPr>
        <w:ind w:left="1300" w:hanging="387"/>
        <w:spacing w:after="0"/>
        <w:tabs>
          <w:tab w:leader="none" w:pos="130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Dividends,Distributions, and Capital Transactions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280" w:hanging="367"/>
        <w:spacing w:after="0"/>
        <w:tabs>
          <w:tab w:leader="none" w:pos="128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920"/>
        <w:spacing w:after="0"/>
        <w:tabs>
          <w:tab w:leader="none" w:pos="12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AssetTransfers and Servicing</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security interests in any such assets and are not intended to be available to the creditors of PennantPark Floating Rate Capital Ltd. (or any affiliate of the Company).</w:t>
      </w:r>
    </w:p>
    <w:p>
      <w:pPr>
        <w:spacing w:after="0" w:line="262" w:lineRule="exact"/>
        <w:rPr>
          <w:sz w:val="20"/>
          <w:szCs w:val="20"/>
          <w:color w:val="auto"/>
        </w:rPr>
      </w:pPr>
    </w:p>
    <w:p>
      <w:pPr>
        <w:ind w:left="1300" w:hanging="387"/>
        <w:spacing w:after="0"/>
        <w:tabs>
          <w:tab w:leader="none" w:pos="130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NewAccounting Pronouncement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May 2011, the Financial Accounting Standards Board issued Accounting Standards Update 2011-04, Amendments to Achieve Common Fair Value Measurement and Disclosure Requirements in U.S. GAAP and IFRSs, or ASU 2011-04. ASU 2011-04 amends ASC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on how a market participant would price the identical instrument; and (5) expanding the qualitative and quantitative fair value disclosure requirements. These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amendments are effective for fiscal years beginning after December 15, 2011 and for interim periods within those fiscal years. The amendments of ASU 2011-04, as adopted, did not have a material impact on our Consolidated Financial Statements. See Note 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and/or temporary draws under any credit facility and/or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the Investment Adviser earned a base management fee of $0.4 million and $0.7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resulted in no accrual.</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w:t>
      </w:r>
    </w:p>
    <w:p>
      <w:pPr>
        <w:spacing w:after="0" w:line="11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2012, the Investment Adviser and Administrator, collectively, were reimbursed approximately $0.1 million, from us, including expenses incurred by the Investment Adviser on behalf of the Administrator, for the services described above.</w:t>
      </w:r>
    </w:p>
    <w:p>
      <w:pPr>
        <w:spacing w:after="0" w:line="1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8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March 31, 2012, as well as the likelihood of future activity that may generate additional returns, management determined that the 7.0% return on Pre-Incentive Fee Net Investment Income was uncertain. Accordingly, we did not record a liability for it. Management continues to assess performance to determine whether the 7.0% return on Pre-Incentive Fee Net Investment Income is probable before recording the $2.1 million charge to capital.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and six months ended March 31, 2012 totaled $32.9 million and $72.3 million, respectively. Sales and repayments of long-term investments for the three and six months ended March 31, 2012 totaled $19.3 million and $41.6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2012</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ind w:left="70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2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1000"/>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126,721,245</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126,306,324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97,975,314</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94,333,126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4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6,939,667</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7,136,250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9,379,445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9,285,000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12,065,596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12,215,480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7,374,862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501,450</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530,078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146,227,958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146,188,132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114,829,621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110,724,241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3,849,360</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3,849,360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6,987,450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6,987,450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150,077,318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150,037,492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121,817,071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117,711,691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F-42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46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88"/>
              </w:rPr>
              <w:t>March 31, 2012</w:t>
            </w:r>
          </w:p>
        </w:tc>
        <w:tc>
          <w:tcPr>
            <w:tcW w:w="148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84"/>
              </w:rPr>
              <w:t>September 30, 2011</w:t>
            </w:r>
          </w:p>
        </w:tc>
      </w:tr>
      <w:tr>
        <w:trPr>
          <w:trHeight w:val="190"/>
        </w:trPr>
        <w:tc>
          <w:tcPr>
            <w:tcW w:w="6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Business Services</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10%</w:t>
            </w:r>
          </w:p>
        </w:tc>
        <w:tc>
          <w:tcPr>
            <w:tcW w:w="14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900" w:type="dxa"/>
            <w:vAlign w:val="bottom"/>
          </w:tcPr>
          <w:p>
            <w:pPr>
              <w:jc w:val="center"/>
              <w:spacing w:after="0"/>
              <w:rPr>
                <w:sz w:val="20"/>
                <w:szCs w:val="20"/>
                <w:color w:val="auto"/>
              </w:rPr>
            </w:pPr>
            <w:r>
              <w:rPr>
                <w:rFonts w:ascii="Arial" w:cs="Arial" w:eastAsia="Arial" w:hAnsi="Arial"/>
                <w:sz w:val="14"/>
                <w:szCs w:val="14"/>
                <w:color w:val="auto"/>
              </w:rPr>
              <w:t>8</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7</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4</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900" w:type="dxa"/>
            <w:vAlign w:val="bottom"/>
          </w:tcPr>
          <w:p>
            <w:pPr>
              <w:jc w:val="center"/>
              <w:spacing w:after="0"/>
              <w:rPr>
                <w:sz w:val="20"/>
                <w:szCs w:val="20"/>
                <w:color w:val="auto"/>
              </w:rPr>
            </w:pPr>
            <w:r>
              <w:rPr>
                <w:rFonts w:ascii="Arial" w:cs="Arial" w:eastAsia="Arial" w:hAnsi="Arial"/>
                <w:sz w:val="14"/>
                <w:szCs w:val="14"/>
                <w:color w:val="auto"/>
              </w:rPr>
              <w:t>7</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w w:val="76"/>
              </w:rPr>
              <w:t>10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8</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900" w:type="dxa"/>
            <w:vAlign w:val="bottom"/>
          </w:tcPr>
          <w:p>
            <w:pPr>
              <w:jc w:val="center"/>
              <w:spacing w:after="0"/>
              <w:rPr>
                <w:sz w:val="20"/>
                <w:szCs w:val="20"/>
                <w:color w:val="auto"/>
              </w:rPr>
            </w:pPr>
            <w:r>
              <w:rPr>
                <w:rFonts w:ascii="Arial" w:cs="Arial" w:eastAsia="Arial" w:hAnsi="Arial"/>
                <w:sz w:val="14"/>
                <w:szCs w:val="14"/>
                <w:color w:val="auto"/>
              </w:rPr>
              <w:t>7</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5</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4</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5</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w w:val="76"/>
              </w:rPr>
              <w:t>10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9</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8</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900" w:type="dxa"/>
            <w:vAlign w:val="bottom"/>
          </w:tcPr>
          <w:p>
            <w:pPr>
              <w:jc w:val="center"/>
              <w:spacing w:after="0"/>
              <w:rPr>
                <w:sz w:val="20"/>
                <w:szCs w:val="20"/>
                <w:color w:val="auto"/>
              </w:rPr>
            </w:pPr>
            <w:r>
              <w:rPr>
                <w:rFonts w:ascii="Arial" w:cs="Arial" w:eastAsia="Arial" w:hAnsi="Arial"/>
                <w:sz w:val="14"/>
                <w:szCs w:val="14"/>
                <w:color w:val="auto"/>
              </w:rPr>
              <w:t>5</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2</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3</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900" w:type="dxa"/>
            <w:vAlign w:val="bottom"/>
          </w:tcPr>
          <w:p>
            <w:pPr>
              <w:jc w:val="center"/>
              <w:spacing w:after="0"/>
              <w:rPr>
                <w:sz w:val="20"/>
                <w:szCs w:val="20"/>
                <w:color w:val="auto"/>
              </w:rPr>
            </w:pPr>
            <w:r>
              <w:rPr>
                <w:rFonts w:ascii="Arial" w:cs="Arial" w:eastAsia="Arial" w:hAnsi="Arial"/>
                <w:sz w:val="14"/>
                <w:szCs w:val="14"/>
                <w:color w:val="auto"/>
              </w:rPr>
              <w:t>3</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4</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3</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900" w:type="dxa"/>
            <w:vAlign w:val="bottom"/>
          </w:tcPr>
          <w:p>
            <w:pPr>
              <w:jc w:val="center"/>
              <w:spacing w:after="0"/>
              <w:rPr>
                <w:sz w:val="20"/>
                <w:szCs w:val="20"/>
                <w:color w:val="auto"/>
              </w:rPr>
            </w:pPr>
            <w:r>
              <w:rPr>
                <w:rFonts w:ascii="Arial" w:cs="Arial" w:eastAsia="Arial" w:hAnsi="Arial"/>
                <w:sz w:val="14"/>
                <w:szCs w:val="14"/>
                <w:color w:val="auto"/>
              </w:rPr>
              <w:t>3</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2</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3</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14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w w:val="89"/>
              </w:rPr>
              <w:t>100%</w:t>
            </w:r>
          </w:p>
        </w:tc>
      </w:tr>
      <w:tr>
        <w:trPr>
          <w:trHeight w:val="20"/>
        </w:trPr>
        <w:tc>
          <w:tcPr>
            <w:tcW w:w="1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3"/>
              </w:rPr>
              <w:t>Range of</w:t>
            </w:r>
          </w:p>
        </w:tc>
      </w:t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 Category</w:t>
            </w:r>
          </w:p>
        </w:tc>
        <w:tc>
          <w:tcPr>
            <w:tcW w:w="378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Fair Value</w:t>
            </w: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Valuation Techniques</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Unobservable Inputs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Values/Input</w:t>
            </w:r>
          </w:p>
        </w:tc>
      </w:tr>
      <w:tr>
        <w:trPr>
          <w:trHeight w:val="181"/>
        </w:trPr>
        <w:tc>
          <w:tcPr>
            <w:tcW w:w="47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First lien, second lien, subordinated debt/corporate notes and</w:t>
            </w:r>
          </w:p>
        </w:tc>
        <w:tc>
          <w:tcPr>
            <w:tcW w:w="6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and common equity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Market approach</w:t>
            </w:r>
          </w:p>
        </w:tc>
        <w:tc>
          <w:tcPr>
            <w:tcW w:w="20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Broker/Dealer bids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 – 9</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w w:val="95"/>
              </w:rPr>
              <w:t>First lien, second lien, subordinated debt/corporate notes and</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preferred and common equity</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8"/>
        </w:trPr>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Market comparable/</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9"/>
        </w:trPr>
        <w:tc>
          <w:tcPr>
            <w:tcW w:w="9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Enterprise value</w:t>
            </w: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EBITDA multiples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7.6x – 10.7x</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Market comparable/ Income</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8"/>
        </w:trPr>
        <w:tc>
          <w:tcPr>
            <w:tcW w:w="9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5"/>
              </w:rPr>
              <w:t>approach</w:t>
            </w:r>
          </w:p>
        </w:tc>
        <w:tc>
          <w:tcPr>
            <w:tcW w:w="20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Discount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March 31, 2012 and September 30, 2011, our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w w:val="98"/>
              </w:rPr>
              <w:t>Fair Value Measurements at March 31, 2012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126,306,324</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126,306,324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7,136,250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12,215,480</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8,504,980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530,078</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146,188,132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142,477,632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3,849,360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3,849,360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150,037,492</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3,849,360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142,477,632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47,561,000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47,561,000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F-45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720" w:right="240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6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w w:val="93"/>
              </w:rPr>
              <w:t>Fair Value Measurements at September 30, 2011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2,033,747</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92,299,379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1,155,000</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110,724,241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6,987,450</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117,711,691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6,987,450</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tables show a reconciliation of the beginning and ending balances for fair valued investments measured using significant unobservable inputs (Level 3) for the six months ended March 31, 2012 and for the period from March 4, 2011 (commencement of operations) to September 30, 2011: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8"/>
              </w:rPr>
              <w:t>Six Months Ended March 31, 2012</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subordinated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3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debt and equity</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First Lien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140" w:type="dxa"/>
            <w:vAlign w:val="bottom"/>
          </w:tcPr>
          <w:p>
            <w:pPr>
              <w:spacing w:after="0"/>
              <w:rPr>
                <w:sz w:val="14"/>
                <w:szCs w:val="14"/>
                <w:color w:val="auto"/>
              </w:rPr>
            </w:pPr>
          </w:p>
        </w:tc>
        <w:tc>
          <w:tcPr>
            <w:tcW w:w="10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October 1, 2011</w:t>
            </w:r>
            <w:r>
              <w:rPr>
                <w:rFonts w:ascii="Arial" w:cs="Arial" w:eastAsia="Arial" w:hAnsi="Arial"/>
                <w:sz w:val="11"/>
                <w:szCs w:val="11"/>
                <w:color w:val="auto"/>
              </w:rPr>
              <w:t>(1)</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89,329,379</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18,206,115</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107,535,494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315,366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86,442</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401,808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3,176,684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543,615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3,720,299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67,494,977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2,868,886</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70,363,863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Sales/repayments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(34,010,082)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(5,533,750)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(39,543,832)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8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126,306,324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16,171,308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142,477,632</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change in unrealized appreciation for the six months ended March 31,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tcPr>
          <w:p>
            <w:pPr>
              <w:ind w:left="220"/>
              <w:spacing w:after="0"/>
              <w:rPr>
                <w:sz w:val="20"/>
                <w:szCs w:val="20"/>
                <w:color w:val="auto"/>
              </w:rPr>
            </w:pPr>
            <w:r>
              <w:rPr>
                <w:rFonts w:ascii="Arial" w:cs="Arial" w:eastAsia="Arial" w:hAnsi="Arial"/>
                <w:sz w:val="18"/>
                <w:szCs w:val="18"/>
                <w:color w:val="auto"/>
              </w:rPr>
              <w:t>2012 reported within the net change in unrealized appreciation on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tcPr>
          <w:p>
            <w:pPr>
              <w:ind w:left="220"/>
              <w:spacing w:after="0"/>
              <w:rPr>
                <w:sz w:val="20"/>
                <w:szCs w:val="20"/>
                <w:color w:val="auto"/>
              </w:rPr>
            </w:pPr>
            <w:r>
              <w:rPr>
                <w:rFonts w:ascii="Arial" w:cs="Arial" w:eastAsia="Arial" w:hAnsi="Arial"/>
                <w:sz w:val="18"/>
                <w:szCs w:val="18"/>
                <w:color w:val="auto"/>
              </w:rPr>
              <w:t>investments in our Consolidated Statement of Operations attributable to</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80" w:type="dxa"/>
            <w:vAlign w:val="bottom"/>
            <w:gridSpan w:val="2"/>
          </w:tcPr>
          <w:p>
            <w:pPr>
              <w:ind w:left="220"/>
              <w:spacing w:after="0"/>
              <w:rPr>
                <w:sz w:val="20"/>
                <w:szCs w:val="20"/>
                <w:color w:val="auto"/>
              </w:rPr>
            </w:pPr>
            <w:r>
              <w:rPr>
                <w:rFonts w:ascii="Arial" w:cs="Arial" w:eastAsia="Arial" w:hAnsi="Arial"/>
                <w:sz w:val="18"/>
                <w:szCs w:val="18"/>
                <w:color w:val="auto"/>
              </w:rPr>
              <w:t>our Level 3 assets still held at the reporting date.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3,638,956</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546,020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4,184,976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As-adjusted to conform to current year presentation.</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0960"/>
          </w:cols>
          <w:pgMar w:left="240" w:top="460" w:right="69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6"/>
              </w:rPr>
              <w:t>March 4, 2011 (commencement of 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to September 30, 2011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subordinated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debt and equity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rPr>
              <w:t>First Lien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218,684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93,319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(3,621,606)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(93,301)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w w:val="85"/>
              </w:rPr>
              <w:t>124,246,206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19,766,732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144,012,938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(28,543,905)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(4,530,635)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92,299,379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15,236,115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w w:val="96"/>
              </w:rPr>
              <w:t>Net change in unrealized depreciation for the year reported within the net change in unrealized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w w:val="96"/>
              </w:rPr>
              <w:t>depreciation on investments in our Consolidated Statement of Operations attributable to our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(3,621,606)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 for the six months ended March 31,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2012</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Carrying/</w:t>
            </w:r>
          </w:p>
        </w:tc>
      </w:tr>
      <w:tr>
        <w:trPr>
          <w:trHeight w:val="161"/>
        </w:trPr>
        <w:tc>
          <w:tcPr>
            <w:tcW w:w="85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 (cost—$24,650,000)</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$ 24,650,000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(239,000)</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54,050,000</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(30,900,000)</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Ending Balance, March 31, 2012 (cost—$47,800,000)</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$ 47,561,000</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net unrealized depreciation of $0.2 million and zero, respectively. We use one or more nationally recognized independent valuation service to measure the fair value of the Credit Facility in a manner consistent with the valuation process that the board of directors uses to value investments.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r>
      <w:tr>
        <w:trPr>
          <w:trHeight w:val="161"/>
        </w:trPr>
        <w:tc>
          <w:tcPr>
            <w:tcW w:w="6140" w:type="dxa"/>
            <w:vAlign w:val="bottom"/>
          </w:tcPr>
          <w:p>
            <w:pPr>
              <w:spacing w:after="0"/>
              <w:rPr>
                <w:sz w:val="20"/>
                <w:szCs w:val="20"/>
                <w:color w:val="auto"/>
              </w:rPr>
            </w:pPr>
            <w:r>
              <w:rPr>
                <w:rFonts w:ascii="Arial" w:cs="Arial" w:eastAsia="Arial" w:hAnsi="Arial"/>
                <w:sz w:val="14"/>
                <w:szCs w:val="14"/>
                <w:b w:val="1"/>
                <w:bCs w:val="1"/>
                <w:color w:val="auto"/>
              </w:rPr>
              <w:t>Class and Year</w:t>
            </w:r>
          </w:p>
        </w:tc>
        <w:tc>
          <w:tcPr>
            <w:tcW w:w="120" w:type="dxa"/>
            <w:vAlign w:val="bottom"/>
          </w:tcPr>
          <w:p>
            <w:pPr>
              <w:spacing w:after="0"/>
              <w:rPr>
                <w:sz w:val="14"/>
                <w:szCs w:val="14"/>
                <w:color w:val="auto"/>
              </w:rPr>
            </w:pPr>
          </w:p>
        </w:tc>
        <w:tc>
          <w:tcPr>
            <w:tcW w:w="21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4"/>
              </w:rPr>
              <w:t>March 31, 2012</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4,525,075</w:t>
            </w: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20" w:type="dxa"/>
            <w:vAlign w:val="bottom"/>
          </w:tcPr>
          <w:p>
            <w:pPr>
              <w:spacing w:after="0"/>
              <w:rPr>
                <w:sz w:val="18"/>
                <w:szCs w:val="18"/>
                <w:color w:val="auto"/>
              </w:rPr>
            </w:pPr>
          </w:p>
        </w:tc>
        <w:tc>
          <w:tcPr>
            <w:tcW w:w="2160" w:type="dxa"/>
            <w:vAlign w:val="bottom"/>
            <w:gridSpan w:val="2"/>
          </w:tcPr>
          <w:p>
            <w:pPr>
              <w:jc w:val="right"/>
              <w:ind w:right="1060"/>
              <w:spacing w:after="0"/>
              <w:rPr>
                <w:sz w:val="20"/>
                <w:szCs w:val="20"/>
                <w:color w:val="auto"/>
              </w:rPr>
            </w:pPr>
            <w:r>
              <w:rPr>
                <w:rFonts w:ascii="Arial" w:cs="Arial" w:eastAsia="Arial" w:hAnsi="Arial"/>
                <w:sz w:val="18"/>
                <w:szCs w:val="18"/>
                <w:color w:val="auto"/>
              </w:rPr>
              <w:t>6,850,667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6,850,667</w:t>
            </w:r>
          </w:p>
        </w:tc>
        <w:tc>
          <w:tcPr>
            <w:tcW w:w="100" w:type="dxa"/>
            <w:vAlign w:val="bottom"/>
          </w:tcPr>
          <w:p>
            <w:pPr>
              <w:spacing w:after="0"/>
              <w:rPr>
                <w:sz w:val="18"/>
                <w:szCs w:val="18"/>
                <w:color w:val="auto"/>
              </w:rPr>
            </w:pPr>
          </w:p>
        </w:tc>
      </w:tr>
      <w:tr>
        <w:trPr>
          <w:trHeight w:val="208"/>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1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2012 and September 30, 2011, cash equivalents consisted of $3.8 million and $7.0 million, including amounts in money market funds, respectively.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net assets and net asset value per share on March 31, 2012 were $96.7 million and $14.12 per share, respectively. Below are the financial highlights for the six months ended March 31, 2012.</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340" w:type="dxa"/>
            <w:vAlign w:val="bottom"/>
            <w:gridSpan w:val="4"/>
          </w:tcPr>
          <w:p>
            <w:pPr>
              <w:ind w:left="11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change in realized and unrealized gain</w:t>
            </w: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6,850,667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96,722,305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34,512,568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Average debt per share</w:t>
            </w:r>
          </w:p>
        </w:tc>
        <w:tc>
          <w:tcPr>
            <w:tcW w:w="1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7740" w:firstLine="8"/>
        <w:spacing w:after="0" w:line="286" w:lineRule="auto"/>
        <w:tabs>
          <w:tab w:leader="none" w:pos="44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period except for net asset value.</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440" w:hanging="452"/>
        <w:spacing w:after="0" w:line="261"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June 23, 2011, Funding I entered into a five-year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March 31, 2012 and September 30, 2011, Funding I had $47.8 million and $24.7 million of outstanding borrowings under the Credit Facility, carried an interest rate of 2.54% and 2.53%, excluding the 0.50% undrawn commitment fee.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substantially all of the assets of the Company.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required to be used for assets or liabilities for such compliance reporting). As of March 31, 2012, we were in compliance with our covenants relating to our Credit Facility.</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546100</wp:posOffset>
            </wp:positionV>
            <wp:extent cx="2461260" cy="5314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61260" cy="53149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3,000,000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654050</wp:posOffset>
            </wp:positionV>
            <wp:extent cx="40563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191135</wp:posOffset>
            </wp:positionV>
            <wp:extent cx="40563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Bookrunners</w:t>
      </w:r>
    </w:p>
    <w:p>
      <w:pPr>
        <w:spacing w:after="0" w:line="70"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Morgan Stanley</w:t>
      </w:r>
    </w:p>
    <w:p>
      <w:pPr>
        <w:spacing w:after="0" w:line="89" w:lineRule="exact"/>
        <w:rPr>
          <w:sz w:val="20"/>
          <w:szCs w:val="20"/>
          <w:color w:val="auto"/>
        </w:rPr>
      </w:pPr>
    </w:p>
    <w:p>
      <w:pPr>
        <w:ind w:left="5080"/>
        <w:spacing w:after="0"/>
        <w:rPr>
          <w:sz w:val="20"/>
          <w:szCs w:val="20"/>
          <w:color w:val="auto"/>
        </w:rPr>
      </w:pPr>
      <w:r>
        <w:rPr>
          <w:rFonts w:ascii="Arial" w:cs="Arial" w:eastAsia="Arial" w:hAnsi="Arial"/>
          <w:sz w:val="24"/>
          <w:szCs w:val="24"/>
          <w:b w:val="1"/>
          <w:bCs w:val="1"/>
          <w:color w:val="auto"/>
        </w:rPr>
        <w:t>J.P. Morgan</w:t>
      </w:r>
    </w:p>
    <w:p>
      <w:pPr>
        <w:spacing w:after="0" w:line="89" w:lineRule="exact"/>
        <w:rPr>
          <w:sz w:val="20"/>
          <w:szCs w:val="20"/>
          <w:color w:val="auto"/>
        </w:rPr>
      </w:pPr>
    </w:p>
    <w:p>
      <w:pPr>
        <w:ind w:left="4460"/>
        <w:spacing w:after="0"/>
        <w:rPr>
          <w:sz w:val="20"/>
          <w:szCs w:val="20"/>
          <w:color w:val="auto"/>
        </w:rPr>
      </w:pPr>
      <w:r>
        <w:rPr>
          <w:rFonts w:ascii="Arial" w:cs="Arial" w:eastAsia="Arial" w:hAnsi="Arial"/>
          <w:sz w:val="24"/>
          <w:szCs w:val="24"/>
          <w:b w:val="1"/>
          <w:bCs w:val="1"/>
          <w:color w:val="auto"/>
        </w:rPr>
        <w:t>Keefe, Bruyette &amp; Woods</w:t>
      </w:r>
    </w:p>
    <w:p>
      <w:pPr>
        <w:spacing w:after="0" w:line="37" w:lineRule="exact"/>
        <w:rPr>
          <w:sz w:val="20"/>
          <w:szCs w:val="20"/>
          <w:color w:val="auto"/>
        </w:rPr>
      </w:pPr>
    </w:p>
    <w:p>
      <w:pPr>
        <w:jc w:val="right"/>
        <w:ind w:right="2559"/>
        <w:spacing w:after="0"/>
        <w:rPr>
          <w:sz w:val="20"/>
          <w:szCs w:val="20"/>
          <w:color w:val="auto"/>
        </w:rPr>
      </w:pPr>
      <w:r>
        <w:rPr>
          <w:rFonts w:ascii="Arial" w:cs="Arial" w:eastAsia="Arial" w:hAnsi="Arial"/>
          <w:sz w:val="14"/>
          <w:szCs w:val="14"/>
          <w:i w:val="1"/>
          <w:iCs w:val="1"/>
          <w:color w:val="auto"/>
        </w:rPr>
        <w:t>A Stifel Company</w:t>
      </w:r>
    </w:p>
    <w:p>
      <w:pPr>
        <w:spacing w:after="0" w:line="127"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Lead-Managers</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JMP Securities</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Ladenburg Thalmann &amp; Co. Inc.</w:t>
      </w:r>
    </w:p>
    <w:p>
      <w:pPr>
        <w:spacing w:after="0" w:line="1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Janney Montgomery Scott</w:t>
      </w:r>
    </w:p>
    <w:p>
      <w:pPr>
        <w:spacing w:after="0" w:line="144"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Co-Manager</w:t>
      </w:r>
    </w:p>
    <w:p>
      <w:pPr>
        <w:spacing w:after="0" w:line="71" w:lineRule="exact"/>
        <w:rPr>
          <w:sz w:val="20"/>
          <w:szCs w:val="20"/>
          <w:color w:val="auto"/>
        </w:rPr>
      </w:pPr>
    </w:p>
    <w:p>
      <w:pPr>
        <w:ind w:left="5380"/>
        <w:spacing w:after="0"/>
        <w:rPr>
          <w:sz w:val="20"/>
          <w:szCs w:val="20"/>
          <w:color w:val="auto"/>
        </w:rPr>
      </w:pPr>
      <w:r>
        <w:rPr>
          <w:rFonts w:ascii="Arial" w:cs="Arial" w:eastAsia="Arial" w:hAnsi="Arial"/>
          <w:sz w:val="22"/>
          <w:szCs w:val="22"/>
          <w:b w:val="1"/>
          <w:bCs w:val="1"/>
          <w:color w:val="auto"/>
        </w:rPr>
        <w:t>Maxim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1"/>
      <w:numFmt w:val="lowerLetter"/>
      <w:start w:val="1"/>
    </w:lvl>
    <w:lvl w:ilvl="1">
      <w:lvlJc w:val="left"/>
      <w:lvlText w:val="•"/>
      <w:numFmt w:val="bullet"/>
      <w:start w:val="1"/>
    </w:lvl>
  </w:abstractNum>
  <w:abstractNum w:abstractNumId="4">
    <w:nsid w:val="4962813B"/>
    <w:multiLevelType w:val="hybridMultilevel"/>
    <w:lvl w:ilvl="0">
      <w:lvlJc w:val="left"/>
      <w:lvlText w:val="(%1)"/>
      <w:numFmt w:val="decimal"/>
      <w:start w:val="1"/>
    </w:lvl>
  </w:abstractNum>
  <w:abstractNum w:abstractNumId="5">
    <w:nsid w:val="60B6DF70"/>
    <w:multiLevelType w:val="hybridMultilevel"/>
    <w:lvl w:ilvl="0">
      <w:lvlJc w:val="left"/>
      <w:lvlText w:val="(%1)"/>
      <w:numFmt w:val="decimal"/>
      <w:start w:val="8"/>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1)"/>
      <w:numFmt w:val="decimal"/>
      <w:start w:val="1"/>
    </w:lvl>
  </w:abstractNum>
  <w:abstractNum w:abstractNumId="8">
    <w:nsid w:val="7FFFCA11"/>
    <w:multiLevelType w:val="hybridMultilevel"/>
    <w:lvl w:ilvl="0">
      <w:lvlJc w:val="left"/>
      <w:lvlText w:val="(%1)"/>
      <w:numFmt w:val="decimal"/>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1)"/>
      <w:numFmt w:val="decimal"/>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1)"/>
      <w:numFmt w:val="decimal"/>
      <w:start w:val="1"/>
    </w:lvl>
  </w:abstractNum>
  <w:abstractNum w:abstractNumId="16">
    <w:nsid w:val="885E1B"/>
    <w:multiLevelType w:val="hybridMultilevel"/>
    <w:lvl w:ilvl="0">
      <w:lvlJc w:val="left"/>
      <w:lvlText w:val="(%1)"/>
      <w:numFmt w:val="decimal"/>
      <w:start w:val="1"/>
    </w:lvl>
  </w:abstractNum>
  <w:abstractNum w:abstractNumId="17">
    <w:nsid w:val="76272110"/>
    <w:multiLevelType w:val="hybridMultilevel"/>
    <w:lvl w:ilvl="0">
      <w:lvlJc w:val="left"/>
      <w:lvlText w:val="(%1)"/>
      <w:numFmt w:val="decimal"/>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1)"/>
      <w:numFmt w:val="lowerLetter"/>
      <w:start w:val="1"/>
    </w:lvl>
  </w:abstractNum>
  <w:abstractNum w:abstractNumId="21">
    <w:nsid w:val="3222E7CD"/>
    <w:multiLevelType w:val="hybridMultilevel"/>
    <w:lvl w:ilvl="0">
      <w:lvlJc w:val="left"/>
      <w:lvlText w:val="(%1)"/>
      <w:numFmt w:val="decimal"/>
      <w:start w:val="1"/>
    </w:lvl>
  </w:abstractNum>
  <w:abstractNum w:abstractNumId="22">
    <w:nsid w:val="74DE0EE3"/>
    <w:multiLevelType w:val="hybridMultilevel"/>
    <w:lvl w:ilvl="0">
      <w:lvlJc w:val="left"/>
      <w:lvlText w:val="(%1)"/>
      <w:numFmt w:val="decimal"/>
      <w:start w:val="1"/>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1)"/>
      <w:numFmt w:val="lowerLetter"/>
      <w:start w:val="1"/>
    </w:lvl>
  </w:abstractNum>
  <w:abstractNum w:abstractNumId="25">
    <w:nsid w:val="46B7D447"/>
    <w:multiLevelType w:val="hybridMultilevel"/>
    <w:lvl w:ilvl="0">
      <w:lvlJc w:val="left"/>
      <w:lvlText w:val="(%1)"/>
      <w:numFmt w:val="decimal"/>
      <w:start w:val="1"/>
    </w:lvl>
  </w:abstractNum>
  <w:abstractNum w:abstractNumId="26">
    <w:nsid w:val="4A2AC315"/>
    <w:multiLevelType w:val="hybridMultilevel"/>
    <w:lvl w:ilvl="0">
      <w:lvlJc w:val="left"/>
      <w:lvlText w:val="(%1)"/>
      <w:numFmt w:val="decimal"/>
      <w:start w:val="4"/>
    </w:lvl>
  </w:abstractNum>
  <w:abstractNum w:abstractNumId="27">
    <w:nsid w:val="39EE015C"/>
    <w:multiLevelType w:val="hybridMultilevel"/>
    <w:lvl w:ilvl="0">
      <w:lvlJc w:val="left"/>
      <w:lvlText w:val="(%1)"/>
      <w:numFmt w:val="lowerLetter"/>
      <w:start w:val="2"/>
    </w:lvl>
  </w:abstractNum>
  <w:abstractNum w:abstractNumId="28">
    <w:nsid w:val="57FC4FBB"/>
    <w:multiLevelType w:val="hybridMultilevel"/>
    <w:lvl w:ilvl="0">
      <w:lvlJc w:val="left"/>
      <w:lvlText w:val="(%1)"/>
      <w:numFmt w:val="lowerLetter"/>
      <w:start w:val="3"/>
    </w:lvl>
  </w:abstractNum>
  <w:abstractNum w:abstractNumId="29">
    <w:nsid w:val="CC1016F"/>
    <w:multiLevelType w:val="hybridMultilevel"/>
    <w:lvl w:ilvl="0">
      <w:lvlJc w:val="left"/>
      <w:lvlText w:val="(%1)"/>
      <w:numFmt w:val="lowerLetter"/>
      <w:start w:val="4"/>
    </w:lvl>
  </w:abstractNum>
  <w:abstractNum w:abstractNumId="30">
    <w:nsid w:val="43F18422"/>
    <w:multiLevelType w:val="hybridMultilevel"/>
    <w:lvl w:ilvl="0">
      <w:lvlJc w:val="left"/>
      <w:lvlText w:val="(%1)"/>
      <w:numFmt w:val="lowerLetter"/>
      <w:start w:val="5"/>
    </w:lvl>
  </w:abstractNum>
  <w:abstractNum w:abstractNumId="31">
    <w:nsid w:val="60EF0119"/>
    <w:multiLevelType w:val="hybridMultilevel"/>
    <w:lvl w:ilvl="0">
      <w:lvlJc w:val="left"/>
      <w:lvlText w:val="(%1)"/>
      <w:numFmt w:val="lowerLetter"/>
      <w:start w:val="6"/>
    </w:lvl>
  </w:abstractNum>
  <w:abstractNum w:abstractNumId="32">
    <w:nsid w:val="26F324BA"/>
    <w:multiLevelType w:val="hybridMultilevel"/>
    <w:lvl w:ilvl="0">
      <w:lvlJc w:val="left"/>
      <w:lvlText w:val="(%1)"/>
      <w:numFmt w:val="decimal"/>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1)"/>
      <w:numFmt w:val="decimal"/>
      <w:start w:val="1"/>
    </w:lvl>
  </w:abstractNum>
  <w:abstractNum w:abstractNumId="36">
    <w:nsid w:val="5FB8370B"/>
    <w:multiLevelType w:val="hybridMultilevel"/>
    <w:lvl w:ilvl="0">
      <w:lvlJc w:val="left"/>
      <w:lvlText w:val="(%1)"/>
      <w:numFmt w:val="decimal"/>
      <w:start w:val="1"/>
    </w:lvl>
  </w:abstractNum>
  <w:abstractNum w:abstractNumId="37">
    <w:nsid w:val="50801EE1"/>
    <w:multiLevelType w:val="hybridMultilevel"/>
    <w:lvl w:ilvl="0">
      <w:lvlJc w:val="left"/>
      <w:lvlText w:val="(%1)"/>
      <w:numFmt w:val="decimal"/>
      <w:start w:val="1"/>
    </w:lvl>
  </w:abstractNum>
  <w:abstractNum w:abstractNumId="38">
    <w:nsid w:val="488AC1A"/>
    <w:multiLevelType w:val="hybridMultilevel"/>
    <w:lvl w:ilvl="0">
      <w:lvlJc w:val="left"/>
      <w:lvlText w:val="(%1)"/>
      <w:numFmt w:val="lowerLetter"/>
      <w:start w:val="1"/>
    </w:lvl>
  </w:abstractNum>
  <w:abstractNum w:abstractNumId="39">
    <w:nsid w:val="5FB8011C"/>
    <w:multiLevelType w:val="hybridMultilevel"/>
    <w:lvl w:ilvl="0">
      <w:lvlJc w:val="left"/>
      <w:lvlText w:val="(%1)"/>
      <w:numFmt w:val="decimal"/>
      <w:start w:val="1"/>
    </w:lvl>
  </w:abstractNum>
  <w:abstractNum w:abstractNumId="40">
    <w:nsid w:val="6AA78F7F"/>
    <w:multiLevelType w:val="hybridMultilevel"/>
    <w:lvl w:ilvl="0">
      <w:lvlJc w:val="left"/>
      <w:lvlText w:val="(%1)"/>
      <w:numFmt w:val="decimal"/>
      <w:start w:val="4"/>
    </w:lvl>
    <w:lvl w:ilvl="1">
      <w:lvlJc w:val="left"/>
      <w:lvlText w:val="(%2)"/>
      <w:numFmt w:val="lowerLetter"/>
      <w:start w:val="2"/>
    </w:lvl>
  </w:abstractNum>
  <w:abstractNum w:abstractNumId="41">
    <w:nsid w:val="7672BD23"/>
    <w:multiLevelType w:val="hybridMultilevel"/>
    <w:lvl w:ilvl="0">
      <w:lvlJc w:val="left"/>
      <w:lvlText w:val="(%1)"/>
      <w:numFmt w:val="lowerLetter"/>
      <w:start w:val="3"/>
    </w:lvl>
  </w:abstractNum>
  <w:abstractNum w:abstractNumId="42">
    <w:nsid w:val="6FC75AF8"/>
    <w:multiLevelType w:val="hybridMultilevel"/>
    <w:lvl w:ilvl="0">
      <w:lvlJc w:val="left"/>
      <w:lvlText w:val="(%1)"/>
      <w:numFmt w:val="lowerLetter"/>
      <w:start w:val="4"/>
    </w:lvl>
  </w:abstractNum>
  <w:abstractNum w:abstractNumId="43">
    <w:nsid w:val="6A5F7029"/>
    <w:multiLevelType w:val="hybridMultilevel"/>
    <w:lvl w:ilvl="0">
      <w:lvlJc w:val="left"/>
      <w:lvlText w:val="(%1)"/>
      <w:numFmt w:val="lowerLetter"/>
      <w:start w:val="5"/>
    </w:lvl>
  </w:abstractNum>
  <w:abstractNum w:abstractNumId="44">
    <w:nsid w:val="7D5E18F8"/>
    <w:multiLevelType w:val="hybridMultilevel"/>
    <w:lvl w:ilvl="0">
      <w:lvlJc w:val="left"/>
      <w:lvlText w:val="(%1)"/>
      <w:numFmt w:val="lowerLetter"/>
      <w:start w:val="6"/>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7"/>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1)"/>
      <w:numFmt w:val="decimal"/>
      <w:start w:val="3"/>
    </w:lvl>
  </w:abstractNum>
  <w:abstractNum w:abstractNumId="64">
    <w:nsid w:val="1CA0C5FA"/>
    <w:multiLevelType w:val="hybridMultilevel"/>
    <w:lvl w:ilvl="0">
      <w:lvlJc w:val="left"/>
      <w:lvlText w:val="(%1)"/>
      <w:numFmt w:val="decimal"/>
      <w:start w:val="1"/>
    </w:lvl>
  </w:abstractNum>
  <w:abstractNum w:abstractNumId="65">
    <w:nsid w:val="53584BCB"/>
    <w:multiLevelType w:val="hybridMultilevel"/>
    <w:lvl w:ilvl="0">
      <w:lvlJc w:val="left"/>
      <w:lvlText w:val="(%1)"/>
      <w:numFmt w:val="decimal"/>
      <w:start w:val="1"/>
    </w:lvl>
  </w:abstractNum>
  <w:abstractNum w:abstractNumId="66">
    <w:nsid w:val="415E286C"/>
    <w:multiLevelType w:val="hybridMultilevel"/>
    <w:lvl w:ilvl="0">
      <w:lvlJc w:val="left"/>
      <w:lvlText w:val="(%1)"/>
      <w:numFmt w:val="decimal"/>
      <w:start w:val="1"/>
    </w:lvl>
  </w:abstractNum>
  <w:abstractNum w:abstractNumId="67">
    <w:nsid w:val="7C58FD05"/>
    <w:multiLevelType w:val="hybridMultilevel"/>
    <w:lvl w:ilvl="0">
      <w:lvlJc w:val="left"/>
      <w:lvlText w:val="(%1)"/>
      <w:numFmt w:val="decimal"/>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1)"/>
      <w:numFmt w:val="lowerLetter"/>
      <w:start w:val="2"/>
    </w:lvl>
    <w:lvl w:ilvl="1">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1"/>
    </w:lvl>
  </w:abstractNum>
  <w:abstractNum w:abstractNumId="82">
    <w:nsid w:val="6AA7B75C"/>
    <w:multiLevelType w:val="hybridMultilevel"/>
    <w:lvl w:ilvl="0">
      <w:lvlJc w:val="left"/>
      <w:lvlText w:val="(%1)"/>
      <w:numFmt w:val="decimal"/>
      <w:start w:val="1"/>
    </w:lvl>
  </w:abstractNum>
  <w:abstractNum w:abstractNumId="83">
    <w:nsid w:val="1DF029D3"/>
    <w:multiLevelType w:val="hybridMultilevel"/>
    <w:lvl w:ilvl="0">
      <w:lvlJc w:val="left"/>
      <w:lvlText w:val="(%1)"/>
      <w:numFmt w:val="decimal"/>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1)"/>
      <w:numFmt w:val="decimal"/>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1)"/>
      <w:numFmt w:val="decimal"/>
      <w:start w:val="2"/>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1)"/>
      <w:numFmt w:val="decimal"/>
      <w:start w:val="1"/>
    </w:lvl>
  </w:abstractNum>
  <w:abstractNum w:abstractNumId="91">
    <w:nsid w:val="53B0A9E"/>
    <w:multiLevelType w:val="hybridMultilevel"/>
    <w:lvl w:ilvl="0">
      <w:lvlJc w:val="left"/>
      <w:lvlText w:val="(%1)"/>
      <w:numFmt w:val="decimal"/>
      <w:start w:val="1"/>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
      <w:numFmt w:val="bullet"/>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w:numFmt w:val="bullet"/>
      <w:start w:val="1"/>
    </w:lvl>
  </w:abstractNum>
  <w:abstractNum w:abstractNumId="107">
    <w:nsid w:val="20EE1348"/>
    <w:multiLevelType w:val="hybridMultilevel"/>
    <w:lvl w:ilvl="0">
      <w:lvlJc w:val="left"/>
      <w:lvlText w:val="•"/>
      <w:numFmt w:val="bullet"/>
      <w:start w:val="1"/>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
      <w:numFmt w:val="bullet"/>
      <w:start w:val="1"/>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
      <w:numFmt w:val="bullet"/>
      <w:start w:val="1"/>
    </w:lvl>
  </w:abstractNum>
  <w:abstractNum w:abstractNumId="118">
    <w:nsid w:val="5551B9F3"/>
    <w:multiLevelType w:val="hybridMultilevel"/>
    <w:lvl w:ilvl="0">
      <w:lvlJc w:val="left"/>
      <w:lvlText w:val="•"/>
      <w:numFmt w:val="bullet"/>
      <w:start w:val="1"/>
    </w:lvl>
  </w:abstractNum>
  <w:abstractNum w:abstractNumId="119">
    <w:nsid w:val="24F6AB8E"/>
    <w:multiLevelType w:val="hybridMultilevel"/>
    <w:lvl w:ilvl="0">
      <w:lvlJc w:val="left"/>
      <w:lvlText w:val="•"/>
      <w:numFmt w:val="bullet"/>
      <w:start w:val="1"/>
    </w:lvl>
  </w:abstractNum>
  <w:abstractNum w:abstractNumId="120">
    <w:nsid w:val="634C574C"/>
    <w:multiLevelType w:val="hybridMultilevel"/>
    <w:lvl w:ilvl="0">
      <w:lvlJc w:val="left"/>
      <w:lvlText w:val="(%1)"/>
      <w:numFmt w:val="decimal"/>
      <w:start w:val="1"/>
    </w:lvl>
    <w:lvl w:ilvl="1">
      <w:lvlJc w:val="left"/>
      <w:lvlText w:val="(%2)"/>
      <w:numFmt w:val="lowerLetter"/>
      <w:start w:val="1"/>
    </w:lvl>
  </w:abstractNum>
  <w:abstractNum w:abstractNumId="121">
    <w:nsid w:val="24E99DD7"/>
    <w:multiLevelType w:val="hybridMultilevel"/>
    <w:lvl w:ilvl="0">
      <w:lvlJc w:val="left"/>
      <w:lvlText w:val="(%1)"/>
      <w:numFmt w:val="decimal"/>
      <w:start w:val="4"/>
    </w:lvl>
  </w:abstractNum>
  <w:abstractNum w:abstractNumId="122">
    <w:nsid w:val="2A31B62D"/>
    <w:multiLevelType w:val="hybridMultilevel"/>
    <w:lvl w:ilvl="0">
      <w:lvlJc w:val="left"/>
      <w:lvlText w:val="•"/>
      <w:numFmt w:val="bullet"/>
      <w:start w:val="1"/>
    </w:lvl>
  </w:abstractNum>
  <w:abstractNum w:abstractNumId="123">
    <w:nsid w:val="1849C29B"/>
    <w:multiLevelType w:val="hybridMultilevel"/>
    <w:lvl w:ilvl="0">
      <w:lvlJc w:val="left"/>
      <w:lvlText w:val="•"/>
      <w:numFmt w:val="bullet"/>
      <w:start w:val="1"/>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1)"/>
      <w:numFmt w:val="decimal"/>
      <w:start w:val="1"/>
    </w:lvl>
  </w:abstractNum>
  <w:abstractNum w:abstractNumId="126">
    <w:nsid w:val="69E7F3E5"/>
    <w:multiLevelType w:val="hybridMultilevel"/>
    <w:lvl w:ilvl="0">
      <w:lvlJc w:val="left"/>
      <w:lvlText w:val="•"/>
      <w:numFmt w:val="bullet"/>
      <w:start w:val="1"/>
    </w:lvl>
    <w:lvl w:ilvl="1">
      <w:lvlJc w:val="left"/>
      <w:lvlText w:val="%2)"/>
      <w:numFmt w:val="decimal"/>
      <w:start w:val="1"/>
    </w:lvl>
  </w:abstractNum>
  <w:abstractNum w:abstractNumId="127">
    <w:nsid w:val="2A6DE806"/>
    <w:multiLevelType w:val="hybridMultilevel"/>
    <w:lvl w:ilvl="0">
      <w:lvlJc w:val="left"/>
      <w:lvlText w:val="•"/>
      <w:numFmt w:val="bullet"/>
      <w:start w:val="1"/>
    </w:lvl>
  </w:abstractNum>
  <w:abstractNum w:abstractNumId="128">
    <w:nsid w:val="1816F8C4"/>
    <w:multiLevelType w:val="hybridMultilevel"/>
    <w:lvl w:ilvl="0">
      <w:lvlJc w:val="left"/>
      <w:lvlText w:val="$"/>
      <w:numFmt w:val="bullet"/>
      <w:start w:val="1"/>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1)"/>
      <w:numFmt w:val="decimal"/>
      <w:start w:val="1"/>
    </w:lvl>
  </w:abstractNum>
  <w:abstractNum w:abstractNumId="132">
    <w:nsid w:val="61E74EA3"/>
    <w:multiLevelType w:val="hybridMultilevel"/>
    <w:lvl w:ilvl="0">
      <w:lvlJc w:val="left"/>
      <w:lvlText w:val="(%1)"/>
      <w:numFmt w:val="lowerLetter"/>
      <w:start w:val="1"/>
    </w:lvl>
  </w:abstractNum>
  <w:abstractNum w:abstractNumId="133">
    <w:nsid w:val="597B4D84"/>
    <w:multiLevelType w:val="hybridMultilevel"/>
    <w:lvl w:ilvl="0">
      <w:lvlJc w:val="left"/>
      <w:lvlText w:val="(%1)"/>
      <w:numFmt w:val="decimal"/>
      <w:start w:val="1"/>
    </w:lvl>
  </w:abstractNum>
  <w:abstractNum w:abstractNumId="134">
    <w:nsid w:val="F819E7F"/>
    <w:multiLevelType w:val="hybridMultilevel"/>
    <w:lvl w:ilvl="0">
      <w:lvlJc w:val="left"/>
      <w:lvlText w:val="(%1)"/>
      <w:numFmt w:val="decimal"/>
      <w:start w:val="3"/>
    </w:lvl>
    <w:lvl w:ilvl="1">
      <w:lvlJc w:val="left"/>
      <w:lvlText w:val="(%2)"/>
      <w:numFmt w:val="lowerLetter"/>
      <w:start w:val="2"/>
    </w:lvl>
  </w:abstractNum>
  <w:abstractNum w:abstractNumId="135">
    <w:nsid w:val="57C7D42D"/>
    <w:multiLevelType w:val="hybridMultilevel"/>
    <w:lvl w:ilvl="0">
      <w:lvlJc w:val="left"/>
      <w:lvlText w:val="(%1)"/>
      <w:numFmt w:val="lowerLetter"/>
      <w:start w:val="3"/>
    </w:lvl>
  </w:abstractNum>
  <w:abstractNum w:abstractNumId="136">
    <w:nsid w:val="312167AD"/>
    <w:multiLevelType w:val="hybridMultilevel"/>
    <w:lvl w:ilvl="0">
      <w:lvlJc w:val="left"/>
      <w:lvlText w:val="(%1)"/>
      <w:numFmt w:val="lowerLetter"/>
      <w:start w:val="4"/>
    </w:lvl>
  </w:abstractNum>
  <w:abstractNum w:abstractNumId="137">
    <w:nsid w:val="631B64D4"/>
    <w:multiLevelType w:val="hybridMultilevel"/>
    <w:lvl w:ilvl="0">
      <w:lvlJc w:val="left"/>
      <w:lvlText w:val="(%1)"/>
      <w:numFmt w:val="lowerLetter"/>
      <w:start w:val="5"/>
    </w:lvl>
  </w:abstractNum>
  <w:abstractNum w:abstractNumId="138">
    <w:nsid w:val="78B5E776"/>
    <w:multiLevelType w:val="hybridMultilevel"/>
    <w:lvl w:ilvl="0">
      <w:lvlJc w:val="left"/>
      <w:lvlText w:val="(%1)"/>
      <w:numFmt w:val="lowerLetter"/>
      <w:start w:val="6"/>
    </w:lvl>
  </w:abstractNum>
  <w:abstractNum w:abstractNumId="139">
    <w:nsid w:val="75486E47"/>
    <w:multiLevelType w:val="hybridMultilevel"/>
    <w:lvl w:ilvl="0">
      <w:lvlJc w:val="left"/>
      <w:lvlText w:val="*"/>
      <w:numFmt w:val="bullet"/>
      <w:start w:val="1"/>
    </w:lvl>
  </w:abstractNum>
  <w:abstractNum w:abstractNumId="140">
    <w:nsid w:val="6E534CDE"/>
    <w:multiLevelType w:val="hybridMultilevel"/>
    <w:lvl w:ilvl="0">
      <w:lvlJc w:val="left"/>
      <w:lvlText w:val="**"/>
      <w:numFmt w:val="bullet"/>
      <w:start w:val="1"/>
    </w:lvl>
  </w:abstractNum>
  <w:abstractNum w:abstractNumId="141">
    <w:nsid w:val="1A0DDE32"/>
    <w:multiLevelType w:val="hybridMultilevel"/>
    <w:lvl w:ilvl="0">
      <w:lvlJc w:val="left"/>
      <w:lvlText w:val="(%1)"/>
      <w:numFmt w:val="decimal"/>
      <w:start w:val="1"/>
    </w:lvl>
  </w:abstractNum>
  <w:abstractNum w:abstractNumId="142">
    <w:nsid w:val="65968C1C"/>
    <w:multiLevelType w:val="hybridMultilevel"/>
    <w:lvl w:ilvl="0">
      <w:lvlJc w:val="left"/>
      <w:lvlText w:val="$"/>
      <w:numFmt w:val="bullet"/>
      <w:start w:val="1"/>
    </w:lvl>
  </w:abstractNum>
  <w:abstractNum w:abstractNumId="143">
    <w:nsid w:val="46263DEC"/>
    <w:multiLevelType w:val="hybridMultilevel"/>
    <w:lvl w:ilvl="0">
      <w:lvlJc w:val="left"/>
      <w:lvlText w:val="(%1)"/>
      <w:numFmt w:val="decimal"/>
      <w:start w:val="1"/>
    </w:lvl>
  </w:abstractNum>
  <w:abstractNum w:abstractNumId="144">
    <w:nsid w:val="260D8C4A"/>
    <w:multiLevelType w:val="hybridMultilevel"/>
    <w:lvl w:ilvl="0">
      <w:lvlJc w:val="left"/>
      <w:lvlText w:val="(%1)"/>
      <w:numFmt w:val="decimal"/>
      <w:start w:val="1"/>
    </w:lvl>
  </w:abstractNum>
  <w:abstractNum w:abstractNumId="145">
    <w:nsid w:val="73D4D3C4"/>
    <w:multiLevelType w:val="hybridMultilevel"/>
    <w:lvl w:ilvl="0">
      <w:lvlJc w:val="left"/>
      <w:lvlText w:val="(%1)"/>
      <w:numFmt w:val="decimal"/>
      <w:start w:val="5"/>
    </w:lvl>
  </w:abstractNum>
  <w:abstractNum w:abstractNumId="146">
    <w:nsid w:val="746F2E30"/>
    <w:multiLevelType w:val="hybridMultilevel"/>
    <w:lvl w:ilvl="0">
      <w:lvlJc w:val="left"/>
      <w:lvlText w:val="(%1)"/>
      <w:numFmt w:val="lowerLetter"/>
      <w:start w:val="1"/>
    </w:lvl>
  </w:abstractNum>
  <w:abstractNum w:abstractNumId="147">
    <w:nsid w:val="6FDE8AF6"/>
    <w:multiLevelType w:val="hybridMultilevel"/>
    <w:lvl w:ilvl="0">
      <w:lvlJc w:val="left"/>
      <w:lvlText w:val="(%1)"/>
      <w:numFmt w:val="decimal"/>
      <w:start w:val="1"/>
    </w:lvl>
  </w:abstractNum>
  <w:abstractNum w:abstractNumId="148">
    <w:nsid w:val="3FC32E20"/>
    <w:multiLevelType w:val="hybridMultilevel"/>
    <w:lvl w:ilvl="0">
      <w:lvlJc w:val="left"/>
      <w:lvlText w:val="(%1)"/>
      <w:numFmt w:val="decimal"/>
      <w:start w:val="4"/>
    </w:lvl>
  </w:abstractNum>
  <w:abstractNum w:abstractNumId="149">
    <w:nsid w:val="49C0E823"/>
    <w:multiLevelType w:val="hybridMultilevel"/>
    <w:lvl w:ilvl="0">
      <w:lvlJc w:val="left"/>
      <w:lvlText w:val="(%1)"/>
      <w:numFmt w:val="lowerLetter"/>
      <w:start w:val="2"/>
    </w:lvl>
  </w:abstractNum>
  <w:abstractNum w:abstractNumId="150">
    <w:nsid w:val="14D53685"/>
    <w:multiLevelType w:val="hybridMultilevel"/>
    <w:lvl w:ilvl="0">
      <w:lvlJc w:val="left"/>
      <w:lvlText w:val="(%1)"/>
      <w:numFmt w:val="lowerLetter"/>
      <w:start w:val="3"/>
    </w:lvl>
  </w:abstractNum>
  <w:abstractNum w:abstractNumId="151">
    <w:nsid w:val="230F856C"/>
    <w:multiLevelType w:val="hybridMultilevel"/>
    <w:lvl w:ilvl="0">
      <w:lvlJc w:val="left"/>
      <w:lvlText w:val="(%1)"/>
      <w:numFmt w:val="lowerLetter"/>
      <w:start w:val="4"/>
    </w:lvl>
  </w:abstractNum>
  <w:abstractNum w:abstractNumId="152">
    <w:nsid w:val="6EAA85FB"/>
    <w:multiLevelType w:val="hybridMultilevel"/>
    <w:lvl w:ilvl="0">
      <w:lvlJc w:val="left"/>
      <w:lvlText w:val="(%1)"/>
      <w:numFmt w:val="lowerLetter"/>
      <w:start w:val="5"/>
    </w:lvl>
  </w:abstractNum>
  <w:abstractNum w:abstractNumId="153">
    <w:nsid w:val="3F06ECB2"/>
    <w:multiLevelType w:val="hybridMultilevel"/>
    <w:lvl w:ilvl="0">
      <w:lvlJc w:val="left"/>
      <w:lvlText w:val="(%1)"/>
      <w:numFmt w:val="lowerLetter"/>
      <w:start w:val="7"/>
    </w:lvl>
  </w:abstractNum>
  <w:abstractNum w:abstractNumId="154">
    <w:nsid w:val="3B594807"/>
    <w:multiLevelType w:val="hybridMultilevel"/>
    <w:lvl w:ilvl="0">
      <w:lvlJc w:val="left"/>
      <w:lvlText w:val="*"/>
      <w:numFmt w:val="bullet"/>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2019-12-07T23:23:20Z</dcterms:created>
  <dcterms:modified xsi:type="dcterms:W3CDTF">2019-12-07T23:23:20Z</dcterms:modified>
</cp:coreProperties>
</file>