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February 9, 2021</w:t>
      </w:r>
    </w:p>
    <w:p>
      <w:pPr>
        <w:spacing w:after="0" w:line="17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ind w:left="1580"/>
              <w:spacing w:after="0"/>
              <w:rPr>
                <w:sz w:val="20"/>
                <w:szCs w:val="20"/>
                <w:color w:val="auto"/>
              </w:rPr>
            </w:pPr>
            <w:r>
              <w:rPr>
                <w:rFonts w:ascii="Arial" w:cs="Arial" w:eastAsia="Arial" w:hAnsi="Arial"/>
                <w:sz w:val="14"/>
                <w:szCs w:val="14"/>
                <w:b w:val="1"/>
                <w:bCs w:val="1"/>
                <w:color w:val="auto"/>
              </w:rPr>
              <w:t>Maryland</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2"/>
              </w:rPr>
              <w:t>814-00891</w:t>
            </w:r>
          </w:p>
        </w:tc>
        <w:tc>
          <w:tcPr>
            <w:tcW w:w="3580" w:type="dxa"/>
            <w:vAlign w:val="bottom"/>
          </w:tcPr>
          <w:p>
            <w:pPr>
              <w:jc w:val="right"/>
              <w:ind w:right="1082"/>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86"/>
        </w:trPr>
        <w:tc>
          <w:tcPr>
            <w:tcW w:w="3900" w:type="dxa"/>
            <w:vAlign w:val="bottom"/>
          </w:tcPr>
          <w:p>
            <w:pPr>
              <w:ind w:left="52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3"/>
              </w:rPr>
              <w:t>(Commission File Number)</w:t>
            </w:r>
          </w:p>
        </w:tc>
        <w:tc>
          <w:tcPr>
            <w:tcW w:w="3580" w:type="dxa"/>
            <w:vAlign w:val="bottom"/>
          </w:tcPr>
          <w:p>
            <w:pPr>
              <w:jc w:val="center"/>
              <w:ind w:left="482"/>
              <w:spacing w:after="0"/>
              <w:rPr>
                <w:sz w:val="20"/>
                <w:szCs w:val="20"/>
                <w:color w:val="auto"/>
              </w:rPr>
            </w:pPr>
            <w:r>
              <w:rPr>
                <w:rFonts w:ascii="Arial" w:cs="Arial" w:eastAsia="Arial" w:hAnsi="Arial"/>
                <w:sz w:val="14"/>
                <w:szCs w:val="14"/>
                <w:b w:val="1"/>
                <w:bCs w:val="1"/>
                <w:color w:val="auto"/>
                <w:w w:val="96"/>
              </w:rPr>
              <w:t>(IRS Employer Identification No.)</w:t>
            </w:r>
          </w:p>
        </w:tc>
        <w:tc>
          <w:tcPr>
            <w:tcW w:w="0" w:type="dxa"/>
            <w:vAlign w:val="bottom"/>
          </w:tcPr>
          <w:p>
            <w:pPr>
              <w:spacing w:after="0"/>
              <w:rPr>
                <w:sz w:val="1"/>
                <w:szCs w:val="1"/>
                <w:color w:val="auto"/>
              </w:rPr>
            </w:pPr>
          </w:p>
        </w:tc>
      </w:tr>
      <w:tr>
        <w:trPr>
          <w:trHeight w:val="583"/>
        </w:trPr>
        <w:tc>
          <w:tcPr>
            <w:tcW w:w="3900" w:type="dxa"/>
            <w:vAlign w:val="bottom"/>
          </w:tcPr>
          <w:p>
            <w:pPr>
              <w:jc w:val="center"/>
              <w:ind w:left="166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380" w:type="dxa"/>
            <w:vAlign w:val="bottom"/>
          </w:tcPr>
          <w:p>
            <w:pPr>
              <w:spacing w:after="0"/>
              <w:rPr>
                <w:sz w:val="24"/>
                <w:szCs w:val="24"/>
                <w:color w:val="auto"/>
              </w:rPr>
            </w:pPr>
          </w:p>
        </w:tc>
        <w:tc>
          <w:tcPr>
            <w:tcW w:w="3580" w:type="dxa"/>
            <w:vAlign w:val="bottom"/>
            <w:vMerge w:val="restart"/>
          </w:tcPr>
          <w:p>
            <w:pPr>
              <w:jc w:val="right"/>
              <w:ind w:right="2182"/>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48"/>
        </w:trPr>
        <w:tc>
          <w:tcPr>
            <w:tcW w:w="3900" w:type="dxa"/>
            <w:vAlign w:val="bottom"/>
          </w:tcPr>
          <w:p>
            <w:pPr>
              <w:jc w:val="center"/>
              <w:ind w:left="1664"/>
              <w:spacing w:after="0" w:line="149" w:lineRule="exact"/>
              <w:rPr>
                <w:sz w:val="20"/>
                <w:szCs w:val="20"/>
                <w:color w:val="auto"/>
              </w:rPr>
            </w:pPr>
            <w:r>
              <w:rPr>
                <w:rFonts w:ascii="Arial" w:cs="Arial" w:eastAsia="Arial" w:hAnsi="Arial"/>
                <w:sz w:val="14"/>
                <w:szCs w:val="14"/>
                <w:b w:val="1"/>
                <w:bCs w:val="1"/>
                <w:color w:val="auto"/>
                <w:w w:val="96"/>
              </w:rPr>
              <w:t>New York, NY</w:t>
            </w:r>
          </w:p>
        </w:tc>
        <w:tc>
          <w:tcPr>
            <w:tcW w:w="338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280" w:type="dxa"/>
            <w:vAlign w:val="bottom"/>
            <w:gridSpan w:val="2"/>
          </w:tcPr>
          <w:p>
            <w:pPr>
              <w:jc w:val="center"/>
              <w:ind w:right="158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right="1202"/>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3"/>
        </w:trPr>
        <w:tc>
          <w:tcPr>
            <w:tcW w:w="3900" w:type="dxa"/>
            <w:vAlign w:val="bottom"/>
          </w:tcPr>
          <w:p>
            <w:pPr>
              <w:spacing w:after="0"/>
              <w:rPr>
                <w:sz w:val="23"/>
                <w:szCs w:val="23"/>
                <w:color w:val="auto"/>
              </w:rPr>
            </w:pPr>
          </w:p>
        </w:tc>
        <w:tc>
          <w:tcPr>
            <w:tcW w:w="3380" w:type="dxa"/>
            <w:vAlign w:val="bottom"/>
          </w:tcPr>
          <w:p>
            <w:pPr>
              <w:jc w:val="center"/>
              <w:ind w:left="2"/>
              <w:spacing w:after="0"/>
              <w:rPr>
                <w:sz w:val="20"/>
                <w:szCs w:val="20"/>
                <w:color w:val="auto"/>
              </w:rPr>
            </w:pPr>
            <w:r>
              <w:rPr>
                <w:rFonts w:ascii="Arial" w:cs="Arial" w:eastAsia="Arial" w:hAnsi="Arial"/>
                <w:sz w:val="14"/>
                <w:szCs w:val="14"/>
                <w:b w:val="1"/>
                <w:bCs w:val="1"/>
                <w:color w:val="auto"/>
                <w:w w:val="94"/>
              </w:rPr>
              <w:t>212-905-1000</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3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3900" w:type="dxa"/>
            <w:vAlign w:val="bottom"/>
          </w:tcPr>
          <w:p>
            <w:pPr>
              <w:ind w:left="1360"/>
              <w:spacing w:after="0"/>
              <w:rPr>
                <w:sz w:val="20"/>
                <w:szCs w:val="20"/>
                <w:color w:val="auto"/>
              </w:rPr>
            </w:pPr>
            <w:r>
              <w:rPr>
                <w:rFonts w:ascii="Arial" w:cs="Arial" w:eastAsia="Arial" w:hAnsi="Arial"/>
                <w:sz w:val="18"/>
                <w:szCs w:val="18"/>
                <w:b w:val="1"/>
                <w:bCs w:val="1"/>
                <w:color w:val="auto"/>
              </w:rPr>
              <w:t>Title of Each Class</w:t>
            </w:r>
          </w:p>
        </w:tc>
        <w:tc>
          <w:tcPr>
            <w:tcW w:w="338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Trading Symbol(s)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30"/>
        </w:trPr>
        <w:tc>
          <w:tcPr>
            <w:tcW w:w="3900" w:type="dxa"/>
            <w:vAlign w:val="bottom"/>
          </w:tcPr>
          <w:p>
            <w:pPr>
              <w:ind w:left="520"/>
              <w:spacing w:after="0"/>
              <w:rPr>
                <w:sz w:val="20"/>
                <w:szCs w:val="20"/>
                <w:color w:val="auto"/>
              </w:rPr>
            </w:pPr>
            <w:r>
              <w:rPr>
                <w:rFonts w:ascii="Arial" w:cs="Arial" w:eastAsia="Arial" w:hAnsi="Arial"/>
                <w:sz w:val="18"/>
                <w:szCs w:val="18"/>
                <w:color w:val="auto"/>
                <w:w w:val="96"/>
              </w:rPr>
              <w:t>Common Stock, par value $0.001 per share</w:t>
            </w:r>
          </w:p>
        </w:tc>
        <w:tc>
          <w:tcPr>
            <w:tcW w:w="3380" w:type="dxa"/>
            <w:vAlign w:val="bottom"/>
          </w:tcPr>
          <w:p>
            <w:pPr>
              <w:jc w:val="center"/>
              <w:ind w:right="22"/>
              <w:spacing w:after="0"/>
              <w:rPr>
                <w:sz w:val="20"/>
                <w:szCs w:val="20"/>
                <w:color w:val="auto"/>
              </w:rPr>
            </w:pPr>
            <w:r>
              <w:rPr>
                <w:rFonts w:ascii="Arial" w:cs="Arial" w:eastAsia="Arial" w:hAnsi="Arial"/>
                <w:sz w:val="18"/>
                <w:szCs w:val="18"/>
                <w:color w:val="auto"/>
                <w:w w:val="90"/>
              </w:rPr>
              <w:t>PFLT</w:t>
            </w: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77" w:lineRule="exact"/>
        <w:rPr>
          <w:sz w:val="24"/>
          <w:szCs w:val="24"/>
          <w:color w:val="auto"/>
        </w:rPr>
      </w:pPr>
    </w:p>
    <w:p>
      <w:pPr>
        <w:ind w:firstLine="36"/>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1033780</wp:posOffset>
            </wp:positionH>
            <wp:positionV relativeFrom="paragraph">
              <wp:posOffset>-65405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57"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-106045</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0960"/>
          </w:cols>
          <w:pgMar w:left="320" w:top="751" w:right="6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86" w:lineRule="exact"/>
        <w:rPr>
          <w:sz w:val="20"/>
          <w:szCs w:val="20"/>
          <w:color w:val="auto"/>
        </w:rPr>
      </w:pPr>
    </w:p>
    <w:p>
      <w:pPr>
        <w:jc w:val="both"/>
        <w:ind w:right="120" w:firstLine="510"/>
        <w:spacing w:after="0" w:line="264" w:lineRule="auto"/>
        <w:rPr>
          <w:sz w:val="20"/>
          <w:szCs w:val="20"/>
          <w:color w:val="auto"/>
        </w:rPr>
      </w:pPr>
      <w:r>
        <w:rPr>
          <w:rFonts w:ascii="Arial" w:cs="Arial" w:eastAsia="Arial" w:hAnsi="Arial"/>
          <w:sz w:val="13"/>
          <w:szCs w:val="13"/>
          <w:color w:val="auto"/>
        </w:rPr>
        <w:t>On February 9, 2021, PennantPark Floating Rate Capital Ltd. (the “Company”) held its annual meeting of stockholders (the “Annual Meeting”) and submitted two matters to the vote of its stockholders. The proposals are described in detail in the Company’s definitive proxy statement filed with the Securities and Exchange Commission on December 8, 2020. As of December 1, 2020, the record date, 38,772,074 shares of common stock were eligible to vote. A summary of the matters voted upon by the stockholders is set forth below.</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color w:val="auto"/>
        </w:rPr>
        <w:t>The Company’s stockholders elected two Class I directors of the Company, who will each serve until the 2024 Annual Meeting and until his successor is duly elected and qualifies.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9, 2021, as certified by the inspector of election, are set forth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80" w:type="dxa"/>
            <w:vAlign w:val="bottom"/>
            <w:gridSpan w:val="2"/>
          </w:tcPr>
          <w:p>
            <w:pPr>
              <w:spacing w:after="0"/>
              <w:rPr>
                <w:sz w:val="20"/>
                <w:szCs w:val="20"/>
                <w:color w:val="auto"/>
              </w:rPr>
            </w:pPr>
            <w:r>
              <w:rPr>
                <w:rFonts w:ascii="Arial" w:cs="Arial" w:eastAsia="Arial" w:hAnsi="Arial"/>
                <w:sz w:val="14"/>
                <w:szCs w:val="14"/>
                <w:color w:val="auto"/>
              </w:rPr>
              <w:t>Name</w:t>
            </w:r>
          </w:p>
        </w:tc>
        <w:tc>
          <w:tcPr>
            <w:tcW w:w="2460" w:type="dxa"/>
            <w:vAlign w:val="bottom"/>
            <w:gridSpan w:val="2"/>
          </w:tcPr>
          <w:p>
            <w:pPr>
              <w:jc w:val="right"/>
              <w:ind w:right="1400"/>
              <w:spacing w:after="0"/>
              <w:rPr>
                <w:sz w:val="20"/>
                <w:szCs w:val="20"/>
                <w:color w:val="auto"/>
              </w:rPr>
            </w:pPr>
            <w:r>
              <w:rPr>
                <w:rFonts w:ascii="Arial" w:cs="Arial" w:eastAsia="Arial" w:hAnsi="Arial"/>
                <w:sz w:val="14"/>
                <w:szCs w:val="14"/>
                <w:color w:val="auto"/>
              </w:rPr>
              <w:t>For</w:t>
            </w:r>
          </w:p>
        </w:tc>
        <w:tc>
          <w:tcPr>
            <w:tcW w:w="1800" w:type="dxa"/>
            <w:vAlign w:val="bottom"/>
            <w:gridSpan w:val="2"/>
          </w:tcPr>
          <w:p>
            <w:pPr>
              <w:jc w:val="right"/>
              <w:ind w:right="940"/>
              <w:spacing w:after="0"/>
              <w:rPr>
                <w:sz w:val="20"/>
                <w:szCs w:val="20"/>
                <w:color w:val="auto"/>
              </w:rPr>
            </w:pPr>
            <w:r>
              <w:rPr>
                <w:rFonts w:ascii="Arial" w:cs="Arial" w:eastAsia="Arial" w:hAnsi="Arial"/>
                <w:sz w:val="14"/>
                <w:szCs w:val="14"/>
                <w:color w:val="auto"/>
              </w:rPr>
              <w:t>Against</w:t>
            </w:r>
          </w:p>
        </w:tc>
        <w:tc>
          <w:tcPr>
            <w:tcW w:w="1800" w:type="dxa"/>
            <w:vAlign w:val="bottom"/>
            <w:gridSpan w:val="2"/>
          </w:tcPr>
          <w:p>
            <w:pPr>
              <w:jc w:val="right"/>
              <w:ind w:right="940"/>
              <w:spacing w:after="0"/>
              <w:rPr>
                <w:sz w:val="20"/>
                <w:szCs w:val="20"/>
                <w:color w:val="auto"/>
              </w:rPr>
            </w:pPr>
            <w:r>
              <w:rPr>
                <w:rFonts w:ascii="Arial" w:cs="Arial" w:eastAsia="Arial" w:hAnsi="Arial"/>
                <w:sz w:val="14"/>
                <w:szCs w:val="14"/>
                <w:color w:val="auto"/>
              </w:rPr>
              <w:t>Abstain</w:t>
            </w:r>
          </w:p>
        </w:tc>
        <w:tc>
          <w:tcPr>
            <w:tcW w:w="1700" w:type="dxa"/>
            <w:vAlign w:val="bottom"/>
            <w:gridSpan w:val="2"/>
          </w:tcPr>
          <w:p>
            <w:pPr>
              <w:ind w:left="280"/>
              <w:spacing w:after="0"/>
              <w:rPr>
                <w:sz w:val="20"/>
                <w:szCs w:val="20"/>
                <w:color w:val="auto"/>
              </w:rPr>
            </w:pPr>
            <w:r>
              <w:rPr>
                <w:rFonts w:ascii="Arial" w:cs="Arial" w:eastAsia="Arial" w:hAnsi="Arial"/>
                <w:sz w:val="14"/>
                <w:szCs w:val="14"/>
                <w:color w:val="auto"/>
              </w:rPr>
              <w:t>Broker Non-Vote</w:t>
            </w:r>
          </w:p>
        </w:tc>
      </w:tr>
      <w:tr>
        <w:trPr>
          <w:trHeight w:val="155"/>
        </w:trPr>
        <w:tc>
          <w:tcPr>
            <w:tcW w:w="3080" w:type="dxa"/>
            <w:vAlign w:val="bottom"/>
            <w:tcBorders>
              <w:top w:val="single" w:sz="8" w:color="auto"/>
            </w:tcBorders>
            <w:shd w:val="clear" w:color="auto" w:fill="BDD7EE"/>
          </w:tcPr>
          <w:p>
            <w:pPr>
              <w:spacing w:after="0" w:line="155" w:lineRule="exact"/>
              <w:rPr>
                <w:sz w:val="20"/>
                <w:szCs w:val="20"/>
                <w:color w:val="auto"/>
              </w:rPr>
            </w:pPr>
            <w:r>
              <w:rPr>
                <w:rFonts w:ascii="Arial" w:cs="Arial" w:eastAsia="Arial" w:hAnsi="Arial"/>
                <w:sz w:val="14"/>
                <w:szCs w:val="14"/>
                <w:color w:val="auto"/>
              </w:rPr>
              <w:t>Marshall Brozost</w:t>
            </w:r>
          </w:p>
        </w:tc>
        <w:tc>
          <w:tcPr>
            <w:tcW w:w="400" w:type="dxa"/>
            <w:vAlign w:val="bottom"/>
            <w:tcBorders>
              <w:top w:val="single" w:sz="8" w:color="BDD7EE"/>
            </w:tcBorders>
            <w:shd w:val="clear" w:color="auto" w:fill="BDD7EE"/>
          </w:tcPr>
          <w:p>
            <w:pPr>
              <w:spacing w:after="0"/>
              <w:rPr>
                <w:sz w:val="13"/>
                <w:szCs w:val="13"/>
                <w:color w:val="auto"/>
              </w:rPr>
            </w:pPr>
          </w:p>
        </w:tc>
        <w:tc>
          <w:tcPr>
            <w:tcW w:w="194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9,075,846</w:t>
            </w:r>
          </w:p>
        </w:tc>
        <w:tc>
          <w:tcPr>
            <w:tcW w:w="520" w:type="dxa"/>
            <w:vAlign w:val="bottom"/>
            <w:tcBorders>
              <w:top w:val="single" w:sz="8" w:color="BDD7EE"/>
            </w:tcBorders>
            <w:shd w:val="clear" w:color="auto" w:fill="BDD7EE"/>
          </w:tcPr>
          <w:p>
            <w:pPr>
              <w:spacing w:after="0"/>
              <w:rPr>
                <w:sz w:val="13"/>
                <w:szCs w:val="13"/>
                <w:color w:val="auto"/>
              </w:rPr>
            </w:pPr>
          </w:p>
        </w:tc>
        <w:tc>
          <w:tcPr>
            <w:tcW w:w="128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3,833,199</w:t>
            </w:r>
          </w:p>
        </w:tc>
        <w:tc>
          <w:tcPr>
            <w:tcW w:w="520" w:type="dxa"/>
            <w:vAlign w:val="bottom"/>
            <w:tcBorders>
              <w:top w:val="single" w:sz="8" w:color="BDD7EE"/>
            </w:tcBorders>
            <w:shd w:val="clear" w:color="auto" w:fill="BDD7EE"/>
          </w:tcPr>
          <w:p>
            <w:pPr>
              <w:spacing w:after="0"/>
              <w:rPr>
                <w:sz w:val="13"/>
                <w:szCs w:val="13"/>
                <w:color w:val="auto"/>
              </w:rPr>
            </w:pPr>
          </w:p>
        </w:tc>
        <w:tc>
          <w:tcPr>
            <w:tcW w:w="128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245,577</w:t>
            </w:r>
          </w:p>
        </w:tc>
        <w:tc>
          <w:tcPr>
            <w:tcW w:w="520" w:type="dxa"/>
            <w:vAlign w:val="bottom"/>
            <w:tcBorders>
              <w:top w:val="single" w:sz="8" w:color="BDD7EE"/>
            </w:tcBorders>
            <w:shd w:val="clear" w:color="auto" w:fill="BDD7EE"/>
          </w:tcPr>
          <w:p>
            <w:pPr>
              <w:spacing w:after="0"/>
              <w:rPr>
                <w:sz w:val="13"/>
                <w:szCs w:val="13"/>
                <w:color w:val="auto"/>
              </w:rPr>
            </w:pPr>
          </w:p>
        </w:tc>
        <w:tc>
          <w:tcPr>
            <w:tcW w:w="158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12,185,229</w:t>
            </w:r>
          </w:p>
        </w:tc>
        <w:tc>
          <w:tcPr>
            <w:tcW w:w="120" w:type="dxa"/>
            <w:vAlign w:val="bottom"/>
            <w:tcBorders>
              <w:top w:val="single" w:sz="8" w:color="BDD7EE"/>
            </w:tcBorders>
            <w:shd w:val="clear" w:color="auto" w:fill="BDD7EE"/>
          </w:tcPr>
          <w:p>
            <w:pPr>
              <w:spacing w:after="0"/>
              <w:rPr>
                <w:sz w:val="13"/>
                <w:szCs w:val="13"/>
                <w:color w:val="auto"/>
              </w:rPr>
            </w:pPr>
          </w:p>
        </w:tc>
      </w:tr>
      <w:tr>
        <w:trPr>
          <w:trHeight w:val="162"/>
        </w:trPr>
        <w:tc>
          <w:tcPr>
            <w:tcW w:w="3480" w:type="dxa"/>
            <w:vAlign w:val="bottom"/>
            <w:gridSpan w:val="2"/>
          </w:tcPr>
          <w:p>
            <w:pPr>
              <w:ind w:left="1000"/>
              <w:spacing w:after="0"/>
              <w:rPr>
                <w:sz w:val="20"/>
                <w:szCs w:val="20"/>
                <w:color w:val="auto"/>
              </w:rPr>
            </w:pPr>
            <w:r>
              <w:rPr>
                <w:rFonts w:ascii="Arial" w:cs="Arial" w:eastAsia="Arial" w:hAnsi="Arial"/>
                <w:sz w:val="14"/>
                <w:szCs w:val="14"/>
                <w:color w:val="auto"/>
              </w:rPr>
              <w:t>% of Shares Voted</w:t>
            </w:r>
          </w:p>
        </w:tc>
        <w:tc>
          <w:tcPr>
            <w:tcW w:w="2460" w:type="dxa"/>
            <w:vAlign w:val="bottom"/>
            <w:gridSpan w:val="2"/>
          </w:tcPr>
          <w:p>
            <w:pPr>
              <w:jc w:val="right"/>
              <w:ind w:right="400"/>
              <w:spacing w:after="0"/>
              <w:rPr>
                <w:sz w:val="20"/>
                <w:szCs w:val="20"/>
                <w:color w:val="auto"/>
              </w:rPr>
            </w:pPr>
            <w:r>
              <w:rPr>
                <w:rFonts w:ascii="Arial" w:cs="Arial" w:eastAsia="Arial" w:hAnsi="Arial"/>
                <w:sz w:val="14"/>
                <w:szCs w:val="14"/>
                <w:color w:val="auto"/>
              </w:rPr>
              <w:t>68.99%</w:t>
            </w:r>
          </w:p>
        </w:tc>
        <w:tc>
          <w:tcPr>
            <w:tcW w:w="1800" w:type="dxa"/>
            <w:vAlign w:val="bottom"/>
            <w:gridSpan w:val="2"/>
          </w:tcPr>
          <w:p>
            <w:pPr>
              <w:jc w:val="right"/>
              <w:ind w:right="400"/>
              <w:spacing w:after="0"/>
              <w:rPr>
                <w:sz w:val="20"/>
                <w:szCs w:val="20"/>
                <w:color w:val="auto"/>
              </w:rPr>
            </w:pPr>
            <w:r>
              <w:rPr>
                <w:rFonts w:ascii="Arial" w:cs="Arial" w:eastAsia="Arial" w:hAnsi="Arial"/>
                <w:sz w:val="14"/>
                <w:szCs w:val="14"/>
                <w:color w:val="auto"/>
              </w:rPr>
              <w:t>29.14%</w:t>
            </w:r>
          </w:p>
        </w:tc>
        <w:tc>
          <w:tcPr>
            <w:tcW w:w="1800" w:type="dxa"/>
            <w:vAlign w:val="bottom"/>
            <w:gridSpan w:val="2"/>
          </w:tcPr>
          <w:p>
            <w:pPr>
              <w:jc w:val="right"/>
              <w:ind w:right="400"/>
              <w:spacing w:after="0"/>
              <w:rPr>
                <w:sz w:val="20"/>
                <w:szCs w:val="20"/>
                <w:color w:val="auto"/>
              </w:rPr>
            </w:pPr>
            <w:r>
              <w:rPr>
                <w:rFonts w:ascii="Arial" w:cs="Arial" w:eastAsia="Arial" w:hAnsi="Arial"/>
                <w:sz w:val="14"/>
                <w:szCs w:val="14"/>
                <w:color w:val="auto"/>
              </w:rPr>
              <w:t>1.87%</w:t>
            </w: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N/A</w:t>
            </w:r>
          </w:p>
        </w:tc>
      </w:tr>
      <w:tr>
        <w:trPr>
          <w:trHeight w:val="162"/>
        </w:trPr>
        <w:tc>
          <w:tcPr>
            <w:tcW w:w="3480" w:type="dxa"/>
            <w:vAlign w:val="bottom"/>
            <w:gridSpan w:val="2"/>
            <w:shd w:val="clear" w:color="auto" w:fill="BDD7EE"/>
          </w:tcPr>
          <w:p>
            <w:pPr>
              <w:spacing w:after="0"/>
              <w:rPr>
                <w:sz w:val="20"/>
                <w:szCs w:val="20"/>
                <w:color w:val="auto"/>
              </w:rPr>
            </w:pPr>
            <w:r>
              <w:rPr>
                <w:rFonts w:ascii="Arial" w:cs="Arial" w:eastAsia="Arial" w:hAnsi="Arial"/>
                <w:sz w:val="14"/>
                <w:szCs w:val="14"/>
                <w:color w:val="auto"/>
              </w:rPr>
              <w:t>Samuel L. Katz</w:t>
            </w:r>
          </w:p>
        </w:tc>
        <w:tc>
          <w:tcPr>
            <w:tcW w:w="1940" w:type="dxa"/>
            <w:vAlign w:val="bottom"/>
            <w:shd w:val="clear" w:color="auto" w:fill="BDD7EE"/>
          </w:tcPr>
          <w:p>
            <w:pPr>
              <w:jc w:val="right"/>
              <w:spacing w:after="0"/>
              <w:rPr>
                <w:sz w:val="20"/>
                <w:szCs w:val="20"/>
                <w:color w:val="auto"/>
              </w:rPr>
            </w:pPr>
            <w:r>
              <w:rPr>
                <w:rFonts w:ascii="Arial" w:cs="Arial" w:eastAsia="Arial" w:hAnsi="Arial"/>
                <w:sz w:val="14"/>
                <w:szCs w:val="14"/>
                <w:color w:val="auto"/>
              </w:rPr>
              <w:t>10,158,548</w:t>
            </w:r>
          </w:p>
        </w:tc>
        <w:tc>
          <w:tcPr>
            <w:tcW w:w="520" w:type="dxa"/>
            <w:vAlign w:val="bottom"/>
            <w:shd w:val="clear" w:color="auto" w:fill="BDD7EE"/>
          </w:tcPr>
          <w:p>
            <w:pPr>
              <w:spacing w:after="0"/>
              <w:rPr>
                <w:sz w:val="14"/>
                <w:szCs w:val="14"/>
                <w:color w:val="auto"/>
              </w:rPr>
            </w:pPr>
          </w:p>
        </w:tc>
        <w:tc>
          <w:tcPr>
            <w:tcW w:w="1280" w:type="dxa"/>
            <w:vAlign w:val="bottom"/>
            <w:shd w:val="clear" w:color="auto" w:fill="BDD7EE"/>
          </w:tcPr>
          <w:p>
            <w:pPr>
              <w:jc w:val="right"/>
              <w:spacing w:after="0"/>
              <w:rPr>
                <w:sz w:val="20"/>
                <w:szCs w:val="20"/>
                <w:color w:val="auto"/>
              </w:rPr>
            </w:pPr>
            <w:r>
              <w:rPr>
                <w:rFonts w:ascii="Arial" w:cs="Arial" w:eastAsia="Arial" w:hAnsi="Arial"/>
                <w:sz w:val="14"/>
                <w:szCs w:val="14"/>
                <w:color w:val="auto"/>
              </w:rPr>
              <w:t>2,747,564</w:t>
            </w:r>
          </w:p>
        </w:tc>
        <w:tc>
          <w:tcPr>
            <w:tcW w:w="520" w:type="dxa"/>
            <w:vAlign w:val="bottom"/>
            <w:shd w:val="clear" w:color="auto" w:fill="BDD7EE"/>
          </w:tcPr>
          <w:p>
            <w:pPr>
              <w:spacing w:after="0"/>
              <w:rPr>
                <w:sz w:val="14"/>
                <w:szCs w:val="14"/>
                <w:color w:val="auto"/>
              </w:rPr>
            </w:pPr>
          </w:p>
        </w:tc>
        <w:tc>
          <w:tcPr>
            <w:tcW w:w="1280" w:type="dxa"/>
            <w:vAlign w:val="bottom"/>
            <w:shd w:val="clear" w:color="auto" w:fill="BDD7EE"/>
          </w:tcPr>
          <w:p>
            <w:pPr>
              <w:jc w:val="right"/>
              <w:spacing w:after="0"/>
              <w:rPr>
                <w:sz w:val="20"/>
                <w:szCs w:val="20"/>
                <w:color w:val="auto"/>
              </w:rPr>
            </w:pPr>
            <w:r>
              <w:rPr>
                <w:rFonts w:ascii="Arial" w:cs="Arial" w:eastAsia="Arial" w:hAnsi="Arial"/>
                <w:sz w:val="14"/>
                <w:szCs w:val="14"/>
                <w:color w:val="auto"/>
              </w:rPr>
              <w:t>248,510</w:t>
            </w:r>
          </w:p>
        </w:tc>
        <w:tc>
          <w:tcPr>
            <w:tcW w:w="520" w:type="dxa"/>
            <w:vAlign w:val="bottom"/>
            <w:shd w:val="clear" w:color="auto" w:fill="BDD7EE"/>
          </w:tcPr>
          <w:p>
            <w:pPr>
              <w:spacing w:after="0"/>
              <w:rPr>
                <w:sz w:val="14"/>
                <w:szCs w:val="14"/>
                <w:color w:val="auto"/>
              </w:rPr>
            </w:pPr>
          </w:p>
        </w:tc>
        <w:tc>
          <w:tcPr>
            <w:tcW w:w="1580" w:type="dxa"/>
            <w:vAlign w:val="bottom"/>
            <w:shd w:val="clear" w:color="auto" w:fill="BDD7EE"/>
          </w:tcPr>
          <w:p>
            <w:pPr>
              <w:jc w:val="right"/>
              <w:spacing w:after="0"/>
              <w:rPr>
                <w:sz w:val="20"/>
                <w:szCs w:val="20"/>
                <w:color w:val="auto"/>
              </w:rPr>
            </w:pPr>
            <w:r>
              <w:rPr>
                <w:rFonts w:ascii="Arial" w:cs="Arial" w:eastAsia="Arial" w:hAnsi="Arial"/>
                <w:sz w:val="14"/>
                <w:szCs w:val="14"/>
                <w:color w:val="auto"/>
              </w:rPr>
              <w:t>12,185,229</w:t>
            </w:r>
          </w:p>
        </w:tc>
        <w:tc>
          <w:tcPr>
            <w:tcW w:w="120" w:type="dxa"/>
            <w:vAlign w:val="bottom"/>
            <w:shd w:val="clear" w:color="auto" w:fill="BDD7EE"/>
          </w:tcPr>
          <w:p>
            <w:pPr>
              <w:spacing w:after="0"/>
              <w:rPr>
                <w:sz w:val="14"/>
                <w:szCs w:val="14"/>
                <w:color w:val="auto"/>
              </w:rPr>
            </w:pPr>
          </w:p>
        </w:tc>
      </w:tr>
      <w:tr>
        <w:trPr>
          <w:trHeight w:val="182"/>
        </w:trPr>
        <w:tc>
          <w:tcPr>
            <w:tcW w:w="3480" w:type="dxa"/>
            <w:vAlign w:val="bottom"/>
            <w:gridSpan w:val="2"/>
          </w:tcPr>
          <w:p>
            <w:pPr>
              <w:ind w:left="1000"/>
              <w:spacing w:after="0"/>
              <w:rPr>
                <w:sz w:val="20"/>
                <w:szCs w:val="20"/>
                <w:color w:val="auto"/>
              </w:rPr>
            </w:pPr>
            <w:r>
              <w:rPr>
                <w:rFonts w:ascii="Arial" w:cs="Arial" w:eastAsia="Arial" w:hAnsi="Arial"/>
                <w:sz w:val="14"/>
                <w:szCs w:val="14"/>
                <w:color w:val="auto"/>
              </w:rPr>
              <w:t>% of Shares Voted</w:t>
            </w:r>
          </w:p>
        </w:tc>
        <w:tc>
          <w:tcPr>
            <w:tcW w:w="2460" w:type="dxa"/>
            <w:vAlign w:val="bottom"/>
            <w:gridSpan w:val="2"/>
          </w:tcPr>
          <w:p>
            <w:pPr>
              <w:jc w:val="right"/>
              <w:ind w:right="400"/>
              <w:spacing w:after="0"/>
              <w:rPr>
                <w:sz w:val="20"/>
                <w:szCs w:val="20"/>
                <w:color w:val="auto"/>
              </w:rPr>
            </w:pPr>
            <w:r>
              <w:rPr>
                <w:rFonts w:ascii="Arial" w:cs="Arial" w:eastAsia="Arial" w:hAnsi="Arial"/>
                <w:sz w:val="14"/>
                <w:szCs w:val="14"/>
                <w:color w:val="auto"/>
              </w:rPr>
              <w:t>77.22%</w:t>
            </w:r>
          </w:p>
        </w:tc>
        <w:tc>
          <w:tcPr>
            <w:tcW w:w="1800" w:type="dxa"/>
            <w:vAlign w:val="bottom"/>
            <w:gridSpan w:val="2"/>
          </w:tcPr>
          <w:p>
            <w:pPr>
              <w:jc w:val="right"/>
              <w:ind w:right="400"/>
              <w:spacing w:after="0"/>
              <w:rPr>
                <w:sz w:val="20"/>
                <w:szCs w:val="20"/>
                <w:color w:val="auto"/>
              </w:rPr>
            </w:pPr>
            <w:r>
              <w:rPr>
                <w:rFonts w:ascii="Arial" w:cs="Arial" w:eastAsia="Arial" w:hAnsi="Arial"/>
                <w:sz w:val="14"/>
                <w:szCs w:val="14"/>
                <w:color w:val="auto"/>
              </w:rPr>
              <w:t>20.89%</w:t>
            </w:r>
          </w:p>
        </w:tc>
        <w:tc>
          <w:tcPr>
            <w:tcW w:w="1800" w:type="dxa"/>
            <w:vAlign w:val="bottom"/>
            <w:gridSpan w:val="2"/>
          </w:tcPr>
          <w:p>
            <w:pPr>
              <w:jc w:val="right"/>
              <w:ind w:right="400"/>
              <w:spacing w:after="0"/>
              <w:rPr>
                <w:sz w:val="20"/>
                <w:szCs w:val="20"/>
                <w:color w:val="auto"/>
              </w:rPr>
            </w:pPr>
            <w:r>
              <w:rPr>
                <w:rFonts w:ascii="Arial" w:cs="Arial" w:eastAsia="Arial" w:hAnsi="Arial"/>
                <w:sz w:val="14"/>
                <w:szCs w:val="14"/>
                <w:color w:val="auto"/>
              </w:rPr>
              <w:t>1.89%</w:t>
            </w: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N/A</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2. </w:t>
      </w:r>
      <w:r>
        <w:rPr>
          <w:rFonts w:ascii="Arial" w:cs="Arial" w:eastAsia="Arial" w:hAnsi="Arial"/>
          <w:sz w:val="13"/>
          <w:szCs w:val="13"/>
          <w:color w:val="auto"/>
        </w:rPr>
        <w:t>The Company’s stockholders ratified the selection of RSM US LLP to serve as the Company’s independent registered public accounting firm for the year ending September 30, 2021.</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9, 2021, as certified by the inspector of election, are set forth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1520" w:type="dxa"/>
            <w:vAlign w:val="bottom"/>
          </w:tcPr>
          <w:p>
            <w:pPr>
              <w:ind w:left="1100"/>
              <w:spacing w:after="0"/>
              <w:rPr>
                <w:sz w:val="20"/>
                <w:szCs w:val="20"/>
                <w:color w:val="auto"/>
              </w:rPr>
            </w:pPr>
            <w:r>
              <w:rPr>
                <w:rFonts w:ascii="Arial" w:cs="Arial" w:eastAsia="Arial" w:hAnsi="Arial"/>
                <w:sz w:val="14"/>
                <w:szCs w:val="14"/>
                <w:color w:val="auto"/>
              </w:rPr>
              <w:t>For</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ind w:left="560"/>
              <w:spacing w:after="0"/>
              <w:rPr>
                <w:sz w:val="20"/>
                <w:szCs w:val="20"/>
                <w:color w:val="auto"/>
              </w:rPr>
            </w:pPr>
            <w:r>
              <w:rPr>
                <w:rFonts w:ascii="Arial" w:cs="Arial" w:eastAsia="Arial" w:hAnsi="Arial"/>
                <w:sz w:val="14"/>
                <w:szCs w:val="14"/>
                <w:color w:val="auto"/>
              </w:rPr>
              <w:t>Against</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4"/>
                <w:szCs w:val="14"/>
                <w:color w:val="auto"/>
              </w:rPr>
              <w:t>Abstain</w:t>
            </w:r>
          </w:p>
        </w:tc>
        <w:tc>
          <w:tcPr>
            <w:tcW w:w="20" w:type="dxa"/>
            <w:vAlign w:val="bottom"/>
          </w:tcPr>
          <w:p>
            <w:pPr>
              <w:spacing w:after="0"/>
              <w:rPr>
                <w:sz w:val="14"/>
                <w:szCs w:val="14"/>
                <w:color w:val="auto"/>
              </w:rPr>
            </w:pPr>
          </w:p>
        </w:tc>
      </w:tr>
      <w:tr>
        <w:trPr>
          <w:trHeight w:val="155"/>
        </w:trPr>
        <w:tc>
          <w:tcPr>
            <w:tcW w:w="4260" w:type="dxa"/>
            <w:vAlign w:val="bottom"/>
            <w:tcBorders>
              <w:top w:val="single" w:sz="8" w:color="BDD7EE"/>
            </w:tcBorders>
            <w:shd w:val="clear" w:color="auto" w:fill="BDD7EE"/>
          </w:tcPr>
          <w:p>
            <w:pPr>
              <w:spacing w:after="0" w:line="155" w:lineRule="exact"/>
              <w:rPr>
                <w:sz w:val="20"/>
                <w:szCs w:val="20"/>
                <w:color w:val="auto"/>
              </w:rPr>
            </w:pPr>
            <w:r>
              <w:rPr>
                <w:rFonts w:ascii="Arial" w:cs="Arial" w:eastAsia="Arial" w:hAnsi="Arial"/>
                <w:sz w:val="14"/>
                <w:szCs w:val="14"/>
                <w:color w:val="auto"/>
              </w:rPr>
              <w:t>Shares Voted</w:t>
            </w:r>
          </w:p>
        </w:tc>
        <w:tc>
          <w:tcPr>
            <w:tcW w:w="1520" w:type="dxa"/>
            <w:vAlign w:val="bottom"/>
            <w:tcBorders>
              <w:top w:val="single" w:sz="8" w:color="auto"/>
            </w:tcBorders>
            <w:shd w:val="clear" w:color="auto" w:fill="BDD7EE"/>
          </w:tcPr>
          <w:p>
            <w:pPr>
              <w:spacing w:after="0"/>
              <w:rPr>
                <w:sz w:val="13"/>
                <w:szCs w:val="13"/>
                <w:color w:val="auto"/>
              </w:rPr>
            </w:pPr>
          </w:p>
        </w:tc>
        <w:tc>
          <w:tcPr>
            <w:tcW w:w="90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24,877,910</w:t>
            </w:r>
          </w:p>
        </w:tc>
        <w:tc>
          <w:tcPr>
            <w:tcW w:w="620" w:type="dxa"/>
            <w:vAlign w:val="bottom"/>
            <w:tcBorders>
              <w:top w:val="single" w:sz="8" w:color="BDD7EE"/>
            </w:tcBorders>
            <w:shd w:val="clear" w:color="auto" w:fill="BDD7EE"/>
          </w:tcPr>
          <w:p>
            <w:pPr>
              <w:spacing w:after="0"/>
              <w:rPr>
                <w:sz w:val="13"/>
                <w:szCs w:val="13"/>
                <w:color w:val="auto"/>
              </w:rPr>
            </w:pPr>
          </w:p>
        </w:tc>
        <w:tc>
          <w:tcPr>
            <w:tcW w:w="1060" w:type="dxa"/>
            <w:vAlign w:val="bottom"/>
            <w:tcBorders>
              <w:top w:val="single" w:sz="8" w:color="auto"/>
            </w:tcBorders>
            <w:shd w:val="clear" w:color="auto" w:fill="BDD7EE"/>
          </w:tcPr>
          <w:p>
            <w:pPr>
              <w:spacing w:after="0"/>
              <w:rPr>
                <w:sz w:val="13"/>
                <w:szCs w:val="13"/>
                <w:color w:val="auto"/>
              </w:rPr>
            </w:pPr>
          </w:p>
        </w:tc>
        <w:tc>
          <w:tcPr>
            <w:tcW w:w="54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w w:val="98"/>
              </w:rPr>
              <w:t>213,803</w:t>
            </w:r>
          </w:p>
        </w:tc>
        <w:tc>
          <w:tcPr>
            <w:tcW w:w="620" w:type="dxa"/>
            <w:vAlign w:val="bottom"/>
            <w:tcBorders>
              <w:top w:val="single" w:sz="8" w:color="BDD7EE"/>
            </w:tcBorders>
            <w:shd w:val="clear" w:color="auto" w:fill="BDD7EE"/>
          </w:tcPr>
          <w:p>
            <w:pPr>
              <w:spacing w:after="0"/>
              <w:rPr>
                <w:sz w:val="13"/>
                <w:szCs w:val="13"/>
                <w:color w:val="auto"/>
              </w:rPr>
            </w:pPr>
          </w:p>
        </w:tc>
        <w:tc>
          <w:tcPr>
            <w:tcW w:w="158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248,138</w:t>
            </w:r>
          </w:p>
        </w:tc>
        <w:tc>
          <w:tcPr>
            <w:tcW w:w="140" w:type="dxa"/>
            <w:vAlign w:val="bottom"/>
            <w:tcBorders>
              <w:top w:val="single" w:sz="8" w:color="BDD7EE"/>
            </w:tcBorders>
            <w:shd w:val="clear" w:color="auto" w:fill="BDD7EE"/>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5780" w:type="dxa"/>
            <w:vAlign w:val="bottom"/>
            <w:gridSpan w:val="2"/>
          </w:tcPr>
          <w:p>
            <w:pPr>
              <w:ind w:left="1360"/>
              <w:spacing w:after="0"/>
              <w:rPr>
                <w:sz w:val="20"/>
                <w:szCs w:val="20"/>
                <w:color w:val="auto"/>
              </w:rPr>
            </w:pPr>
            <w:r>
              <w:rPr>
                <w:rFonts w:ascii="Arial" w:cs="Arial" w:eastAsia="Arial" w:hAnsi="Arial"/>
                <w:sz w:val="14"/>
                <w:szCs w:val="14"/>
                <w:color w:val="auto"/>
              </w:rPr>
              <w:t>% of Shares Voted</w:t>
            </w:r>
          </w:p>
        </w:tc>
        <w:tc>
          <w:tcPr>
            <w:tcW w:w="1520" w:type="dxa"/>
            <w:vAlign w:val="bottom"/>
            <w:gridSpan w:val="2"/>
          </w:tcPr>
          <w:p>
            <w:pPr>
              <w:jc w:val="right"/>
              <w:ind w:right="500"/>
              <w:spacing w:after="0"/>
              <w:rPr>
                <w:sz w:val="20"/>
                <w:szCs w:val="20"/>
                <w:color w:val="auto"/>
              </w:rPr>
            </w:pPr>
            <w:r>
              <w:rPr>
                <w:rFonts w:ascii="Arial" w:cs="Arial" w:eastAsia="Arial" w:hAnsi="Arial"/>
                <w:sz w:val="14"/>
                <w:szCs w:val="14"/>
                <w:color w:val="auto"/>
              </w:rPr>
              <w:t>98.18%</w:t>
            </w:r>
          </w:p>
        </w:tc>
        <w:tc>
          <w:tcPr>
            <w:tcW w:w="106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color w:val="auto"/>
              </w:rPr>
              <w:t>0.84%</w:t>
            </w:r>
          </w:p>
        </w:tc>
        <w:tc>
          <w:tcPr>
            <w:tcW w:w="1720" w:type="dxa"/>
            <w:vAlign w:val="bottom"/>
            <w:gridSpan w:val="2"/>
          </w:tcPr>
          <w:p>
            <w:pPr>
              <w:jc w:val="right"/>
              <w:ind w:right="20"/>
              <w:spacing w:after="0"/>
              <w:rPr>
                <w:sz w:val="20"/>
                <w:szCs w:val="20"/>
                <w:color w:val="auto"/>
              </w:rPr>
            </w:pPr>
            <w:r>
              <w:rPr>
                <w:rFonts w:ascii="Arial" w:cs="Arial" w:eastAsia="Arial" w:hAnsi="Arial"/>
                <w:sz w:val="14"/>
                <w:szCs w:val="14"/>
                <w:color w:val="auto"/>
              </w:rPr>
              <w:t>0.98%</w:t>
            </w:r>
          </w:p>
        </w:tc>
        <w:tc>
          <w:tcPr>
            <w:tcW w:w="20" w:type="dxa"/>
            <w:vAlign w:val="bottom"/>
          </w:tcPr>
          <w:p>
            <w:pPr>
              <w:spacing w:after="0"/>
              <w:rPr>
                <w:sz w:val="15"/>
                <w:szCs w:val="15"/>
                <w:color w:val="auto"/>
              </w:rPr>
            </w:pPr>
          </w:p>
        </w:tc>
      </w:tr>
      <w:tr>
        <w:trPr>
          <w:trHeight w:val="459"/>
        </w:trPr>
        <w:tc>
          <w:tcPr>
            <w:tcW w:w="4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54"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Arial" w:cs="Arial" w:eastAsia="Arial" w:hAnsi="Arial"/>
                <w:sz w:val="14"/>
                <w:szCs w:val="14"/>
                <w:b w:val="1"/>
                <w:bCs w:val="1"/>
                <w:color w:val="auto"/>
                <w:w w:val="96"/>
              </w:rPr>
              <w:t>PennantPark Floating Rate Capital Ltd.</w:t>
            </w:r>
          </w:p>
        </w:tc>
        <w:tc>
          <w:tcPr>
            <w:tcW w:w="0" w:type="dxa"/>
            <w:vAlign w:val="bottom"/>
          </w:tcPr>
          <w:p>
            <w:pPr>
              <w:spacing w:after="0"/>
              <w:rPr>
                <w:sz w:val="1"/>
                <w:szCs w:val="1"/>
                <w:color w:val="auto"/>
              </w:rPr>
            </w:pPr>
          </w:p>
        </w:tc>
      </w:tr>
      <w:tr>
        <w:trPr>
          <w:trHeight w:val="297"/>
        </w:trPr>
        <w:tc>
          <w:tcPr>
            <w:tcW w:w="4960" w:type="dxa"/>
            <w:vAlign w:val="bottom"/>
          </w:tcPr>
          <w:p>
            <w:pPr>
              <w:spacing w:after="0"/>
              <w:rPr>
                <w:sz w:val="20"/>
                <w:szCs w:val="20"/>
                <w:color w:val="auto"/>
              </w:rPr>
            </w:pPr>
            <w:r>
              <w:rPr>
                <w:rFonts w:ascii="Arial" w:cs="Arial" w:eastAsia="Arial" w:hAnsi="Arial"/>
                <w:sz w:val="14"/>
                <w:szCs w:val="14"/>
                <w:color w:val="auto"/>
              </w:rPr>
              <w:t>Dated: February 12, 2021</w:t>
            </w:r>
          </w:p>
        </w:tc>
        <w:tc>
          <w:tcPr>
            <w:tcW w:w="4760" w:type="dxa"/>
            <w:vAlign w:val="bottom"/>
            <w:vMerge w:val="restart"/>
          </w:tcPr>
          <w:p>
            <w:pPr>
              <w:jc w:val="center"/>
              <w:spacing w:after="0"/>
              <w:rPr>
                <w:sz w:val="20"/>
                <w:szCs w:val="20"/>
                <w:color w:val="auto"/>
              </w:rPr>
            </w:pPr>
            <w:r>
              <w:rPr>
                <w:rFonts w:ascii="Arial" w:cs="Arial" w:eastAsia="Arial" w:hAnsi="Arial"/>
                <w:sz w:val="14"/>
                <w:szCs w:val="14"/>
                <w:color w:val="auto"/>
                <w:w w:val="97"/>
              </w:rPr>
              <w:t>/s/ AVIV EFRAT</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4"/>
                <w:szCs w:val="4"/>
                <w:color w:val="auto"/>
              </w:rPr>
            </w:pPr>
          </w:p>
        </w:tc>
        <w:tc>
          <w:tcPr>
            <w:tcW w:w="47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4"/>
                <w:szCs w:val="14"/>
                <w:color w:val="auto"/>
              </w:rPr>
              <w:t>Aviv Efrat</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15"/>
                <w:szCs w:val="15"/>
                <w:color w:val="auto"/>
              </w:rPr>
            </w:pPr>
          </w:p>
        </w:tc>
        <w:tc>
          <w:tcPr>
            <w:tcW w:w="4760" w:type="dxa"/>
            <w:vAlign w:val="bottom"/>
          </w:tcPr>
          <w:p>
            <w:pPr>
              <w:jc w:val="center"/>
              <w:spacing w:after="0"/>
              <w:rPr>
                <w:sz w:val="20"/>
                <w:szCs w:val="20"/>
                <w:color w:val="auto"/>
              </w:rPr>
            </w:pPr>
            <w:r>
              <w:rPr>
                <w:rFonts w:ascii="Arial" w:cs="Arial" w:eastAsia="Arial" w:hAnsi="Arial"/>
                <w:sz w:val="14"/>
                <w:szCs w:val="14"/>
                <w:color w:val="auto"/>
                <w:w w:val="95"/>
              </w:rPr>
              <w:t>Chief Financial Officer &amp; 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60"/>
      </w:cols>
      <w:pgMar w:left="320" w:top="57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2021-02-12T15:23:18Z</dcterms:created>
  <dcterms:modified xsi:type="dcterms:W3CDTF">2021-02-12T15:23:18Z</dcterms:modified>
</cp:coreProperties>
</file>