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250825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245110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12" w:lineRule="exact"/>
        <w:rPr>
          <w:sz w:val="24"/>
          <w:szCs w:val="24"/>
          <w:color w:val="auto"/>
        </w:rPr>
      </w:pPr>
    </w:p>
    <w:p>
      <w:pPr>
        <w:sectPr>
          <w:pgSz w:w="11900" w:h="16838" w:orient="portrait"/>
          <w:cols w:equalWidth="0" w:num="3">
            <w:col w:w="4640" w:space="720"/>
            <w:col w:w="2920" w:space="720"/>
            <w:col w:w="2240"/>
          </w:cols>
          <w:pgMar w:left="320" w:top="376"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620" w:space="720"/>
            <w:col w:w="2680" w:space="720"/>
            <w:col w:w="2500"/>
          </w:cols>
          <w:pgMar w:left="320" w:top="376" w:right="339" w:bottom="1440" w:gutter="0" w:footer="0" w:header="0"/>
          <w:type w:val="continuous"/>
        </w:sectPr>
      </w:pPr>
    </w:p>
    <w:p>
      <w:pPr>
        <w:spacing w:after="0" w:line="1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1691 Michigan Avenue</w:t>
      </w:r>
    </w:p>
    <w:p>
      <w:pPr>
        <w:spacing w:after="0" w:line="4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33139</w:t>
      </w:r>
    </w:p>
    <w:p>
      <w:pPr>
        <w:spacing w:after="0" w:line="31" w:lineRule="exact"/>
        <w:rPr>
          <w:sz w:val="24"/>
          <w:szCs w:val="24"/>
          <w:color w:val="auto"/>
        </w:rPr>
      </w:pPr>
    </w:p>
    <w:p>
      <w:pPr>
        <w:sectPr>
          <w:pgSz w:w="11900" w:h="16838" w:orient="portrait"/>
          <w:cols w:equalWidth="0" w:num="2">
            <w:col w:w="7560" w:space="720"/>
            <w:col w:w="2960"/>
          </w:cols>
          <w:pgMar w:left="320" w:top="376" w:right="33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460" w:space="720"/>
            <w:col w:w="3060"/>
          </w:cols>
          <w:pgMar w:left="320" w:top="37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219075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40" w:type="dxa"/>
            <w:vAlign w:val="bottom"/>
            <w:gridSpan w:val="2"/>
            <w:vMerge w:val="continue"/>
          </w:tcPr>
          <w:p>
            <w:pPr>
              <w:spacing w:after="0"/>
              <w:rPr>
                <w:sz w:val="16"/>
                <w:szCs w:val="16"/>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7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17, 2024, PennantPark Floating Rate Capital Ltd. (the “Company”) entered into equity distribution agreements (together, the “Equity Distribution Agreements”) with each of Citizens JMP Securities, LLC, Raymond James &amp; Associates, Inc. and Truist Securities, Inc., as the sales agents (each, a “Sales Agent,” and together, the “Sales Agents”), in connection with the sale of shares of the Company’s common stock, par value $0.001 per share (the “Common Stock”), with an aggregate offering price of up to $500 million. The Equity Distribution Agreements provide that the Company may offer and sell shares of the Common Stock from time to time through a Sales Agent in amounts and at times to be determined by the Company (the “Offering”). Actual sales will depend on a variety of factors to be determined by the Company from time to time, including market conditions and the trading price of the Common Stock. The Company expects to use the net proceeds from this offering to invest in new or existing portfolio companies or for other general corporate or strategic purposes, including repaying amounts outstanding under its existing indebtedness.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shares of Common Stock offered and sold in the Offering will be sold pursuant to a prospectus supplement dated July 17, 2024 (the “Prospectus Supplement”) to the Company’s registration statement on Form N-2 (File No. 333-279726) declared effective by the U.S. Securities and Exchange Commission on July 17, 2024 (such registration statement as of its effective date, including the exhibits thereto and the documents incorporated by reference therein, are hereinafter referred to as the “Registration Statement”) and the base prospectus, dated July 17, 2024 (the “Base Prospectus”), relating to the Offering that forms a part of the Registration Statement.</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Sales of the Common Stock, if any, under the Prospectus Supplement and the Base Prospectus may be made in negotiated transactions or transactions that are deemed to be “at the market,” as defined in Rule 415 under the Securities Act of 1933, as amended, including sales made directly on The New York Stock Exchange or any similar securities exchange or sales made to or through a market maker other than on a securities exchange, at prices related to the prevailing market prices or at negotiated prices. Under the terms of the Equity Distribution Agreements, each Sales Agent will receive a commission from the Company of up to 2.0% of the gross sales price of any shares of the Common Stock sold through such Sales Agent under the applicable Equity Distribution Agreement. The Equity Distribution Agreements contain customary representations, warranties and agreements of the Company, indemnification rights and other obligations of the parties and termination provisions.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Equity Distribution Agreements is not complete and is qualified in its entirety by reference to the full text of the Equity Distribution Agreements, copies of which are attached hereto as Exhibits 1.1, 1.2 and 1.3 and are incorporated herein by reference.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on May 20, 2024, the Company amended and restated its second amended and restated investment advisory management agreement with PennantPark Investment Advisers, LLC and its administration agreement with PennantPark Investment Administration, LLC. The amended and restated agreements have identical terms as the agreements in effect prior to the amendment but are dated May 20, 2024.</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July 17, 2024, Venable LLP delivered its legality opinion with respect to the Common Stock to be sold pursuant to the Prospectus Supplement, a copy of which is attached hereto as Exhibit 5.1.</w:t>
      </w:r>
    </w:p>
    <w:p>
      <w:pPr>
        <w:sectPr>
          <w:pgSz w:w="11900" w:h="16838" w:orient="portrait"/>
          <w:cols w:equalWidth="0" w:num="1">
            <w:col w:w="11180"/>
          </w:cols>
          <w:pgMar w:left="320" w:top="293"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Equity Distribution Agreement, dated as of July 17, 2024, by and among PennantPark Floating Rate Capital Ltd., PennantPark Investment Advisers, LLC, PennantPark Investment Administration, LLC and Citizens JMP Securities, LLC, as the sales agent</w:t>
      </w:r>
    </w:p>
    <w:p>
      <w:pPr>
        <w:spacing w:after="0" w:line="54" w:lineRule="exact"/>
        <w:rPr>
          <w:sz w:val="20"/>
          <w:szCs w:val="20"/>
          <w:color w:val="auto"/>
        </w:rPr>
      </w:pPr>
    </w:p>
    <w:p>
      <w:pPr>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0000EE"/>
        </w:rPr>
        <w:t>Equity Distribution Agreement, dated as of July 17, 2024, by and among PennantPark Floating Rate Capital Ltd., PennantPark Investment Advisers, LLC, PennantPark Investment Administration, LLC and Raymond James &amp; Associates, Inc., as the sales agent</w:t>
      </w:r>
    </w:p>
    <w:p>
      <w:pPr>
        <w:spacing w:after="0" w:line="54" w:lineRule="exact"/>
        <w:rPr>
          <w:sz w:val="20"/>
          <w:szCs w:val="20"/>
          <w:color w:val="auto"/>
        </w:rPr>
      </w:pPr>
    </w:p>
    <w:p>
      <w:pPr>
        <w:ind w:left="680" w:hanging="67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0000EE"/>
        </w:rPr>
        <w:t>Equity Distribution Agreement, dated as of July 17, 2024, by and among PennantPark Floating Rate Capital Ltd., PennantPark Investment Advisers, LLC, PennantPark Investment Administration, LLC and Truist Securities, Inc., as the sales agent</w:t>
      </w:r>
    </w:p>
    <w:p>
      <w:pPr>
        <w:spacing w:after="0" w:line="5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Venable LLP</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Venable LLP (included in Exhibit 5.1)</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640"/>
          </w:cols>
          <w:pgMar w:left="320" w:top="293" w:right="9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400" w:val="left"/>
        </w:tabs>
        <w:rPr>
          <w:sz w:val="20"/>
          <w:szCs w:val="20"/>
          <w:color w:val="auto"/>
        </w:rPr>
      </w:pPr>
      <w:r>
        <w:rPr>
          <w:rFonts w:ascii="Times New Roman" w:cs="Times New Roman" w:eastAsia="Times New Roman" w:hAnsi="Times New Roman"/>
          <w:sz w:val="18"/>
          <w:szCs w:val="18"/>
          <w:color w:val="auto"/>
        </w:rPr>
        <w:t>Dated: July 18, 2024</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pacing w:after="0" w:line="229" w:lineRule="exact"/>
        <w:rPr>
          <w:sz w:val="20"/>
          <w:szCs w:val="20"/>
          <w:color w:val="auto"/>
        </w:rPr>
      </w:pPr>
    </w:p>
    <w:p>
      <w:pPr>
        <w:ind w:left="542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ectPr>
          <w:pgSz w:w="11900" w:h="16838" w:orient="portrait"/>
          <w:cols w:equalWidth="0" w:num="1">
            <w:col w:w="11200"/>
          </w:cols>
          <w:pgMar w:left="320" w:top="29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122555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PENNANTPARK FLOATING RATE CAPITAL LTD.</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Dated: July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 Suite 1100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Citizens JMP Securities, LLC (the “Sales Agent”) with respect to the sale by the Company of shares of common stock, par value $0.001 per share, of the Company (“Common Stock”), having an aggregate offering price of up to $500 million. The shares of Common Stock to be sold by the Sales Agent are herein called, collectively, the “Securities.” The Company, the Adviser and the Administrator have also entered into agreements (collectively the “Sales Agreement”) in substantially similar form to this Equity Distribution Agreement (this “Agreement”), dated of even date herewith, with Raymond James &amp; Associates, Inc. and Truist Securities, Inc. (each, an “Other Agent”). The aggregate amount of Securities that may be sold collectively pursuant to this Agreement and the Sales Agreement shall not exceed the lesser of $500 million and the dollar amount of Securities permitted to be sold under the Registration Statement (as defined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“Commission”) a shelf registration statement on Form N-2 (File</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No. 333-279726), relating to the registration of the Securities and certain of the Company’s other securities under the Securities Act of 1933, as amended (the “1933 Act”), which registration statement was declared effective by the Commission on July 17, 2024. The Company has also filed with the Commission a prospectus supplement, dated the date hereof, as such prospectus supplement may be amended (the “Prospectus”), which contains a base prospectus, dated July 17, 2024,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w:t>
      </w:r>
    </w:p>
    <w:p>
      <w:pPr>
        <w:sectPr>
          <w:pgSz w:w="11900" w:h="16838" w:orient="portrait"/>
          <w:cols w:equalWidth="0" w:num="1">
            <w:col w:w="11180"/>
          </w:cols>
          <w:pgMar w:left="320" w:top="270" w:right="399" w:bottom="1440" w:gutter="0" w:footer="0" w:header="0"/>
        </w:sectPr>
      </w:pPr>
    </w:p>
    <w:bookmarkStart w:id="6" w:name="page7"/>
    <w:bookmarkEnd w:id="6"/>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Filed Pursuant to Section 54(a) of the Investment Company Act (File No. 814-00891)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has entered into that certain Third Amended and Restated Investment Advisory Agreement, dated as of May 20, 2024 (the “Investment Management Agreement”), with the Adviser. The Company has entered into that certain Administration Agreement, dated as of May 20, 2024 (the “Administration Agreement”), with the Administrator.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“Applicable Time” means the time of each sale of the applicable Securities pursuant to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20" w:firstLine="1019"/>
        <w:spacing w:after="0" w:line="261" w:lineRule="auto"/>
        <w:tabs>
          <w:tab w:leader="none" w:pos="1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the Sales Agent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73" w:lineRule="exact"/>
        <w:rPr>
          <w:rFonts w:ascii="Times New Roman" w:cs="Times New Roman" w:eastAsia="Times New Roman" w:hAnsi="Times New Roman"/>
          <w:sz w:val="18"/>
          <w:szCs w:val="18"/>
          <w:color w:val="auto"/>
        </w:rPr>
      </w:pPr>
    </w:p>
    <w:p>
      <w:pPr>
        <w:ind w:left="460" w:right="160" w:firstLine="967"/>
        <w:spacing w:after="0" w:line="256" w:lineRule="auto"/>
        <w:tabs>
          <w:tab w:leader="none" w:pos="164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270" w:right="399" w:bottom="1440" w:gutter="0" w:footer="0" w:header="0"/>
        </w:sectPr>
      </w:pPr>
    </w:p>
    <w:bookmarkStart w:id="7" w:name="page8"/>
    <w:bookmarkEnd w:id="7"/>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firstLine="967"/>
        <w:spacing w:after="0" w:line="253" w:lineRule="auto"/>
        <w:tabs>
          <w:tab w:leader="none" w:pos="12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86" w:lineRule="exact"/>
        <w:rPr>
          <w:rFonts w:ascii="Times New Roman" w:cs="Times New Roman" w:eastAsia="Times New Roman" w:hAnsi="Times New Roman"/>
          <w:sz w:val="18"/>
          <w:szCs w:val="18"/>
          <w:color w:val="auto"/>
        </w:rPr>
      </w:pPr>
    </w:p>
    <w:p>
      <w:pPr>
        <w:ind w:right="400" w:firstLine="967"/>
        <w:spacing w:after="0" w:line="266" w:lineRule="auto"/>
        <w:tabs>
          <w:tab w:leader="none" w:pos="12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67" w:lineRule="exact"/>
        <w:rPr>
          <w:rFonts w:ascii="Times New Roman" w:cs="Times New Roman" w:eastAsia="Times New Roman" w:hAnsi="Times New Roman"/>
          <w:sz w:val="18"/>
          <w:szCs w:val="18"/>
          <w:color w:val="auto"/>
        </w:rPr>
      </w:pPr>
    </w:p>
    <w:p>
      <w:pPr>
        <w:ind w:firstLine="967"/>
        <w:spacing w:after="0" w:line="256"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780" w:top="270" w:right="339" w:bottom="1440" w:gutter="0" w:footer="0" w:header="0"/>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72" w:lineRule="exact"/>
        <w:rPr>
          <w:sz w:val="20"/>
          <w:szCs w:val="20"/>
          <w:color w:val="auto"/>
        </w:rPr>
      </w:pPr>
    </w:p>
    <w:p>
      <w:pPr>
        <w:ind w:right="240" w:firstLine="967"/>
        <w:spacing w:after="0" w:line="258" w:lineRule="auto"/>
        <w:tabs>
          <w:tab w:leader="none" w:pos="1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5" w:lineRule="exact"/>
        <w:rPr>
          <w:rFonts w:ascii="Times New Roman" w:cs="Times New Roman" w:eastAsia="Times New Roman" w:hAnsi="Times New Roman"/>
          <w:sz w:val="18"/>
          <w:szCs w:val="18"/>
          <w:color w:val="auto"/>
        </w:rPr>
      </w:pPr>
    </w:p>
    <w:p>
      <w:pPr>
        <w:ind w:right="160" w:firstLine="967"/>
        <w:spacing w:after="0" w:line="261"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 of the Company</w:t>
      </w:r>
      <w:r>
        <w:rPr>
          <w:rFonts w:ascii="Times New Roman" w:cs="Times New Roman" w:eastAsia="Times New Roman" w:hAnsi="Times New Roman"/>
          <w:sz w:val="18"/>
          <w:szCs w:val="18"/>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1" w:lineRule="exact"/>
        <w:rPr>
          <w:rFonts w:ascii="Times New Roman" w:cs="Times New Roman" w:eastAsia="Times New Roman" w:hAnsi="Times New Roman"/>
          <w:sz w:val="18"/>
          <w:szCs w:val="18"/>
          <w:color w:val="auto"/>
        </w:rPr>
      </w:pPr>
    </w:p>
    <w:p>
      <w:pPr>
        <w:ind w:firstLine="967"/>
        <w:spacing w:after="0" w:line="269" w:lineRule="auto"/>
        <w:tabs>
          <w:tab w:leader="none" w:pos="13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70" w:lineRule="exact"/>
        <w:rPr>
          <w:rFonts w:ascii="Times New Roman" w:cs="Times New Roman" w:eastAsia="Times New Roman" w:hAnsi="Times New Roman"/>
          <w:sz w:val="17"/>
          <w:szCs w:val="17"/>
          <w:color w:val="auto"/>
        </w:rPr>
      </w:pPr>
    </w:p>
    <w:p>
      <w:pPr>
        <w:ind w:right="40" w:firstLine="967"/>
        <w:spacing w:after="0" w:line="261" w:lineRule="auto"/>
        <w:tabs>
          <w:tab w:leader="none" w:pos="13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780" w:top="270" w:right="339" w:bottom="1440" w:gutter="0" w:footer="0" w:header="0"/>
        </w:sectPr>
      </w:pPr>
    </w:p>
    <w:bookmarkStart w:id="9" w:name="page10"/>
    <w:bookmarkEnd w:id="9"/>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68" w:lineRule="exact"/>
        <w:rPr>
          <w:sz w:val="20"/>
          <w:szCs w:val="20"/>
          <w:color w:val="auto"/>
        </w:rPr>
      </w:pPr>
    </w:p>
    <w:p>
      <w:pPr>
        <w:ind w:right="20" w:firstLine="967"/>
        <w:spacing w:after="0" w:line="255"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80" w:lineRule="exact"/>
        <w:rPr>
          <w:rFonts w:ascii="Times New Roman" w:cs="Times New Roman" w:eastAsia="Times New Roman" w:hAnsi="Times New Roman"/>
          <w:sz w:val="18"/>
          <w:szCs w:val="18"/>
          <w:color w:val="auto"/>
        </w:rPr>
      </w:pPr>
    </w:p>
    <w:p>
      <w:pPr>
        <w:ind w:firstLine="967"/>
        <w:spacing w:after="0" w:line="252" w:lineRule="auto"/>
        <w:tabs>
          <w:tab w:leader="none" w:pos="1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of the Company; Portfolio Companies</w:t>
      </w:r>
      <w:r>
        <w:rPr>
          <w:rFonts w:ascii="Times New Roman" w:cs="Times New Roman" w:eastAsia="Times New Roman" w:hAnsi="Times New Roman"/>
          <w:sz w:val="18"/>
          <w:szCs w:val="18"/>
          <w:color w:val="auto"/>
        </w:rPr>
        <w:t xml:space="preserve">. The Company’s only subsidiaries that were consolidated with the Company for financial reporting purposes under GAAP as of March 31, 2024 are those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2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780" w:top="270" w:right="339" w:bottom="1440" w:gutter="0" w:footer="0" w:header="0"/>
        </w:sectPr>
      </w:pPr>
    </w:p>
    <w:bookmarkStart w:id="10" w:name="page11"/>
    <w:bookmarkEnd w:id="10"/>
    <w:p>
      <w:pPr>
        <w:ind w:right="100" w:firstLine="967"/>
        <w:spacing w:after="0" w:line="255" w:lineRule="auto"/>
        <w:tabs>
          <w:tab w:leader="none" w:pos="1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authorized shares of capital stock of the Company are as set forth in the Registration Statement and the Prospectus under the caption “Description of Our Capital Stock.” The total issued and outstanding shares of capital stock of the Company as of March 31, 2024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80"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967"/>
        <w:spacing w:after="0" w:line="255" w:lineRule="auto"/>
        <w:tabs>
          <w:tab w:leader="none" w:pos="13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80" w:lineRule="exact"/>
        <w:rPr>
          <w:rFonts w:ascii="Times New Roman" w:cs="Times New Roman" w:eastAsia="Times New Roman" w:hAnsi="Times New Roman"/>
          <w:sz w:val="18"/>
          <w:szCs w:val="18"/>
          <w:color w:val="auto"/>
        </w:rPr>
      </w:pPr>
    </w:p>
    <w:p>
      <w:pPr>
        <w:ind w:right="140" w:firstLine="967"/>
        <w:spacing w:after="0" w:line="312" w:lineRule="auto"/>
        <w:tabs>
          <w:tab w:leader="none" w:pos="136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31" w:lineRule="exact"/>
        <w:rPr>
          <w:rFonts w:ascii="Times New Roman" w:cs="Times New Roman" w:eastAsia="Times New Roman" w:hAnsi="Times New Roman"/>
          <w:sz w:val="17"/>
          <w:szCs w:val="17"/>
          <w:color w:val="auto"/>
        </w:rPr>
      </w:pPr>
    </w:p>
    <w:p>
      <w:pPr>
        <w:ind w:right="80" w:firstLine="967"/>
        <w:spacing w:after="0" w:line="254"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780" w:top="270" w:right="399" w:bottom="1440" w:gutter="0" w:footer="0" w:header="0"/>
        </w:sectPr>
      </w:pPr>
    </w:p>
    <w:bookmarkStart w:id="11" w:name="page12"/>
    <w:bookmarkEnd w:id="11"/>
    <w:p>
      <w:pPr>
        <w:ind w:firstLine="967"/>
        <w:spacing w:after="0" w:line="252" w:lineRule="auto"/>
        <w:tabs>
          <w:tab w:leader="none" w:pos="1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89" w:lineRule="exact"/>
        <w:rPr>
          <w:rFonts w:ascii="Times New Roman" w:cs="Times New Roman" w:eastAsia="Times New Roman" w:hAnsi="Times New Roman"/>
          <w:sz w:val="18"/>
          <w:szCs w:val="18"/>
          <w:color w:val="auto"/>
        </w:rPr>
      </w:pPr>
    </w:p>
    <w:p>
      <w:pPr>
        <w:ind w:left="1420" w:hanging="453"/>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Neither the Company nor any of the Subsidiaries has any employees.</w:t>
      </w:r>
    </w:p>
    <w:p>
      <w:pPr>
        <w:spacing w:after="0" w:line="117" w:lineRule="exact"/>
        <w:rPr>
          <w:rFonts w:ascii="Times New Roman" w:cs="Times New Roman" w:eastAsia="Times New Roman" w:hAnsi="Times New Roman"/>
          <w:sz w:val="18"/>
          <w:szCs w:val="18"/>
          <w:color w:val="auto"/>
        </w:rPr>
      </w:pPr>
    </w:p>
    <w:p>
      <w:pPr>
        <w:ind w:right="20" w:firstLine="967"/>
        <w:spacing w:after="0" w:line="256" w:lineRule="auto"/>
        <w:tabs>
          <w:tab w:leader="none" w:pos="14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w:t>
      </w:r>
    </w:p>
    <w:p>
      <w:pPr>
        <w:spacing w:after="0" w:line="79" w:lineRule="exact"/>
        <w:rPr>
          <w:rFonts w:ascii="Times New Roman" w:cs="Times New Roman" w:eastAsia="Times New Roman" w:hAnsi="Times New Roman"/>
          <w:sz w:val="18"/>
          <w:szCs w:val="18"/>
          <w:color w:val="auto"/>
        </w:rPr>
      </w:pPr>
    </w:p>
    <w:p>
      <w:pPr>
        <w:ind w:right="40" w:firstLine="967"/>
        <w:spacing w:after="0" w:line="282" w:lineRule="auto"/>
        <w:tabs>
          <w:tab w:leader="none" w:pos="13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53" w:lineRule="exact"/>
        <w:rPr>
          <w:rFonts w:ascii="Times New Roman" w:cs="Times New Roman" w:eastAsia="Times New Roman" w:hAnsi="Times New Roman"/>
          <w:sz w:val="18"/>
          <w:szCs w:val="18"/>
          <w:color w:val="auto"/>
        </w:rPr>
      </w:pPr>
    </w:p>
    <w:p>
      <w:pPr>
        <w:ind w:right="40" w:firstLine="967"/>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780" w:top="270" w:right="339" w:bottom="1440" w:gutter="0" w:footer="0" w:header="0"/>
        </w:sectPr>
      </w:pPr>
    </w:p>
    <w:bookmarkStart w:id="12" w:name="page13"/>
    <w:bookmarkEnd w:id="12"/>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79" w:lineRule="exact"/>
        <w:rPr>
          <w:sz w:val="20"/>
          <w:szCs w:val="20"/>
          <w:color w:val="auto"/>
        </w:rPr>
      </w:pPr>
    </w:p>
    <w:p>
      <w:pPr>
        <w:ind w:right="20" w:firstLine="967"/>
        <w:spacing w:after="0" w:line="271" w:lineRule="auto"/>
        <w:tabs>
          <w:tab w:leader="none" w:pos="136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65" w:lineRule="exact"/>
        <w:rPr>
          <w:rFonts w:ascii="Times New Roman" w:cs="Times New Roman" w:eastAsia="Times New Roman" w:hAnsi="Times New Roman"/>
          <w:sz w:val="17"/>
          <w:szCs w:val="17"/>
          <w:color w:val="auto"/>
        </w:rPr>
      </w:pPr>
    </w:p>
    <w:p>
      <w:pPr>
        <w:ind w:firstLine="967"/>
        <w:spacing w:after="0" w:line="256" w:lineRule="auto"/>
        <w:tabs>
          <w:tab w:leader="none" w:pos="14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9" w:lineRule="exact"/>
        <w:rPr>
          <w:rFonts w:ascii="Times New Roman" w:cs="Times New Roman" w:eastAsia="Times New Roman" w:hAnsi="Times New Roman"/>
          <w:sz w:val="18"/>
          <w:szCs w:val="18"/>
          <w:color w:val="auto"/>
        </w:rPr>
      </w:pPr>
    </w:p>
    <w:p>
      <w:pPr>
        <w:ind w:right="60" w:firstLine="967"/>
        <w:spacing w:after="0" w:line="256" w:lineRule="auto"/>
        <w:tabs>
          <w:tab w:leader="none" w:pos="14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780" w:top="270" w:right="359" w:bottom="1440" w:gutter="0" w:footer="0" w:header="0"/>
        </w:sectPr>
      </w:pPr>
    </w:p>
    <w:bookmarkStart w:id="13" w:name="page14"/>
    <w:bookmarkEnd w:id="13"/>
    <w:p>
      <w:pPr>
        <w:ind w:right="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50" w:lineRule="exact"/>
        <w:rPr>
          <w:sz w:val="20"/>
          <w:szCs w:val="20"/>
          <w:color w:val="auto"/>
        </w:rPr>
      </w:pPr>
    </w:p>
    <w:p>
      <w:pPr>
        <w:ind w:right="120" w:firstLine="967"/>
        <w:spacing w:after="0" w:line="253" w:lineRule="auto"/>
        <w:tabs>
          <w:tab w:leader="none" w:pos="1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81" w:lineRule="exact"/>
        <w:rPr>
          <w:rFonts w:ascii="Times New Roman" w:cs="Times New Roman" w:eastAsia="Times New Roman" w:hAnsi="Times New Roman"/>
          <w:sz w:val="18"/>
          <w:szCs w:val="18"/>
          <w:color w:val="auto"/>
        </w:rPr>
      </w:pPr>
    </w:p>
    <w:p>
      <w:pPr>
        <w:ind w:firstLine="967"/>
        <w:spacing w:after="0" w:line="253" w:lineRule="auto"/>
        <w:tabs>
          <w:tab w:leader="none" w:pos="14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2023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780" w:top="270" w:right="339" w:bottom="1440" w:gutter="0" w:footer="0" w:header="0"/>
        </w:sectPr>
      </w:pPr>
    </w:p>
    <w:bookmarkStart w:id="14" w:name="page15"/>
    <w:bookmarkEnd w:id="14"/>
    <w:p>
      <w:pPr>
        <w:ind w:right="20" w:firstLine="967"/>
        <w:spacing w:after="0" w:line="258"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firstLine="967"/>
        <w:spacing w:after="0" w:line="266" w:lineRule="auto"/>
        <w:tabs>
          <w:tab w:leader="none" w:pos="15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67" w:lineRule="exact"/>
        <w:rPr>
          <w:rFonts w:ascii="Times New Roman" w:cs="Times New Roman" w:eastAsia="Times New Roman" w:hAnsi="Times New Roman"/>
          <w:sz w:val="18"/>
          <w:szCs w:val="18"/>
          <w:color w:val="auto"/>
        </w:rPr>
      </w:pPr>
    </w:p>
    <w:p>
      <w:pPr>
        <w:jc w:val="both"/>
        <w:ind w:right="100" w:firstLine="967"/>
        <w:spacing w:after="0" w:line="266" w:lineRule="auto"/>
        <w:tabs>
          <w:tab w:leader="none" w:pos="15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67" w:lineRule="exact"/>
        <w:rPr>
          <w:rFonts w:ascii="Times New Roman" w:cs="Times New Roman" w:eastAsia="Times New Roman" w:hAnsi="Times New Roman"/>
          <w:sz w:val="18"/>
          <w:szCs w:val="18"/>
          <w:color w:val="auto"/>
        </w:rPr>
      </w:pPr>
    </w:p>
    <w:p>
      <w:pPr>
        <w:ind w:right="20" w:firstLine="967"/>
        <w:spacing w:after="0" w:line="271" w:lineRule="auto"/>
        <w:tabs>
          <w:tab w:leader="none" w:pos="14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65" w:lineRule="exact"/>
        <w:rPr>
          <w:rFonts w:ascii="Times New Roman" w:cs="Times New Roman" w:eastAsia="Times New Roman" w:hAnsi="Times New Roman"/>
          <w:sz w:val="17"/>
          <w:szCs w:val="17"/>
          <w:color w:val="auto"/>
        </w:rPr>
      </w:pPr>
    </w:p>
    <w:p>
      <w:pPr>
        <w:ind w:right="20" w:firstLine="967"/>
        <w:spacing w:after="0" w:line="274" w:lineRule="auto"/>
        <w:tabs>
          <w:tab w:leader="none" w:pos="140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2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780" w:top="270" w:right="339" w:bottom="1440" w:gutter="0" w:footer="0" w:header="0"/>
        </w:sectPr>
      </w:pPr>
    </w:p>
    <w:bookmarkStart w:id="15" w:name="page16"/>
    <w:bookmarkEnd w:id="15"/>
    <w:p>
      <w:pPr>
        <w:ind w:firstLine="967"/>
        <w:spacing w:after="0" w:line="254"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r>
        <w:rPr>
          <w:rFonts w:ascii="Times New Roman" w:cs="Times New Roman" w:eastAsia="Times New Roman" w:hAnsi="Times New Roman"/>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83" w:lineRule="exact"/>
        <w:rPr>
          <w:rFonts w:ascii="Times New Roman" w:cs="Times New Roman" w:eastAsia="Times New Roman" w:hAnsi="Times New Roman"/>
          <w:sz w:val="18"/>
          <w:szCs w:val="18"/>
          <w:color w:val="auto"/>
        </w:rPr>
      </w:pPr>
    </w:p>
    <w:p>
      <w:pPr>
        <w:ind w:right="20" w:firstLine="967"/>
        <w:spacing w:after="0" w:line="266" w:lineRule="auto"/>
        <w:tabs>
          <w:tab w:leader="none" w:pos="15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67" w:lineRule="exact"/>
        <w:rPr>
          <w:rFonts w:ascii="Times New Roman" w:cs="Times New Roman" w:eastAsia="Times New Roman" w:hAnsi="Times New Roman"/>
          <w:sz w:val="18"/>
          <w:szCs w:val="18"/>
          <w:color w:val="auto"/>
        </w:rPr>
      </w:pPr>
    </w:p>
    <w:p>
      <w:pPr>
        <w:ind w:right="400" w:firstLine="967"/>
        <w:spacing w:after="0" w:line="266" w:lineRule="auto"/>
        <w:tabs>
          <w:tab w:leader="none" w:pos="1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jc w:val="both"/>
        <w:ind w:right="40" w:firstLine="967"/>
        <w:spacing w:after="0" w:line="312" w:lineRule="auto"/>
        <w:tabs>
          <w:tab w:leader="none" w:pos="154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31" w:lineRule="exact"/>
        <w:rPr>
          <w:rFonts w:ascii="Times New Roman" w:cs="Times New Roman" w:eastAsia="Times New Roman" w:hAnsi="Times New Roman"/>
          <w:sz w:val="17"/>
          <w:szCs w:val="17"/>
          <w:color w:val="auto"/>
        </w:rPr>
      </w:pPr>
    </w:p>
    <w:p>
      <w:pPr>
        <w:ind w:right="40" w:firstLine="967"/>
        <w:spacing w:after="0" w:line="261" w:lineRule="auto"/>
        <w:tabs>
          <w:tab w:leader="none" w:pos="1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w:t>
      </w:r>
      <w:r>
        <w:rPr>
          <w:rFonts w:ascii="Times New Roman" w:cs="Times New Roman" w:eastAsia="Times New Roman" w:hAnsi="Times New Roman"/>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jc w:val="both"/>
        <w:ind w:right="20" w:firstLine="967"/>
        <w:spacing w:after="0" w:line="261" w:lineRule="auto"/>
        <w:tabs>
          <w:tab w:leader="none" w:pos="15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 and Administration Agreement</w:t>
      </w:r>
      <w:r>
        <w:rPr>
          <w:rFonts w:ascii="Times New Roman" w:cs="Times New Roman" w:eastAsia="Times New Roman" w:hAnsi="Times New Roman"/>
          <w:sz w:val="18"/>
          <w:szCs w:val="18"/>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780" w:top="270" w:right="399" w:bottom="1440" w:gutter="0" w:footer="0" w:header="0"/>
        </w:sectPr>
      </w:pPr>
    </w:p>
    <w:bookmarkStart w:id="16" w:name="page17"/>
    <w:bookmarkEnd w:id="1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1" w:lineRule="exact"/>
        <w:rPr>
          <w:sz w:val="20"/>
          <w:szCs w:val="20"/>
          <w:color w:val="auto"/>
        </w:rPr>
      </w:pPr>
    </w:p>
    <w:p>
      <w:pPr>
        <w:ind w:right="100" w:firstLine="967"/>
        <w:spacing w:after="0" w:line="261" w:lineRule="auto"/>
        <w:tabs>
          <w:tab w:leader="none" w:pos="15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Interested Persons</w:t>
      </w:r>
      <w:r>
        <w:rPr>
          <w:rFonts w:ascii="Times New Roman" w:cs="Times New Roman" w:eastAsia="Times New Roman" w:hAnsi="Times New Roman"/>
          <w:sz w:val="18"/>
          <w:szCs w:val="18"/>
          <w:color w:val="auto"/>
        </w:rPr>
        <w:t>.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w:t>
      </w:r>
    </w:p>
    <w:p>
      <w:pPr>
        <w:spacing w:after="0" w:line="71" w:lineRule="exact"/>
        <w:rPr>
          <w:rFonts w:ascii="Times New Roman" w:cs="Times New Roman" w:eastAsia="Times New Roman" w:hAnsi="Times New Roman"/>
          <w:sz w:val="18"/>
          <w:szCs w:val="18"/>
          <w:color w:val="auto"/>
        </w:rPr>
      </w:pPr>
    </w:p>
    <w:p>
      <w:pPr>
        <w:ind w:firstLine="967"/>
        <w:spacing w:after="0" w:line="256" w:lineRule="auto"/>
        <w:tabs>
          <w:tab w:leader="none" w:pos="16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Development Company</w:t>
      </w:r>
      <w:r>
        <w:rPr>
          <w:rFonts w:ascii="Times New Roman" w:cs="Times New Roman" w:eastAsia="Times New Roman" w:hAnsi="Times New Roman"/>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79" w:lineRule="exact"/>
        <w:rPr>
          <w:rFonts w:ascii="Times New Roman" w:cs="Times New Roman" w:eastAsia="Times New Roman" w:hAnsi="Times New Roman"/>
          <w:sz w:val="18"/>
          <w:szCs w:val="18"/>
          <w:color w:val="auto"/>
        </w:rPr>
      </w:pPr>
    </w:p>
    <w:p>
      <w:pPr>
        <w:ind w:right="160" w:firstLine="967"/>
        <w:spacing w:after="0" w:line="266" w:lineRule="auto"/>
        <w:tabs>
          <w:tab w:leader="none" w:pos="15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Extension of Credit</w:t>
      </w:r>
      <w:r>
        <w:rPr>
          <w:rFonts w:ascii="Times New Roman" w:cs="Times New Roman" w:eastAsia="Times New Roman" w:hAnsi="Times New Roman"/>
          <w:sz w:val="18"/>
          <w:szCs w:val="18"/>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68" w:lineRule="exact"/>
        <w:rPr>
          <w:sz w:val="20"/>
          <w:szCs w:val="20"/>
          <w:color w:val="auto"/>
        </w:rPr>
      </w:pPr>
    </w:p>
    <w:p>
      <w:pPr>
        <w:ind w:right="60" w:firstLine="970"/>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72" w:lineRule="exact"/>
        <w:rPr>
          <w:sz w:val="20"/>
          <w:szCs w:val="20"/>
          <w:color w:val="auto"/>
        </w:rPr>
      </w:pPr>
    </w:p>
    <w:p>
      <w:pPr>
        <w:ind w:right="60" w:firstLine="970"/>
        <w:spacing w:after="0" w:line="261"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2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780" w:top="270" w:right="339" w:bottom="1440" w:gutter="0" w:footer="0" w:header="0"/>
        </w:sectPr>
      </w:pPr>
    </w:p>
    <w:bookmarkStart w:id="17" w:name="page18"/>
    <w:bookmarkEnd w:id="17"/>
    <w:p>
      <w:pPr>
        <w:ind w:left="440" w:firstLine="97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(xlii)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w:t>
      </w:r>
    </w:p>
    <w:p>
      <w:pPr>
        <w:spacing w:after="0" w:line="67" w:lineRule="exact"/>
        <w:rPr>
          <w:sz w:val="20"/>
          <w:szCs w:val="20"/>
          <w:color w:val="auto"/>
        </w:rPr>
      </w:pPr>
    </w:p>
    <w:p>
      <w:pPr>
        <w:ind w:left="440" w:right="20" w:firstLine="970"/>
        <w:spacing w:after="0" w:line="252"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95" w:lineRule="exact"/>
        <w:rPr>
          <w:sz w:val="20"/>
          <w:szCs w:val="20"/>
          <w:color w:val="auto"/>
        </w:rPr>
      </w:pPr>
    </w:p>
    <w:p>
      <w:pPr>
        <w:ind w:left="-20" w:right="60" w:firstLine="1019"/>
        <w:spacing w:after="0" w:line="267" w:lineRule="auto"/>
        <w:tabs>
          <w:tab w:leader="none" w:pos="1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Adviser and the Administrator</w:t>
      </w:r>
      <w:r>
        <w:rPr>
          <w:rFonts w:ascii="Times New Roman" w:cs="Times New Roman" w:eastAsia="Times New Roman" w:hAnsi="Times New Roman"/>
          <w:sz w:val="18"/>
          <w:szCs w:val="18"/>
          <w:color w:val="auto"/>
        </w:rPr>
        <w:t>. The Adviser and the Administrator, jointly and severally,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Sales Agent as of the date hereof, the Applicable Time, each Representation Date (as defined below) and any Date of Delivery (as defined below), and agrees with the Sales Agent, as follows:</w:t>
      </w:r>
    </w:p>
    <w:p>
      <w:pPr>
        <w:spacing w:after="0" w:line="67" w:lineRule="exact"/>
        <w:rPr>
          <w:rFonts w:ascii="Times New Roman" w:cs="Times New Roman" w:eastAsia="Times New Roman" w:hAnsi="Times New Roman"/>
          <w:sz w:val="18"/>
          <w:szCs w:val="18"/>
          <w:color w:val="auto"/>
        </w:rPr>
      </w:pPr>
    </w:p>
    <w:p>
      <w:pPr>
        <w:ind w:left="440" w:right="220" w:firstLine="967"/>
        <w:spacing w:after="0" w:line="256" w:lineRule="auto"/>
        <w:tabs>
          <w:tab w:leader="none" w:pos="162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40" w:top="268" w:right="339" w:bottom="1440" w:gutter="0" w:footer="0" w:header="0"/>
        </w:sectPr>
      </w:pPr>
    </w:p>
    <w:bookmarkStart w:id="18" w:name="page19"/>
    <w:bookmarkEnd w:id="18"/>
    <w:p>
      <w:pPr>
        <w:ind w:firstLine="967"/>
        <w:spacing w:after="0" w:line="255" w:lineRule="auto"/>
        <w:tabs>
          <w:tab w:leader="none" w:pos="12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ind w:right="20" w:firstLine="967"/>
        <w:spacing w:after="0" w:line="281" w:lineRule="auto"/>
        <w:tabs>
          <w:tab w:leader="none" w:pos="12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Under Advisers Act</w:t>
      </w:r>
      <w:r>
        <w:rPr>
          <w:rFonts w:ascii="Times New Roman" w:cs="Times New Roman" w:eastAsia="Times New Roman" w:hAnsi="Times New Roman"/>
          <w:sz w:val="17"/>
          <w:szCs w:val="17"/>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56" w:lineRule="exact"/>
        <w:rPr>
          <w:rFonts w:ascii="Times New Roman" w:cs="Times New Roman" w:eastAsia="Times New Roman" w:hAnsi="Times New Roman"/>
          <w:sz w:val="17"/>
          <w:szCs w:val="17"/>
          <w:color w:val="auto"/>
        </w:rPr>
      </w:pPr>
    </w:p>
    <w:p>
      <w:pPr>
        <w:ind w:firstLine="967"/>
        <w:spacing w:after="0" w:line="254" w:lineRule="auto"/>
        <w:tabs>
          <w:tab w:leader="none" w:pos="1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w:t>
      </w:r>
    </w:p>
    <w:p>
      <w:pPr>
        <w:spacing w:after="0" w:line="83" w:lineRule="exact"/>
        <w:rPr>
          <w:rFonts w:ascii="Times New Roman" w:cs="Times New Roman" w:eastAsia="Times New Roman" w:hAnsi="Times New Roman"/>
          <w:sz w:val="18"/>
          <w:szCs w:val="18"/>
          <w:color w:val="auto"/>
        </w:rPr>
      </w:pPr>
    </w:p>
    <w:p>
      <w:pPr>
        <w:ind w:right="20" w:firstLine="967"/>
        <w:spacing w:after="0" w:line="254" w:lineRule="auto"/>
        <w:tabs>
          <w:tab w:leader="none" w:pos="12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780" w:top="270" w:right="339" w:bottom="1440" w:gutter="0" w:footer="0" w:header="0"/>
        </w:sectPr>
      </w:pPr>
    </w:p>
    <w:bookmarkStart w:id="19" w:name="page20"/>
    <w:bookmarkEnd w:id="19"/>
    <w:p>
      <w:pPr>
        <w:ind w:firstLine="967"/>
        <w:spacing w:after="0" w:line="252" w:lineRule="auto"/>
        <w:tabs>
          <w:tab w:leader="none" w:pos="1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87"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each of the Adviser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98" w:lineRule="exact"/>
        <w:rPr>
          <w:rFonts w:ascii="Times New Roman" w:cs="Times New Roman" w:eastAsia="Times New Roman" w:hAnsi="Times New Roman"/>
          <w:sz w:val="18"/>
          <w:szCs w:val="18"/>
          <w:color w:val="auto"/>
        </w:rPr>
      </w:pPr>
    </w:p>
    <w:p>
      <w:pPr>
        <w:ind w:firstLine="967"/>
        <w:spacing w:after="0" w:line="258" w:lineRule="auto"/>
        <w:tabs>
          <w:tab w:leader="none" w:pos="13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 and Administration Agreement</w:t>
      </w:r>
      <w:r>
        <w:rPr>
          <w:rFonts w:ascii="Times New Roman" w:cs="Times New Roman" w:eastAsia="Times New Roman" w:hAnsi="Times New Roman"/>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75" w:lineRule="exact"/>
        <w:rPr>
          <w:rFonts w:ascii="Times New Roman" w:cs="Times New Roman" w:eastAsia="Times New Roman" w:hAnsi="Times New Roman"/>
          <w:sz w:val="18"/>
          <w:szCs w:val="18"/>
          <w:color w:val="auto"/>
        </w:rPr>
      </w:pPr>
    </w:p>
    <w:p>
      <w:pPr>
        <w:jc w:val="both"/>
        <w:ind w:right="200" w:firstLine="967"/>
        <w:spacing w:after="0" w:line="261" w:lineRule="auto"/>
        <w:tabs>
          <w:tab w:leader="none" w:pos="12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780" w:top="270" w:right="359" w:bottom="1440" w:gutter="0" w:footer="0" w:header="0"/>
        </w:sectPr>
      </w:pPr>
    </w:p>
    <w:bookmarkStart w:id="20" w:name="page21"/>
    <w:bookmarkEnd w:id="20"/>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75" w:lineRule="exact"/>
        <w:rPr>
          <w:sz w:val="20"/>
          <w:szCs w:val="20"/>
          <w:color w:val="auto"/>
        </w:rPr>
      </w:pPr>
    </w:p>
    <w:p>
      <w:pPr>
        <w:ind w:right="140" w:firstLine="967"/>
        <w:spacing w:after="0" w:line="266" w:lineRule="auto"/>
        <w:tabs>
          <w:tab w:leader="none" w:pos="12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Adviser and Administrator</w:t>
      </w:r>
      <w:r>
        <w:rPr>
          <w:rFonts w:ascii="Times New Roman" w:cs="Times New Roman" w:eastAsia="Times New Roman" w:hAnsi="Times New Roman"/>
          <w:sz w:val="18"/>
          <w:szCs w:val="18"/>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jc w:val="both"/>
        <w:ind w:right="180" w:firstLine="967"/>
        <w:spacing w:after="0" w:line="272" w:lineRule="auto"/>
        <w:tabs>
          <w:tab w:leader="none" w:pos="127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80" w:lineRule="exact"/>
        <w:rPr>
          <w:rFonts w:ascii="Times New Roman" w:cs="Times New Roman" w:eastAsia="Times New Roman" w:hAnsi="Times New Roman"/>
          <w:sz w:val="17"/>
          <w:szCs w:val="17"/>
          <w:color w:val="auto"/>
        </w:rPr>
      </w:pPr>
    </w:p>
    <w:p>
      <w:pPr>
        <w:ind w:right="80" w:firstLine="967"/>
        <w:spacing w:after="0" w:line="289" w:lineRule="auto"/>
        <w:tabs>
          <w:tab w:leader="none" w:pos="132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Stabilization and Manipulation</w:t>
      </w:r>
      <w:r>
        <w:rPr>
          <w:rFonts w:ascii="Times New Roman" w:cs="Times New Roman" w:eastAsia="Times New Roman" w:hAnsi="Times New Roman"/>
          <w:sz w:val="17"/>
          <w:szCs w:val="17"/>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49" w:lineRule="exact"/>
        <w:rPr>
          <w:rFonts w:ascii="Times New Roman" w:cs="Times New Roman" w:eastAsia="Times New Roman" w:hAnsi="Times New Roman"/>
          <w:sz w:val="17"/>
          <w:szCs w:val="17"/>
          <w:color w:val="auto"/>
        </w:rPr>
      </w:pPr>
    </w:p>
    <w:p>
      <w:pPr>
        <w:ind w:firstLine="967"/>
        <w:spacing w:after="0" w:line="256" w:lineRule="auto"/>
        <w:tabs>
          <w:tab w:leader="none" w:pos="1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40"/>
          </w:cols>
          <w:pgMar w:left="780" w:top="270" w:right="379" w:bottom="1440" w:gutter="0" w:footer="0" w:header="0"/>
        </w:sectPr>
      </w:pPr>
    </w:p>
    <w:bookmarkStart w:id="21" w:name="page22"/>
    <w:bookmarkEnd w:id="2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72" w:lineRule="exact"/>
        <w:rPr>
          <w:sz w:val="20"/>
          <w:szCs w:val="20"/>
          <w:color w:val="auto"/>
        </w:rPr>
      </w:pPr>
    </w:p>
    <w:p>
      <w:pPr>
        <w:ind w:right="180" w:firstLine="967"/>
        <w:spacing w:after="0" w:line="277" w:lineRule="auto"/>
        <w:tabs>
          <w:tab w:leader="none" w:pos="136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59" w:lineRule="exact"/>
        <w:rPr>
          <w:rFonts w:ascii="Times New Roman" w:cs="Times New Roman" w:eastAsia="Times New Roman" w:hAnsi="Times New Roman"/>
          <w:sz w:val="17"/>
          <w:szCs w:val="17"/>
          <w:color w:val="auto"/>
        </w:rPr>
      </w:pPr>
    </w:p>
    <w:p>
      <w:pPr>
        <w:ind w:firstLine="967"/>
        <w:spacing w:after="0" w:line="255"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80" w:lineRule="exact"/>
        <w:rPr>
          <w:rFonts w:ascii="Times New Roman" w:cs="Times New Roman" w:eastAsia="Times New Roman" w:hAnsi="Times New Roman"/>
          <w:sz w:val="18"/>
          <w:szCs w:val="18"/>
          <w:color w:val="auto"/>
        </w:rPr>
      </w:pPr>
    </w:p>
    <w:p>
      <w:pPr>
        <w:ind w:right="200" w:firstLine="967"/>
        <w:spacing w:after="0" w:line="258" w:lineRule="auto"/>
        <w:tabs>
          <w:tab w:leader="none" w:pos="1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75" w:lineRule="exact"/>
        <w:rPr>
          <w:rFonts w:ascii="Times New Roman" w:cs="Times New Roman" w:eastAsia="Times New Roman" w:hAnsi="Times New Roman"/>
          <w:sz w:val="18"/>
          <w:szCs w:val="18"/>
          <w:color w:val="auto"/>
        </w:rPr>
      </w:pPr>
    </w:p>
    <w:p>
      <w:pPr>
        <w:ind w:right="100" w:firstLine="967"/>
        <w:spacing w:after="0" w:line="258" w:lineRule="auto"/>
        <w:tabs>
          <w:tab w:leader="none" w:pos="14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780" w:top="270" w:right="359" w:bottom="1440" w:gutter="0" w:footer="0" w:header="0"/>
        </w:sectPr>
      </w:pPr>
    </w:p>
    <w:bookmarkStart w:id="22" w:name="page23"/>
    <w:bookmarkEnd w:id="22"/>
    <w:p>
      <w:pPr>
        <w:ind w:left="420" w:firstLine="967"/>
        <w:spacing w:after="0" w:line="254" w:lineRule="auto"/>
        <w:tabs>
          <w:tab w:leader="none" w:pos="188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Controls</w:t>
      </w:r>
      <w:r>
        <w:rPr>
          <w:rFonts w:ascii="Times New Roman" w:cs="Times New Roman" w:eastAsia="Times New Roman" w:hAnsi="Times New Roman"/>
          <w:sz w:val="18"/>
          <w:szCs w:val="18"/>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83" w:lineRule="exact"/>
        <w:rPr>
          <w:rFonts w:ascii="Times New Roman" w:cs="Times New Roman" w:eastAsia="Times New Roman" w:hAnsi="Times New Roman"/>
          <w:sz w:val="18"/>
          <w:szCs w:val="18"/>
          <w:color w:val="auto"/>
        </w:rPr>
      </w:pPr>
    </w:p>
    <w:p>
      <w:pPr>
        <w:ind w:left="420" w:right="540" w:firstLine="967"/>
        <w:spacing w:after="0" w:line="266" w:lineRule="auto"/>
        <w:tabs>
          <w:tab w:leader="none" w:pos="178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73" w:lineRule="exact"/>
        <w:rPr>
          <w:rFonts w:ascii="Times New Roman" w:cs="Times New Roman" w:eastAsia="Times New Roman" w:hAnsi="Times New Roman"/>
          <w:sz w:val="18"/>
          <w:szCs w:val="18"/>
          <w:color w:val="auto"/>
        </w:rPr>
      </w:pPr>
    </w:p>
    <w:p>
      <w:pPr>
        <w:ind w:left="-40" w:right="320" w:firstLine="1019"/>
        <w:spacing w:after="0" w:line="267" w:lineRule="auto"/>
        <w:tabs>
          <w:tab w:leader="none" w:pos="12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any of the Subsidiaries, the Adviser or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the Sales Agent or to counsel for the Sales Agent shall be deemed a representation and warranty by the Company, the Adviser or the Administrator, as applicable, to the Sales Agent as to the matters covered thereby.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0" w:right="140" w:firstLine="1019"/>
        <w:spacing w:after="0" w:line="266" w:lineRule="auto"/>
        <w:tabs>
          <w:tab w:leader="none" w:pos="1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67" w:lineRule="exact"/>
        <w:rPr>
          <w:rFonts w:ascii="Times New Roman" w:cs="Times New Roman" w:eastAsia="Times New Roman" w:hAnsi="Times New Roman"/>
          <w:sz w:val="18"/>
          <w:szCs w:val="18"/>
          <w:color w:val="auto"/>
        </w:rPr>
      </w:pPr>
    </w:p>
    <w:p>
      <w:pPr>
        <w:ind w:left="420" w:right="20" w:firstLine="967"/>
        <w:spacing w:after="0" w:line="254" w:lineRule="auto"/>
        <w:tabs>
          <w:tab w:leader="none" w:pos="16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60" w:top="270" w:right="379" w:bottom="1440" w:gutter="0" w:footer="0" w:header="0"/>
        </w:sectPr>
      </w:pPr>
    </w:p>
    <w:bookmarkStart w:id="23" w:name="page24"/>
    <w:bookmarkEnd w:id="2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Authorized Representatives of the email notice from the Sales Agent, unless and until (i) the entire amount of the Securities covered by the Placement Notice have been sold, (ii) in accordance with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hereof, the Company or the Sales Agent suspends or terminates the Placement Notice, (iii) the Company issues a subsequent Placement Notice with parameters superseding those on the earlier dated Placement Notice, or (iv) this Agreement has been terminated under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79" w:lineRule="exact"/>
        <w:rPr>
          <w:sz w:val="20"/>
          <w:szCs w:val="20"/>
          <w:color w:val="auto"/>
        </w:rPr>
      </w:pPr>
    </w:p>
    <w:p>
      <w:pPr>
        <w:ind w:firstLine="967"/>
        <w:spacing w:after="0" w:line="256" w:lineRule="auto"/>
        <w:tabs>
          <w:tab w:leader="none" w:pos="12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79" w:lineRule="exact"/>
        <w:rPr>
          <w:rFonts w:ascii="Times New Roman" w:cs="Times New Roman" w:eastAsia="Times New Roman" w:hAnsi="Times New Roman"/>
          <w:sz w:val="18"/>
          <w:szCs w:val="18"/>
          <w:color w:val="auto"/>
        </w:rPr>
      </w:pPr>
    </w:p>
    <w:p>
      <w:pPr>
        <w:ind w:right="120" w:firstLine="967"/>
        <w:spacing w:after="0" w:line="266" w:lineRule="auto"/>
        <w:tabs>
          <w:tab w:leader="none" w:pos="12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hereby covenants and agrees not to make any sales of the Securities on behalf of the Company,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other than (A) by means of At the Market Offerings and (B) such other sales of the Securities on behalf of the Company in its capacity as agent of the Company as shall be agreed by the Company and the Sales Agent.</w:t>
      </w:r>
    </w:p>
    <w:p>
      <w:pPr>
        <w:spacing w:after="0" w:line="67" w:lineRule="exact"/>
        <w:rPr>
          <w:rFonts w:ascii="Times New Roman" w:cs="Times New Roman" w:eastAsia="Times New Roman" w:hAnsi="Times New Roman"/>
          <w:sz w:val="18"/>
          <w:szCs w:val="18"/>
          <w:color w:val="auto"/>
        </w:rPr>
      </w:pPr>
    </w:p>
    <w:p>
      <w:pPr>
        <w:ind w:firstLine="967"/>
        <w:spacing w:after="0" w:line="258" w:lineRule="auto"/>
        <w:tabs>
          <w:tab w:leader="none" w:pos="1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foregoing rate of compensation shall not apply when the Sales Agent acts as principal, in</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60"/>
          </w:cols>
          <w:pgMar w:left="780" w:top="270" w:right="359" w:bottom="1440" w:gutter="0" w:footer="0" w:header="0"/>
        </w:sectPr>
      </w:pPr>
    </w:p>
    <w:bookmarkStart w:id="24" w:name="page25"/>
    <w:bookmarkEnd w:id="24"/>
    <w:p>
      <w:pPr>
        <w:ind w:left="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75" w:lineRule="exact"/>
        <w:rPr>
          <w:sz w:val="20"/>
          <w:szCs w:val="20"/>
          <w:color w:val="auto"/>
        </w:rPr>
      </w:pPr>
    </w:p>
    <w:p>
      <w:pPr>
        <w:ind w:left="3" w:firstLine="967"/>
        <w:spacing w:after="0" w:line="261" w:lineRule="auto"/>
        <w:tabs>
          <w:tab w:leader="none" w:pos="12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shall provide written confirmation to the Company as soon as practicable following the close of trading on the New York Stock Exchange each day on which the Securities are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setting forth the aggregate amount of the Securities sold on such day, the aggregate Net Proceeds to the Company, and the aggregate compensation payable by the Company to the Sales Agent with respect to such sales.</w:t>
      </w:r>
    </w:p>
    <w:p>
      <w:pPr>
        <w:spacing w:after="0" w:line="71" w:lineRule="exact"/>
        <w:rPr>
          <w:rFonts w:ascii="Times New Roman" w:cs="Times New Roman" w:eastAsia="Times New Roman" w:hAnsi="Times New Roman"/>
          <w:sz w:val="18"/>
          <w:szCs w:val="18"/>
          <w:color w:val="auto"/>
        </w:rPr>
      </w:pPr>
    </w:p>
    <w:p>
      <w:pPr>
        <w:ind w:left="3" w:right="20" w:firstLine="967"/>
        <w:spacing w:after="0" w:line="252" w:lineRule="auto"/>
        <w:tabs>
          <w:tab w:leader="none" w:pos="127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for sales of the Securities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will occur on the first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w:t>
      </w:r>
    </w:p>
    <w:p>
      <w:pPr>
        <w:spacing w:after="0" w:line="3"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and hold the Sales Agent harmless against any loss, claim or damage arising from or as a result of such default by the Company and</w:t>
      </w:r>
    </w:p>
    <w:p>
      <w:pPr>
        <w:spacing w:after="0" w:line="9" w:lineRule="exact"/>
        <w:rPr>
          <w:rFonts w:ascii="Times New Roman" w:cs="Times New Roman" w:eastAsia="Times New Roman" w:hAnsi="Times New Roman"/>
          <w:sz w:val="18"/>
          <w:szCs w:val="18"/>
          <w:color w:val="auto"/>
        </w:rPr>
      </w:pPr>
    </w:p>
    <w:p>
      <w:pPr>
        <w:ind w:left="3" w:hanging="3"/>
        <w:spacing w:after="0" w:line="255" w:lineRule="auto"/>
        <w:tabs>
          <w:tab w:leader="none" w:pos="2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3" w:firstLine="967"/>
        <w:spacing w:after="0" w:line="261" w:lineRule="auto"/>
        <w:tabs>
          <w:tab w:leader="none" w:pos="13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w:t>
      </w:r>
    </w:p>
    <w:p>
      <w:pPr>
        <w:spacing w:after="0" w:line="112"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3"/>
          </w:cols>
          <w:pgMar w:left="777" w:top="270" w:right="339" w:bottom="1440" w:gutter="0" w:footer="0" w:header="0"/>
        </w:sectPr>
      </w:pPr>
    </w:p>
    <w:bookmarkStart w:id="25" w:name="page26"/>
    <w:bookmarkEnd w:id="25"/>
    <w:p>
      <w:pPr>
        <w:ind w:right="40" w:firstLine="1019"/>
        <w:spacing w:after="0" w:line="255" w:lineRule="auto"/>
        <w:tabs>
          <w:tab w:leader="none" w:pos="12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Company wishes to sell the Securities other than as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w:t>
      </w:r>
    </w:p>
    <w:p>
      <w:pPr>
        <w:spacing w:after="0" w:line="188"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engages the Sales Agent for a sale of Securities that would constitute the sale of a “block” under</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1" w:lineRule="exact"/>
        <w:rPr>
          <w:sz w:val="20"/>
          <w:szCs w:val="20"/>
          <w:color w:val="auto"/>
        </w:rPr>
      </w:pPr>
    </w:p>
    <w:p>
      <w:pPr>
        <w:ind w:firstLine="1019"/>
        <w:spacing w:after="0" w:line="266" w:lineRule="auto"/>
        <w:tabs>
          <w:tab w:leader="none" w:pos="12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75" w:lineRule="exact"/>
        <w:rPr>
          <w:rFonts w:ascii="Times New Roman" w:cs="Times New Roman" w:eastAsia="Times New Roman" w:hAnsi="Times New Roman"/>
          <w:sz w:val="18"/>
          <w:szCs w:val="18"/>
          <w:color w:val="auto"/>
        </w:rPr>
      </w:pPr>
    </w:p>
    <w:p>
      <w:pPr>
        <w:ind w:right="220" w:firstLine="1019"/>
        <w:spacing w:after="0" w:line="258" w:lineRule="auto"/>
        <w:tabs>
          <w:tab w:leader="none" w:pos="1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83" w:lineRule="exact"/>
        <w:rPr>
          <w:rFonts w:ascii="Times New Roman" w:cs="Times New Roman" w:eastAsia="Times New Roman" w:hAnsi="Times New Roman"/>
          <w:sz w:val="18"/>
          <w:szCs w:val="18"/>
          <w:color w:val="auto"/>
        </w:rPr>
      </w:pPr>
    </w:p>
    <w:p>
      <w:pPr>
        <w:ind w:right="20" w:firstLine="1019"/>
        <w:spacing w:after="0" w:line="254"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any other information or documents required by the Sales Agent.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270" w:right="359" w:bottom="1440" w:gutter="0" w:footer="0" w:header="0"/>
        </w:sectPr>
      </w:pPr>
    </w:p>
    <w:bookmarkStart w:id="26" w:name="page27"/>
    <w:bookmarkEnd w:id="26"/>
    <w:p>
      <w:pPr>
        <w:ind w:left="-20" w:right="240" w:firstLine="1019"/>
        <w:spacing w:after="0" w:line="261"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w:t>
      </w:r>
    </w:p>
    <w:p>
      <w:pPr>
        <w:spacing w:after="0" w:line="179" w:lineRule="exact"/>
        <w:rPr>
          <w:rFonts w:ascii="Times New Roman" w:cs="Times New Roman" w:eastAsia="Times New Roman" w:hAnsi="Times New Roman"/>
          <w:sz w:val="18"/>
          <w:szCs w:val="18"/>
          <w:color w:val="auto"/>
        </w:rPr>
      </w:pPr>
    </w:p>
    <w:p>
      <w:pPr>
        <w:ind w:left="-20" w:firstLine="1019"/>
        <w:spacing w:after="0" w:line="254"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rFonts w:ascii="Times New Roman" w:cs="Times New Roman" w:eastAsia="Times New Roman" w:hAnsi="Times New Roman"/>
          <w:sz w:val="18"/>
          <w:szCs w:val="18"/>
          <w:color w:val="auto"/>
        </w:rPr>
      </w:pPr>
    </w:p>
    <w:p>
      <w:pPr>
        <w:ind w:left="-20" w:right="20" w:firstLine="1019"/>
        <w:spacing w:after="0" w:line="255"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Sales Agent as follows:</w:t>
      </w:r>
    </w:p>
    <w:p>
      <w:pPr>
        <w:spacing w:after="0" w:line="115" w:lineRule="exact"/>
        <w:rPr>
          <w:sz w:val="20"/>
          <w:szCs w:val="20"/>
          <w:color w:val="auto"/>
        </w:rPr>
      </w:pPr>
    </w:p>
    <w:p>
      <w:pPr>
        <w:ind w:left="-20" w:right="20" w:firstLine="1019"/>
        <w:spacing w:after="0" w:line="254"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270" w:right="33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81" w:lineRule="exact"/>
        <w:rPr>
          <w:sz w:val="20"/>
          <w:szCs w:val="20"/>
          <w:color w:val="auto"/>
        </w:rPr>
      </w:pPr>
    </w:p>
    <w:p>
      <w:pPr>
        <w:ind w:firstLine="1019"/>
        <w:spacing w:after="0" w:line="256" w:lineRule="auto"/>
        <w:tabs>
          <w:tab w:leader="none" w:pos="1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w:t>
      </w:r>
      <w:r>
        <w:rPr>
          <w:rFonts w:ascii="Times New Roman" w:cs="Times New Roman" w:eastAsia="Times New Roman" w:hAnsi="Times New Roman"/>
          <w:sz w:val="18"/>
          <w:szCs w:val="18"/>
          <w:color w:val="auto"/>
        </w:rPr>
        <w:t>. The Company will give the Sales Agent notice of its intention to file or prepare any amendment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82" w:lineRule="exact"/>
        <w:rPr>
          <w:rFonts w:ascii="Times New Roman" w:cs="Times New Roman" w:eastAsia="Times New Roman" w:hAnsi="Times New Roman"/>
          <w:sz w:val="18"/>
          <w:szCs w:val="18"/>
          <w:color w:val="auto"/>
        </w:rPr>
      </w:pPr>
    </w:p>
    <w:p>
      <w:pPr>
        <w:ind w:firstLine="1019"/>
        <w:spacing w:after="0" w:line="252" w:lineRule="auto"/>
        <w:tabs>
          <w:tab w:leader="none" w:pos="1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use its commercially reasonable efforts to comply with the 1933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270" w:right="359" w:bottom="1440" w:gutter="0" w:footer="0" w:header="0"/>
        </w:sectPr>
      </w:pPr>
    </w:p>
    <w:bookmarkStart w:id="28" w:name="page29"/>
    <w:bookmarkEnd w:id="28"/>
    <w:p>
      <w:pPr>
        <w:ind w:left="-20" w:right="60" w:firstLine="1019"/>
        <w:spacing w:after="0" w:line="257" w:lineRule="auto"/>
        <w:tabs>
          <w:tab w:leader="none" w:pos="1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Commission Filings</w:t>
      </w:r>
      <w:r>
        <w:rPr>
          <w:rFonts w:ascii="Times New Roman" w:cs="Times New Roman" w:eastAsia="Times New Roman" w:hAnsi="Times New Roman"/>
          <w:sz w:val="18"/>
          <w:szCs w:val="18"/>
          <w:color w:val="auto"/>
        </w:rPr>
        <w:t>. The Company has furnished or, upon written request of the Sales Agent, shall deliver to the Sales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left="-20" w:right="160" w:firstLine="1019"/>
        <w:spacing w:after="0" w:line="261" w:lineRule="auto"/>
        <w:tabs>
          <w:tab w:leader="none" w:pos="12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will furnish to the Sales Agent, without charge, during the period when a prospectus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79" w:lineRule="exact"/>
        <w:rPr>
          <w:rFonts w:ascii="Times New Roman" w:cs="Times New Roman" w:eastAsia="Times New Roman" w:hAnsi="Times New Roman"/>
          <w:sz w:val="18"/>
          <w:szCs w:val="18"/>
          <w:color w:val="auto"/>
        </w:rPr>
      </w:pPr>
    </w:p>
    <w:p>
      <w:pPr>
        <w:ind w:left="-20" w:right="60" w:firstLine="1019"/>
        <w:spacing w:after="0" w:line="257" w:lineRule="auto"/>
        <w:tabs>
          <w:tab w:leader="none" w:pos="1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commercially reasonable efforts, in cooperation with the Sales Agent,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2" w:lineRule="exact"/>
        <w:rPr>
          <w:rFonts w:ascii="Times New Roman" w:cs="Times New Roman" w:eastAsia="Times New Roman" w:hAnsi="Times New Roman"/>
          <w:sz w:val="18"/>
          <w:szCs w:val="18"/>
          <w:color w:val="auto"/>
        </w:rPr>
      </w:pPr>
    </w:p>
    <w:p>
      <w:pPr>
        <w:ind w:left="-20" w:firstLine="1019"/>
        <w:spacing w:after="0" w:line="261" w:lineRule="auto"/>
        <w:tabs>
          <w:tab w:leader="none" w:pos="1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make generally available to its securityholders as soon as practicable an earnings statement that satisfies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79" w:lineRule="exact"/>
        <w:rPr>
          <w:rFonts w:ascii="Times New Roman" w:cs="Times New Roman" w:eastAsia="Times New Roman" w:hAnsi="Times New Roman"/>
          <w:sz w:val="18"/>
          <w:szCs w:val="18"/>
          <w:color w:val="auto"/>
        </w:rPr>
      </w:pPr>
    </w:p>
    <w:p>
      <w:pPr>
        <w:ind w:left="-20" w:right="520" w:firstLine="1019"/>
        <w:spacing w:after="0" w:line="284" w:lineRule="auto"/>
        <w:tabs>
          <w:tab w:leader="none" w:pos="1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commercially reasonable best efforts to maintain the listing of the Common Stock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on the New York Stock Exchange.</w:t>
      </w:r>
    </w:p>
    <w:p>
      <w:pPr>
        <w:spacing w:after="0" w:line="158" w:lineRule="exact"/>
        <w:rPr>
          <w:rFonts w:ascii="Times New Roman" w:cs="Times New Roman" w:eastAsia="Times New Roman" w:hAnsi="Times New Roman"/>
          <w:sz w:val="18"/>
          <w:szCs w:val="18"/>
          <w:color w:val="auto"/>
        </w:rPr>
      </w:pPr>
    </w:p>
    <w:p>
      <w:pPr>
        <w:ind w:left="-20" w:right="60" w:firstLine="1019"/>
        <w:spacing w:after="0" w:line="284" w:lineRule="auto"/>
        <w:tabs>
          <w:tab w:leader="none" w:pos="12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cooperate with the Sales Agent and use its commercially reasonable efforts to permit the offered Securities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clearance and settlement through the facilities of DTC.</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40" w:top="268" w:right="359" w:bottom="1440" w:gutter="0" w:footer="0" w:header="0"/>
        </w:sectPr>
      </w:pPr>
    </w:p>
    <w:bookmarkStart w:id="29" w:name="page30"/>
    <w:bookmarkEnd w:id="29"/>
    <w:p>
      <w:pPr>
        <w:ind w:left="-20" w:right="60" w:firstLine="1019"/>
        <w:spacing w:after="0" w:line="256" w:lineRule="auto"/>
        <w:tabs>
          <w:tab w:leader="none" w:pos="12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 OFAC</w:t>
      </w:r>
      <w:r>
        <w:rPr>
          <w:rFonts w:ascii="Times New Roman" w:cs="Times New Roman" w:eastAsia="Times New Roman" w:hAnsi="Times New Roman"/>
          <w:sz w:val="18"/>
          <w:szCs w:val="18"/>
          <w:color w:val="auto"/>
        </w:rPr>
        <w:t>. The Company will use the net proceeds received by it from the sale of the Securities in the manner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82" w:lineRule="exact"/>
        <w:rPr>
          <w:rFonts w:ascii="Times New Roman" w:cs="Times New Roman" w:eastAsia="Times New Roman" w:hAnsi="Times New Roman"/>
          <w:sz w:val="18"/>
          <w:szCs w:val="18"/>
          <w:color w:val="auto"/>
        </w:rPr>
      </w:pPr>
    </w:p>
    <w:p>
      <w:pPr>
        <w:jc w:val="both"/>
        <w:ind w:left="-20" w:right="200" w:firstLine="1019"/>
        <w:spacing w:after="0" w:line="267" w:lineRule="auto"/>
        <w:tabs>
          <w:tab w:leader="none" w:pos="1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required to be delivered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left="-20" w:right="60" w:firstLine="1019"/>
        <w:spacing w:after="0" w:line="267" w:lineRule="auto"/>
        <w:tabs>
          <w:tab w:leader="none" w:pos="12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 Status</w:t>
      </w:r>
      <w:r>
        <w:rPr>
          <w:rFonts w:ascii="Times New Roman" w:cs="Times New Roman" w:eastAsia="Times New Roman" w:hAnsi="Times New Roman"/>
          <w:sz w:val="18"/>
          <w:szCs w:val="18"/>
          <w:color w:val="auto"/>
        </w:rPr>
        <w:t>. The Company will use its commercially reasonable efforts to maintain its status as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73" w:lineRule="exact"/>
        <w:rPr>
          <w:rFonts w:ascii="Times New Roman" w:cs="Times New Roman" w:eastAsia="Times New Roman" w:hAnsi="Times New Roman"/>
          <w:sz w:val="18"/>
          <w:szCs w:val="18"/>
          <w:color w:val="auto"/>
        </w:rPr>
      </w:pPr>
    </w:p>
    <w:p>
      <w:pPr>
        <w:ind w:left="-20" w:firstLine="1019"/>
        <w:spacing w:after="0" w:line="267"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 Status</w:t>
      </w:r>
      <w:r>
        <w:rPr>
          <w:rFonts w:ascii="Times New Roman" w:cs="Times New Roman" w:eastAsia="Times New Roman" w:hAnsi="Times New Roman"/>
          <w:sz w:val="18"/>
          <w:szCs w:val="18"/>
          <w:color w:val="auto"/>
        </w:rPr>
        <w:t>. The Company will use its commercially reasonable efforts to maintain its qualification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investment company under Subchapter M of the Code for each full fiscal year during which it is a business development company under the 1940 Act.</w:t>
      </w:r>
    </w:p>
    <w:p>
      <w:pPr>
        <w:spacing w:after="0" w:line="173" w:lineRule="exact"/>
        <w:rPr>
          <w:rFonts w:ascii="Times New Roman" w:cs="Times New Roman" w:eastAsia="Times New Roman" w:hAnsi="Times New Roman"/>
          <w:sz w:val="18"/>
          <w:szCs w:val="18"/>
          <w:color w:val="auto"/>
        </w:rPr>
      </w:pPr>
    </w:p>
    <w:p>
      <w:pPr>
        <w:jc w:val="both"/>
        <w:ind w:left="-20" w:right="140" w:firstLine="1019"/>
        <w:spacing w:after="0" w:line="261" w:lineRule="auto"/>
        <w:tabs>
          <w:tab w:leader="none" w:pos="1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to (i) test procedures and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79" w:lineRule="exact"/>
        <w:rPr>
          <w:rFonts w:ascii="Times New Roman" w:cs="Times New Roman" w:eastAsia="Times New Roman" w:hAnsi="Times New Roman"/>
          <w:sz w:val="18"/>
          <w:szCs w:val="18"/>
          <w:color w:val="auto"/>
        </w:rPr>
      </w:pPr>
    </w:p>
    <w:p>
      <w:pPr>
        <w:ind w:left="-20" w:right="60" w:firstLine="1019"/>
        <w:spacing w:after="0" w:line="254" w:lineRule="auto"/>
        <w:tabs>
          <w:tab w:leader="none" w:pos="1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The Company will use commercially reasonable efforts to establish and maintain a system of internal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40" w:top="268" w:right="359" w:bottom="1440" w:gutter="0" w:footer="0" w:header="0"/>
        </w:sectPr>
      </w:pPr>
    </w:p>
    <w:bookmarkStart w:id="30" w:name="page31"/>
    <w:bookmarkEnd w:id="30"/>
    <w:p>
      <w:pPr>
        <w:ind w:right="80" w:firstLine="1019"/>
        <w:spacing w:after="0" w:line="258" w:lineRule="auto"/>
        <w:tabs>
          <w:tab w:leader="none" w:pos="1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Controls</w:t>
      </w:r>
      <w:r>
        <w:rPr>
          <w:rFonts w:ascii="Times New Roman" w:cs="Times New Roman" w:eastAsia="Times New Roman" w:hAnsi="Times New Roman"/>
          <w:sz w:val="18"/>
          <w:szCs w:val="18"/>
          <w:color w:val="auto"/>
        </w:rPr>
        <w:t>. The Company will use commercially reasonable efforts to establish and employ disclosure controls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3" w:lineRule="exact"/>
        <w:rPr>
          <w:rFonts w:ascii="Times New Roman" w:cs="Times New Roman" w:eastAsia="Times New Roman" w:hAnsi="Times New Roman"/>
          <w:sz w:val="18"/>
          <w:szCs w:val="18"/>
          <w:color w:val="auto"/>
        </w:rPr>
      </w:pPr>
    </w:p>
    <w:p>
      <w:pPr>
        <w:ind w:right="20" w:firstLine="1019"/>
        <w:spacing w:after="0" w:line="257" w:lineRule="auto"/>
        <w:tabs>
          <w:tab w:leader="none" w:pos="1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Sales Agent (i)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2" w:lineRule="exact"/>
        <w:rPr>
          <w:rFonts w:ascii="Times New Roman" w:cs="Times New Roman" w:eastAsia="Times New Roman" w:hAnsi="Times New Roman"/>
          <w:sz w:val="18"/>
          <w:szCs w:val="18"/>
          <w:color w:val="auto"/>
        </w:rPr>
      </w:pPr>
    </w:p>
    <w:p>
      <w:pPr>
        <w:ind w:firstLine="1019"/>
        <w:spacing w:after="0" w:line="256" w:lineRule="auto"/>
        <w:tabs>
          <w:tab w:leader="none" w:pos="12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Diligence Matters. </w:t>
      </w:r>
      <w:r>
        <w:rPr>
          <w:rFonts w:ascii="Times New Roman" w:cs="Times New Roman" w:eastAsia="Times New Roman" w:hAnsi="Times New Roman"/>
          <w:sz w:val="18"/>
          <w:szCs w:val="18"/>
          <w:color w:val="auto"/>
        </w:rPr>
        <w:t>The Company will cooperate with any reasonable due diligence review conducted by the Sales Agent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82" w:lineRule="exact"/>
        <w:rPr>
          <w:rFonts w:ascii="Times New Roman" w:cs="Times New Roman" w:eastAsia="Times New Roman" w:hAnsi="Times New Roman"/>
          <w:sz w:val="18"/>
          <w:szCs w:val="18"/>
          <w:color w:val="auto"/>
        </w:rPr>
      </w:pPr>
    </w:p>
    <w:p>
      <w:pPr>
        <w:ind w:right="140" w:firstLine="1019"/>
        <w:spacing w:after="0" w:line="284"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result in any stabilization or manipulation of the price of the Securities.</w:t>
      </w:r>
    </w:p>
    <w:p>
      <w:pPr>
        <w:spacing w:after="0" w:line="160" w:lineRule="exact"/>
        <w:rPr>
          <w:rFonts w:ascii="Times New Roman" w:cs="Times New Roman" w:eastAsia="Times New Roman" w:hAnsi="Times New Roman"/>
          <w:sz w:val="18"/>
          <w:szCs w:val="18"/>
          <w:color w:val="auto"/>
        </w:rPr>
      </w:pPr>
    </w:p>
    <w:p>
      <w:pPr>
        <w:ind w:right="160" w:firstLine="1019"/>
        <w:spacing w:after="0" w:line="261" w:lineRule="auto"/>
        <w:tabs>
          <w:tab w:leader="none" w:pos="12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20" w:top="268" w:right="399" w:bottom="1440" w:gutter="0" w:footer="0" w:header="0"/>
        </w:sectPr>
      </w:pPr>
    </w:p>
    <w:bookmarkStart w:id="31" w:name="page32"/>
    <w:bookmarkEnd w:id="3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$50,000 in connection with the entry into this Agreement and the Sales Agreement and up to $10,000 per fiscal quarter during the term of this Agreement and the Sales Agreement, which amount shall include legal fees and expenses relating to the review by FINRA of the terms of the sale of the Securities, if applicable, and (x) the filing fees incident to the review by FINRA of the terms of the sale of the Securities, if any.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87"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the Sales Agent’s Obligations</w:t>
      </w:r>
      <w:r>
        <w:rPr>
          <w:rFonts w:ascii="Times New Roman" w:cs="Times New Roman" w:eastAsia="Times New Roman" w:hAnsi="Times New Roman"/>
          <w:sz w:val="18"/>
          <w:szCs w:val="18"/>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70" w:lineRule="exact"/>
        <w:rPr>
          <w:sz w:val="20"/>
          <w:szCs w:val="20"/>
          <w:color w:val="auto"/>
        </w:rPr>
      </w:pPr>
    </w:p>
    <w:p>
      <w:pPr>
        <w:ind w:firstLine="1019"/>
        <w:spacing w:after="0" w:line="258" w:lineRule="auto"/>
        <w:tabs>
          <w:tab w:leader="none" w:pos="1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No stop order suspending the effectiveness of the Registration Statement or any post-effective amendment thereto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75" w:lineRule="exact"/>
        <w:rPr>
          <w:rFonts w:ascii="Times New Roman" w:cs="Times New Roman" w:eastAsia="Times New Roman" w:hAnsi="Times New Roman"/>
          <w:sz w:val="18"/>
          <w:szCs w:val="18"/>
          <w:color w:val="auto"/>
        </w:rPr>
      </w:pPr>
    </w:p>
    <w:p>
      <w:pPr>
        <w:ind w:right="120" w:firstLine="1019"/>
        <w:spacing w:after="0" w:line="257" w:lineRule="auto"/>
        <w:tabs>
          <w:tab w:leader="none" w:pos="1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the Company, the Adviser and the Administrator</w:t>
      </w:r>
      <w:r>
        <w:rPr>
          <w:rFonts w:ascii="Times New Roman" w:cs="Times New Roman" w:eastAsia="Times New Roman" w:hAnsi="Times New Roman"/>
          <w:sz w:val="18"/>
          <w:szCs w:val="18"/>
          <w:color w:val="auto"/>
        </w:rPr>
        <w:t>. Within five business days after (i) each date 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270" w:right="379" w:bottom="1440" w:gutter="0" w:footer="0" w:header="0"/>
        </w:sectPr>
      </w:pPr>
    </w:p>
    <w:bookmarkStart w:id="32" w:name="page33"/>
    <w:bookmarkEnd w:id="3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66" w:lineRule="exact"/>
        <w:rPr>
          <w:sz w:val="20"/>
          <w:szCs w:val="20"/>
          <w:color w:val="auto"/>
        </w:rPr>
      </w:pPr>
    </w:p>
    <w:p>
      <w:pPr>
        <w:ind w:right="60" w:firstLine="1019"/>
        <w:spacing w:after="0" w:line="261" w:lineRule="auto"/>
        <w:tabs>
          <w:tab w:leader="none" w:pos="1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Sales Agent</w:t>
      </w:r>
      <w:r>
        <w:rPr>
          <w:rFonts w:ascii="Times New Roman" w:cs="Times New Roman" w:eastAsia="Times New Roman" w:hAnsi="Times New Roman"/>
          <w:sz w:val="18"/>
          <w:szCs w:val="18"/>
          <w:color w:val="auto"/>
        </w:rPr>
        <w:t>. Within five business days after each Representation Date, the Sales Agent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71"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60" w:right="40" w:firstLine="967"/>
        <w:spacing w:after="0" w:line="270" w:lineRule="auto"/>
        <w:tabs>
          <w:tab w:leader="none" w:pos="164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68" w:lineRule="exact"/>
        <w:rPr>
          <w:rFonts w:ascii="Times New Roman" w:cs="Times New Roman" w:eastAsia="Times New Roman" w:hAnsi="Times New Roman"/>
          <w:sz w:val="17"/>
          <w:szCs w:val="17"/>
          <w:color w:val="auto"/>
        </w:rPr>
      </w:pPr>
    </w:p>
    <w:p>
      <w:pPr>
        <w:ind w:left="460" w:firstLine="967"/>
        <w:spacing w:after="0" w:line="255" w:lineRule="auto"/>
        <w:tabs>
          <w:tab w:leader="none" w:pos="16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 (B) the representations and warranties of the Adviser or the Administrator, as applicable,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270" w:right="339" w:bottom="1440" w:gutter="0" w:footer="0" w:header="0"/>
        </w:sectPr>
      </w:pPr>
    </w:p>
    <w:bookmarkStart w:id="33" w:name="page34"/>
    <w:bookmarkEnd w:id="33"/>
    <w:p>
      <w:pPr>
        <w:ind w:left="-20" w:right="80" w:firstLine="1019"/>
        <w:spacing w:after="0" w:line="261" w:lineRule="auto"/>
        <w:tabs>
          <w:tab w:leader="none" w:pos="12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Accountant’s Comfort Letter</w:t>
      </w:r>
      <w:r>
        <w:rPr>
          <w:rFonts w:ascii="Times New Roman" w:cs="Times New Roman" w:eastAsia="Times New Roman" w:hAnsi="Times New Roman"/>
          <w:sz w:val="18"/>
          <w:szCs w:val="18"/>
          <w:color w:val="auto"/>
        </w:rPr>
        <w:t>. Within five business days after each Representation Date, the Sales Agent shall have received from RSM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79" w:lineRule="exact"/>
        <w:rPr>
          <w:rFonts w:ascii="Times New Roman" w:cs="Times New Roman" w:eastAsia="Times New Roman" w:hAnsi="Times New Roman"/>
          <w:sz w:val="18"/>
          <w:szCs w:val="18"/>
          <w:color w:val="auto"/>
        </w:rPr>
      </w:pPr>
    </w:p>
    <w:p>
      <w:pPr>
        <w:ind w:left="-20" w:right="140" w:firstLine="1019"/>
        <w:spacing w:after="0" w:line="258" w:lineRule="auto"/>
        <w:tabs>
          <w:tab w:leader="none" w:pos="12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Within five business days after each Representation Date, counsel for the Sales Agent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20" w:right="20" w:firstLine="1019"/>
        <w:spacing w:after="0" w:line="261" w:lineRule="auto"/>
        <w:tabs>
          <w:tab w:leader="none" w:pos="12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Sales Agent by the Company, the Adviser and the Administrator</w:t>
      </w:r>
      <w:r>
        <w:rPr>
          <w:rFonts w:ascii="Times New Roman" w:cs="Times New Roman" w:eastAsia="Times New Roman" w:hAnsi="Times New Roman"/>
          <w:sz w:val="18"/>
          <w:szCs w:val="18"/>
          <w:color w:val="auto"/>
        </w:rPr>
        <w:t>. The Company, the Adviser and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w:t>
      </w:r>
    </w:p>
    <w:p>
      <w:pPr>
        <w:spacing w:after="0" w:line="73" w:lineRule="exact"/>
        <w:rPr>
          <w:rFonts w:ascii="Times New Roman" w:cs="Times New Roman" w:eastAsia="Times New Roman" w:hAnsi="Times New Roman"/>
          <w:sz w:val="18"/>
          <w:szCs w:val="18"/>
          <w:color w:val="auto"/>
        </w:rPr>
      </w:pPr>
    </w:p>
    <w:p>
      <w:pPr>
        <w:ind w:left="440" w:firstLine="967"/>
        <w:spacing w:after="0" w:line="254" w:lineRule="auto"/>
        <w:tabs>
          <w:tab w:leader="none" w:pos="162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ind w:left="440" w:right="100" w:firstLine="967"/>
        <w:spacing w:after="0" w:line="261" w:lineRule="auto"/>
        <w:tabs>
          <w:tab w:leader="none" w:pos="167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below) any such settlement is effected with the written consent of the Company;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40" w:top="268" w:right="359" w:bottom="1440" w:gutter="0" w:footer="0" w:header="0"/>
        </w:sectPr>
      </w:pPr>
    </w:p>
    <w:bookmarkStart w:id="34" w:name="page35"/>
    <w:bookmarkEnd w:id="34"/>
    <w:p>
      <w:pPr>
        <w:ind w:left="460" w:right="40" w:firstLine="967"/>
        <w:spacing w:after="0" w:line="254" w:lineRule="auto"/>
        <w:tabs>
          <w:tab w:leader="none" w:pos="174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78" w:lineRule="exact"/>
        <w:rPr>
          <w:rFonts w:ascii="Times New Roman" w:cs="Times New Roman" w:eastAsia="Times New Roman" w:hAnsi="Times New Roman"/>
          <w:sz w:val="18"/>
          <w:szCs w:val="18"/>
          <w:color w:val="auto"/>
        </w:rPr>
      </w:pPr>
    </w:p>
    <w:p>
      <w:pPr>
        <w:ind w:firstLine="1019"/>
        <w:spacing w:after="0" w:line="256" w:lineRule="auto"/>
        <w:tabs>
          <w:tab w:leader="none" w:pos="1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Officers, Adviser and Administrator</w:t>
      </w:r>
      <w:r>
        <w:rPr>
          <w:rFonts w:ascii="Times New Roman" w:cs="Times New Roman" w:eastAsia="Times New Roman" w:hAnsi="Times New Roman"/>
          <w:sz w:val="18"/>
          <w:szCs w:val="18"/>
          <w:color w:val="auto"/>
        </w:rPr>
        <w:t>. The Sales Agent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74" w:lineRule="exact"/>
        <w:rPr>
          <w:rFonts w:ascii="Times New Roman" w:cs="Times New Roman" w:eastAsia="Times New Roman" w:hAnsi="Times New Roman"/>
          <w:sz w:val="18"/>
          <w:szCs w:val="18"/>
          <w:color w:val="auto"/>
        </w:rPr>
      </w:pPr>
    </w:p>
    <w:p>
      <w:pPr>
        <w:ind w:firstLine="1019"/>
        <w:spacing w:after="0" w:line="253" w:lineRule="auto"/>
        <w:tabs>
          <w:tab w:leader="none" w:pos="1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counsel to the indemnified parties shall be selected by the Sales Agent, and, in the case of parties indemnified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270" w:right="339" w:bottom="1440" w:gutter="0" w:footer="0" w:header="0"/>
        </w:sectPr>
      </w:pPr>
    </w:p>
    <w:bookmarkStart w:id="35" w:name="page36"/>
    <w:bookmarkEnd w:id="35"/>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77" w:lineRule="exact"/>
        <w:rPr>
          <w:sz w:val="20"/>
          <w:szCs w:val="20"/>
          <w:color w:val="auto"/>
        </w:rPr>
      </w:pPr>
    </w:p>
    <w:p>
      <w:pPr>
        <w:ind w:firstLine="1019"/>
        <w:spacing w:after="0" w:line="257" w:lineRule="auto"/>
        <w:tabs>
          <w:tab w:leader="none" w:pos="1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270" w:right="339" w:bottom="1440" w:gutter="0" w:footer="0" w:header="0"/>
        </w:sectPr>
      </w:pPr>
    </w:p>
    <w:bookmarkStart w:id="36" w:name="page37"/>
    <w:bookmarkEnd w:id="36"/>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the Adviser, the Administrator and the Sales Agent agree that it would not be just and equitable if contribution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aggregate amount of losses, liabilities, claims, damages and expenses incurred by an indemnified party and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Sales Agent shall not be required to contribute any amount in excess of the commissions received by the Sales Agent in connection with the Securities sold by it.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300" w:firstLine="1019"/>
        <w:spacing w:after="0" w:line="284" w:lineRule="auto"/>
        <w:tabs>
          <w:tab w:leader="none" w:pos="1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 the Adviser and the Administrator</w:t>
      </w:r>
      <w:r>
        <w:rPr>
          <w:rFonts w:ascii="Times New Roman" w:cs="Times New Roman" w:eastAsia="Times New Roman" w:hAnsi="Times New Roman"/>
          <w:sz w:val="18"/>
          <w:szCs w:val="18"/>
          <w:color w:val="auto"/>
        </w:rPr>
        <w:t>. The Company, the Adviser and the Administrator may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by giving one day advance notice to the Sales Agent, at any time.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270" w:right="359" w:bottom="1440" w:gutter="0" w:footer="0" w:header="0"/>
        </w:sectPr>
      </w:pPr>
    </w:p>
    <w:bookmarkStart w:id="37" w:name="page38"/>
    <w:bookmarkEnd w:id="37"/>
    <w:p>
      <w:pPr>
        <w:ind w:firstLine="1019"/>
        <w:spacing w:after="0" w:line="252" w:lineRule="auto"/>
        <w:tabs>
          <w:tab w:leader="none" w:pos="1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by the Sales Agent</w:t>
      </w:r>
      <w:r>
        <w:rPr>
          <w:rFonts w:ascii="Times New Roman" w:cs="Times New Roman" w:eastAsia="Times New Roman" w:hAnsi="Times New Roman"/>
          <w:sz w:val="18"/>
          <w:szCs w:val="18"/>
          <w:color w:val="auto"/>
        </w:rPr>
        <w:t>. The Sales Agent may terminate this Agreement, by giving one day advance notice to the Company,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95" w:lineRule="exact"/>
        <w:rPr>
          <w:rFonts w:ascii="Times New Roman" w:cs="Times New Roman" w:eastAsia="Times New Roman" w:hAnsi="Times New Roman"/>
          <w:sz w:val="18"/>
          <w:szCs w:val="18"/>
          <w:color w:val="auto"/>
        </w:rPr>
      </w:pPr>
    </w:p>
    <w:p>
      <w:pPr>
        <w:ind w:right="260" w:firstLine="1019"/>
        <w:spacing w:after="0" w:line="267" w:lineRule="auto"/>
        <w:tabs>
          <w:tab w:leader="none" w:pos="1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provided that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14, 15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shall survive such termination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-176530</wp:posOffset>
            </wp:positionV>
            <wp:extent cx="314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5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Joint Venture</w:t>
      </w:r>
      <w:r>
        <w:rPr>
          <w:rFonts w:ascii="Times New Roman" w:cs="Times New Roman" w:eastAsia="Times New Roman" w:hAnsi="Times New Roman"/>
          <w:sz w:val="18"/>
          <w:szCs w:val="18"/>
          <w:color w:val="auto"/>
        </w:rPr>
        <w:t>.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w:t>
      </w:r>
    </w:p>
    <w:p>
      <w:pPr>
        <w:spacing w:after="0" w:line="18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Sales Agent shall be directed to Citizens JMP Securities, LLC at 600 Montgomery Street, Suite 1100, San Francisco, California 94111, Facsimile: (415) 835-8920, Attention: Equity Securities,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68" w:right="339" w:bottom="1440" w:gutter="0" w:footer="0" w:header="0"/>
        </w:sectPr>
      </w:pPr>
    </w:p>
    <w:bookmarkStart w:id="38" w:name="page39"/>
    <w:bookmarkEnd w:id="38"/>
    <w:p>
      <w:pPr>
        <w:ind w:firstLine="44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92"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270" w:right="379" w:bottom="1440" w:gutter="0" w:footer="0" w:header="0"/>
        </w:sectPr>
      </w:pPr>
    </w:p>
    <w:bookmarkStart w:id="39" w:name="page40"/>
    <w:bookmarkEnd w:id="39"/>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019"/>
        <w:spacing w:after="0" w:line="261" w:lineRule="auto"/>
        <w:tabs>
          <w:tab w:leader="none" w:pos="1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right="40" w:firstLine="1019"/>
        <w:spacing w:after="0" w:line="261" w:lineRule="auto"/>
        <w:tabs>
          <w:tab w:leader="none" w:pos="12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270" w:right="359" w:bottom="1440" w:gutter="0" w:footer="0" w:header="0"/>
        </w:sectPr>
      </w:pPr>
    </w:p>
    <w:bookmarkStart w:id="40" w:name="page41"/>
    <w:bookmarkEnd w:id="40"/>
    <w:p>
      <w:pPr>
        <w:ind w:left="-20" w:firstLine="1019"/>
        <w:spacing w:after="0" w:line="255" w:lineRule="auto"/>
        <w:tabs>
          <w:tab w:leader="none" w:pos="12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40" w:top="270" w:right="35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INVESTMENT ADMINISTRATION,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Sales Agreement – Citizens JMP]</w:t>
      </w:r>
    </w:p>
    <w:p>
      <w:pPr>
        <w:sectPr>
          <w:pgSz w:w="11900" w:h="16838" w:orient="portrait"/>
          <w:cols w:equalWidth="0" w:num="1">
            <w:col w:w="10960"/>
          </w:cols>
          <w:pgMar w:left="320" w:top="270" w:right="6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Jorge Solares-Parkhurst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Jorge Solares-Parkhurst</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[Signature Page to Sales Agreement – Citizens JMP]</w:t>
      </w:r>
    </w:p>
    <w:p>
      <w:pPr>
        <w:sectPr>
          <w:pgSz w:w="11900" w:h="16838" w:orient="portrait"/>
          <w:cols w:equalWidth="0" w:num="1">
            <w:col w:w="10139"/>
          </w:cols>
          <w:pgMar w:left="320" w:top="270" w:right="1440" w:bottom="1440" w:gutter="0" w:footer="0" w:header="0"/>
        </w:sectPr>
      </w:pPr>
    </w:p>
    <w:bookmarkStart w:id="43" w:name="page44"/>
    <w:bookmarkEnd w:id="43"/>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LLC</w:t>
      </w:r>
    </w:p>
    <w:p>
      <w:pPr>
        <w:sectPr>
          <w:pgSz w:w="11900" w:h="16838" w:orient="portrait"/>
          <w:cols w:equalWidth="0" w:num="1">
            <w:col w:w="10139"/>
          </w:cols>
          <w:pgMar w:left="320" w:top="266" w:right="1440" w:bottom="1440" w:gutter="0" w:footer="0" w:header="0"/>
        </w:sectPr>
      </w:pPr>
    </w:p>
    <w:bookmarkStart w:id="44" w:name="page45"/>
    <w:bookmarkEnd w:id="44"/>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Authorized Representatives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Allorto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Agent Authorized Representatives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Jorge Solares-Parkhurst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Aidan Whitehead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Walter Conroy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JMP Compliance</w:t>
      </w:r>
    </w:p>
    <w:p>
      <w:pPr>
        <w:sectPr>
          <w:pgSz w:w="11900" w:h="16838" w:orient="portrait"/>
          <w:cols w:equalWidth="0" w:num="1">
            <w:col w:w="10139"/>
          </w:cols>
          <w:pgMar w:left="320" w:top="266"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PENNANTPARK FLOATING RATE CAPITAL LTD.</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Dated: July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Petersburg, Florida 33716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 a Maryland corporation (the “Company”), PennantPark Investment Advisers, LLC, a Delaware limited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“Adviser”) and PennantPark Investment Administration, LLC, a Delaware limited liability company (the “Administrator”), each confirms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Raymond James &amp; Associates, Inc. (the “Sales Agent”) with respect to the sale by the Company of shares of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per share, of the Company (“Common Stock”), having an aggregate offering price of up to $500 million. The shares of Common Stock to be sold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Agent are herein called, collectively, the “Securities.” The Company, the Adviser and the Administrator have also entered into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“Sales Agreement”) in substantially similar form to this Equity Distribution Agreement (this “Agreement”), dated of even date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Citizens JMP Securities, LLC and Truist Securities, Inc. (each, an “Other Agent”). The aggregate amount of Securities that may be sold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Agreement and the Sales Agreement shall not exceed the lesser of $500 million and the dollar amount of Securities permitted to be 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Registration Statement (as defined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“Commission”) a shelf registration statement on Form N-2 (File</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No. 333-279726), relating to the registration of the Securities and certain of the Company’s other securities under the Securities Act of 1933, as amended (the “1933 Act”), which registration statement was declared effective by the Commission on July 17, 2024. The Company has also filed with the Commission a prospectus supplement, dated the date hereof, as such prospectus supplement may be amended (the “Prospectus”), which contains a base prospectus, dated July 17, 2024,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w:t>
      </w:r>
    </w:p>
    <w:p>
      <w:pPr>
        <w:sectPr>
          <w:pgSz w:w="11900" w:h="16838" w:orient="portrait"/>
          <w:cols w:equalWidth="0" w:num="1">
            <w:col w:w="11240"/>
          </w:cols>
          <w:pgMar w:left="320" w:top="270" w:right="33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Filed Pursuant to Section 54(a) of the Investment Company Act (File No. 814-00891)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has entered into that certain Third Amended and Restated Investment Advisory Agreement, dated as of May 20, 2024 (the “Investment Management Agreement”), with the Adviser. The Company has entered into that certain Administration Agreement, dated as of May 20, 2024 (the “Administration Agreement”), with the Administrator.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“Applicable Time” means the time of each sale of the applicable Securities pursuant to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20" w:firstLine="1019"/>
        <w:spacing w:after="0" w:line="261" w:lineRule="auto"/>
        <w:tabs>
          <w:tab w:leader="none" w:pos="1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the Sales Agent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73" w:lineRule="exact"/>
        <w:rPr>
          <w:rFonts w:ascii="Times New Roman" w:cs="Times New Roman" w:eastAsia="Times New Roman" w:hAnsi="Times New Roman"/>
          <w:sz w:val="18"/>
          <w:szCs w:val="18"/>
          <w:color w:val="auto"/>
        </w:rPr>
      </w:pPr>
    </w:p>
    <w:p>
      <w:pPr>
        <w:ind w:left="460" w:right="160" w:firstLine="967"/>
        <w:spacing w:after="0" w:line="256" w:lineRule="auto"/>
        <w:tabs>
          <w:tab w:leader="none" w:pos="16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270" w:right="399" w:bottom="1440" w:gutter="0" w:footer="0" w:header="0"/>
        </w:sectPr>
      </w:pPr>
    </w:p>
    <w:bookmarkStart w:id="48" w:name="page49"/>
    <w:bookmarkEnd w:id="48"/>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firstLine="967"/>
        <w:spacing w:after="0" w:line="253" w:lineRule="auto"/>
        <w:tabs>
          <w:tab w:leader="none" w:pos="12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86" w:lineRule="exact"/>
        <w:rPr>
          <w:rFonts w:ascii="Times New Roman" w:cs="Times New Roman" w:eastAsia="Times New Roman" w:hAnsi="Times New Roman"/>
          <w:sz w:val="18"/>
          <w:szCs w:val="18"/>
          <w:color w:val="auto"/>
        </w:rPr>
      </w:pPr>
    </w:p>
    <w:p>
      <w:pPr>
        <w:ind w:right="400" w:firstLine="967"/>
        <w:spacing w:after="0" w:line="266" w:lineRule="auto"/>
        <w:tabs>
          <w:tab w:leader="none" w:pos="12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67" w:lineRule="exact"/>
        <w:rPr>
          <w:rFonts w:ascii="Times New Roman" w:cs="Times New Roman" w:eastAsia="Times New Roman" w:hAnsi="Times New Roman"/>
          <w:sz w:val="18"/>
          <w:szCs w:val="18"/>
          <w:color w:val="auto"/>
        </w:rPr>
      </w:pPr>
    </w:p>
    <w:p>
      <w:pPr>
        <w:ind w:firstLine="967"/>
        <w:spacing w:after="0" w:line="256" w:lineRule="auto"/>
        <w:tabs>
          <w:tab w:leader="none" w:pos="12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780" w:top="270" w:right="339" w:bottom="1440" w:gutter="0" w:footer="0" w:header="0"/>
        </w:sectPr>
      </w:pPr>
    </w:p>
    <w:bookmarkStart w:id="49" w:name="page50"/>
    <w:bookmarkEnd w:id="49"/>
    <w:p>
      <w:pPr>
        <w:ind w:left="3" w:right="240" w:firstLine="967"/>
        <w:spacing w:after="0" w:line="258" w:lineRule="auto"/>
        <w:tabs>
          <w:tab w:leader="none" w:pos="12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5" w:lineRule="exact"/>
        <w:rPr>
          <w:rFonts w:ascii="Times New Roman" w:cs="Times New Roman" w:eastAsia="Times New Roman" w:hAnsi="Times New Roman"/>
          <w:sz w:val="18"/>
          <w:szCs w:val="18"/>
          <w:color w:val="auto"/>
        </w:rPr>
      </w:pPr>
    </w:p>
    <w:p>
      <w:pPr>
        <w:ind w:left="3" w:right="160" w:firstLine="967"/>
        <w:spacing w:after="0" w:line="261" w:lineRule="auto"/>
        <w:tabs>
          <w:tab w:leader="none" w:pos="12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 of the Company</w:t>
      </w:r>
      <w:r>
        <w:rPr>
          <w:rFonts w:ascii="Times New Roman" w:cs="Times New Roman" w:eastAsia="Times New Roman" w:hAnsi="Times New Roman"/>
          <w:sz w:val="18"/>
          <w:szCs w:val="18"/>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1" w:lineRule="exact"/>
        <w:rPr>
          <w:rFonts w:ascii="Times New Roman" w:cs="Times New Roman" w:eastAsia="Times New Roman" w:hAnsi="Times New Roman"/>
          <w:sz w:val="18"/>
          <w:szCs w:val="18"/>
          <w:color w:val="auto"/>
        </w:rPr>
      </w:pPr>
    </w:p>
    <w:p>
      <w:pPr>
        <w:ind w:left="3" w:firstLine="967"/>
        <w:spacing w:after="0" w:line="269" w:lineRule="auto"/>
        <w:tabs>
          <w:tab w:leader="none" w:pos="132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70" w:lineRule="exact"/>
        <w:rPr>
          <w:rFonts w:ascii="Times New Roman" w:cs="Times New Roman" w:eastAsia="Times New Roman" w:hAnsi="Times New Roman"/>
          <w:sz w:val="17"/>
          <w:szCs w:val="17"/>
          <w:color w:val="auto"/>
        </w:rPr>
      </w:pPr>
    </w:p>
    <w:p>
      <w:pPr>
        <w:ind w:left="3" w:right="40" w:firstLine="967"/>
        <w:spacing w:after="0" w:line="254" w:lineRule="auto"/>
        <w:tabs>
          <w:tab w:leader="none" w:pos="13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w:t>
      </w:r>
    </w:p>
    <w:p>
      <w:pPr>
        <w:spacing w:after="0" w:line="3" w:lineRule="exact"/>
        <w:rPr>
          <w:rFonts w:ascii="Times New Roman" w:cs="Times New Roman" w:eastAsia="Times New Roman" w:hAnsi="Times New Roman"/>
          <w:sz w:val="18"/>
          <w:szCs w:val="18"/>
          <w:color w:val="auto"/>
        </w:rPr>
      </w:pPr>
    </w:p>
    <w:p>
      <w:pPr>
        <w:ind w:left="283" w:hanging="283"/>
        <w:spacing w:after="0"/>
        <w:tabs>
          <w:tab w:leader="none" w:pos="2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dividend or distribution of any kind declared, paid or made by the Company on any class of its capital stock.</w:t>
      </w:r>
    </w:p>
    <w:p>
      <w:pPr>
        <w:spacing w:after="0" w:line="139"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3"/>
          </w:cols>
          <w:pgMar w:left="777" w:top="270" w:right="339" w:bottom="1440" w:gutter="0" w:footer="0" w:header="0"/>
        </w:sectPr>
      </w:pPr>
    </w:p>
    <w:bookmarkStart w:id="50" w:name="page51"/>
    <w:bookmarkEnd w:id="50"/>
    <w:p>
      <w:pPr>
        <w:ind w:right="20" w:firstLine="967"/>
        <w:spacing w:after="0" w:line="255" w:lineRule="auto"/>
        <w:tabs>
          <w:tab w:leader="none" w:pos="1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80" w:lineRule="exact"/>
        <w:rPr>
          <w:rFonts w:ascii="Times New Roman" w:cs="Times New Roman" w:eastAsia="Times New Roman" w:hAnsi="Times New Roman"/>
          <w:sz w:val="18"/>
          <w:szCs w:val="18"/>
          <w:color w:val="auto"/>
        </w:rPr>
      </w:pPr>
    </w:p>
    <w:p>
      <w:pPr>
        <w:ind w:firstLine="967"/>
        <w:spacing w:after="0" w:line="252" w:lineRule="auto"/>
        <w:tabs>
          <w:tab w:leader="none" w:pos="12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of the Company; Portfolio Companies</w:t>
      </w:r>
      <w:r>
        <w:rPr>
          <w:rFonts w:ascii="Times New Roman" w:cs="Times New Roman" w:eastAsia="Times New Roman" w:hAnsi="Times New Roman"/>
          <w:sz w:val="18"/>
          <w:szCs w:val="18"/>
          <w:color w:val="auto"/>
        </w:rPr>
        <w:t xml:space="preserve">. The Company’s only subsidiaries that were consolidated with the Company for financial reporting purposes under GAAP as of March 31, 2024 are those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86" w:lineRule="exact"/>
        <w:rPr>
          <w:rFonts w:ascii="Times New Roman" w:cs="Times New Roman" w:eastAsia="Times New Roman" w:hAnsi="Times New Roman"/>
          <w:sz w:val="18"/>
          <w:szCs w:val="18"/>
          <w:color w:val="auto"/>
        </w:rPr>
      </w:pPr>
    </w:p>
    <w:p>
      <w:pPr>
        <w:ind w:right="480" w:firstLine="967"/>
        <w:spacing w:after="0" w:line="261" w:lineRule="auto"/>
        <w:tabs>
          <w:tab w:leader="none" w:pos="1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shares of capital stock of the Company are as set forth in the Registration Statement and the Prospectus under the caption “Description of Our Capital Stock.” The total issued and outstanding shares of capital stock of the Company as of March 31, 2024 are as set forth in the Prospectus Supplement under the caption “The Offering.” The outstanding shares of capital stock of the Company have</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780" w:top="270" w:right="339" w:bottom="1440" w:gutter="0" w:footer="0" w:header="0"/>
        </w:sectPr>
      </w:pPr>
    </w:p>
    <w:bookmarkStart w:id="51" w:name="page52"/>
    <w:bookmarkEnd w:id="5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72" w:lineRule="exact"/>
        <w:rPr>
          <w:sz w:val="20"/>
          <w:szCs w:val="20"/>
          <w:color w:val="auto"/>
        </w:rPr>
      </w:pPr>
    </w:p>
    <w:p>
      <w:pPr>
        <w:ind w:left="1320" w:hanging="353"/>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967"/>
        <w:spacing w:after="0" w:line="255" w:lineRule="auto"/>
        <w:tabs>
          <w:tab w:leader="none" w:pos="13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80" w:lineRule="exact"/>
        <w:rPr>
          <w:rFonts w:ascii="Times New Roman" w:cs="Times New Roman" w:eastAsia="Times New Roman" w:hAnsi="Times New Roman"/>
          <w:sz w:val="18"/>
          <w:szCs w:val="18"/>
          <w:color w:val="auto"/>
        </w:rPr>
      </w:pPr>
    </w:p>
    <w:p>
      <w:pPr>
        <w:ind w:right="140" w:firstLine="967"/>
        <w:spacing w:after="0" w:line="312" w:lineRule="auto"/>
        <w:tabs>
          <w:tab w:leader="none" w:pos="136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31" w:lineRule="exact"/>
        <w:rPr>
          <w:rFonts w:ascii="Times New Roman" w:cs="Times New Roman" w:eastAsia="Times New Roman" w:hAnsi="Times New Roman"/>
          <w:sz w:val="17"/>
          <w:szCs w:val="17"/>
          <w:color w:val="auto"/>
        </w:rPr>
      </w:pPr>
    </w:p>
    <w:p>
      <w:pPr>
        <w:ind w:right="80" w:firstLine="967"/>
        <w:spacing w:after="0" w:line="254"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780" w:top="270" w:right="399" w:bottom="1440" w:gutter="0" w:footer="0" w:header="0"/>
        </w:sectPr>
      </w:pPr>
    </w:p>
    <w:bookmarkStart w:id="52" w:name="page53"/>
    <w:bookmarkEnd w:id="52"/>
    <w:p>
      <w:pPr>
        <w:ind w:firstLine="967"/>
        <w:spacing w:after="0" w:line="252" w:lineRule="auto"/>
        <w:tabs>
          <w:tab w:leader="none" w:pos="13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89" w:lineRule="exact"/>
        <w:rPr>
          <w:rFonts w:ascii="Times New Roman" w:cs="Times New Roman" w:eastAsia="Times New Roman" w:hAnsi="Times New Roman"/>
          <w:sz w:val="18"/>
          <w:szCs w:val="18"/>
          <w:color w:val="auto"/>
        </w:rPr>
      </w:pPr>
    </w:p>
    <w:p>
      <w:pPr>
        <w:ind w:left="1420" w:hanging="453"/>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Neither the Company nor any of the Subsidiaries has any employees.</w:t>
      </w:r>
    </w:p>
    <w:p>
      <w:pPr>
        <w:spacing w:after="0" w:line="117" w:lineRule="exact"/>
        <w:rPr>
          <w:rFonts w:ascii="Times New Roman" w:cs="Times New Roman" w:eastAsia="Times New Roman" w:hAnsi="Times New Roman"/>
          <w:sz w:val="18"/>
          <w:szCs w:val="18"/>
          <w:color w:val="auto"/>
        </w:rPr>
      </w:pPr>
    </w:p>
    <w:p>
      <w:pPr>
        <w:ind w:right="20" w:firstLine="967"/>
        <w:spacing w:after="0" w:line="256" w:lineRule="auto"/>
        <w:tabs>
          <w:tab w:leader="none" w:pos="14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w:t>
      </w:r>
    </w:p>
    <w:p>
      <w:pPr>
        <w:spacing w:after="0" w:line="79" w:lineRule="exact"/>
        <w:rPr>
          <w:rFonts w:ascii="Times New Roman" w:cs="Times New Roman" w:eastAsia="Times New Roman" w:hAnsi="Times New Roman"/>
          <w:sz w:val="18"/>
          <w:szCs w:val="18"/>
          <w:color w:val="auto"/>
        </w:rPr>
      </w:pPr>
    </w:p>
    <w:p>
      <w:pPr>
        <w:ind w:right="40" w:firstLine="967"/>
        <w:spacing w:after="0" w:line="282" w:lineRule="auto"/>
        <w:tabs>
          <w:tab w:leader="none" w:pos="13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53" w:lineRule="exact"/>
        <w:rPr>
          <w:rFonts w:ascii="Times New Roman" w:cs="Times New Roman" w:eastAsia="Times New Roman" w:hAnsi="Times New Roman"/>
          <w:sz w:val="18"/>
          <w:szCs w:val="18"/>
          <w:color w:val="auto"/>
        </w:rPr>
      </w:pPr>
    </w:p>
    <w:p>
      <w:pPr>
        <w:ind w:right="40" w:firstLine="967"/>
        <w:spacing w:after="0" w:line="258"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780" w:top="270" w:right="339" w:bottom="1440" w:gutter="0" w:footer="0" w:header="0"/>
        </w:sectPr>
      </w:pPr>
    </w:p>
    <w:bookmarkStart w:id="53" w:name="page54"/>
    <w:bookmarkEnd w:id="53"/>
    <w:p>
      <w:pPr>
        <w:ind w:right="2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56" w:lineRule="exact"/>
        <w:rPr>
          <w:sz w:val="20"/>
          <w:szCs w:val="20"/>
          <w:color w:val="auto"/>
        </w:rPr>
      </w:pPr>
    </w:p>
    <w:p>
      <w:pPr>
        <w:ind w:right="20" w:firstLine="967"/>
        <w:spacing w:after="0" w:line="271" w:lineRule="auto"/>
        <w:tabs>
          <w:tab w:leader="none" w:pos="136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65" w:lineRule="exact"/>
        <w:rPr>
          <w:rFonts w:ascii="Times New Roman" w:cs="Times New Roman" w:eastAsia="Times New Roman" w:hAnsi="Times New Roman"/>
          <w:sz w:val="17"/>
          <w:szCs w:val="17"/>
          <w:color w:val="auto"/>
        </w:rPr>
      </w:pPr>
    </w:p>
    <w:p>
      <w:pPr>
        <w:ind w:firstLine="967"/>
        <w:spacing w:after="0" w:line="256" w:lineRule="auto"/>
        <w:tabs>
          <w:tab w:leader="none" w:pos="14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9" w:lineRule="exact"/>
        <w:rPr>
          <w:rFonts w:ascii="Times New Roman" w:cs="Times New Roman" w:eastAsia="Times New Roman" w:hAnsi="Times New Roman"/>
          <w:sz w:val="18"/>
          <w:szCs w:val="18"/>
          <w:color w:val="auto"/>
        </w:rPr>
      </w:pPr>
    </w:p>
    <w:p>
      <w:pPr>
        <w:ind w:right="60" w:firstLine="967"/>
        <w:spacing w:after="0" w:line="254" w:lineRule="auto"/>
        <w:tabs>
          <w:tab w:leader="none" w:pos="14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780" w:top="270" w:right="359" w:bottom="1440" w:gutter="0" w:footer="0" w:header="0"/>
        </w:sectPr>
      </w:pPr>
    </w:p>
    <w:bookmarkStart w:id="54" w:name="page55"/>
    <w:bookmarkEnd w:id="54"/>
    <w:p>
      <w:pPr>
        <w:ind w:right="120" w:firstLine="967"/>
        <w:spacing w:after="0" w:line="253" w:lineRule="auto"/>
        <w:tabs>
          <w:tab w:leader="none" w:pos="14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Controls</w:t>
      </w:r>
      <w:r>
        <w:rPr>
          <w:rFonts w:ascii="Times New Roman" w:cs="Times New Roman" w:eastAsia="Times New Roman" w:hAnsi="Times New Roman"/>
          <w:sz w:val="18"/>
          <w:szCs w:val="18"/>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81" w:lineRule="exact"/>
        <w:rPr>
          <w:rFonts w:ascii="Times New Roman" w:cs="Times New Roman" w:eastAsia="Times New Roman" w:hAnsi="Times New Roman"/>
          <w:sz w:val="18"/>
          <w:szCs w:val="18"/>
          <w:color w:val="auto"/>
        </w:rPr>
      </w:pPr>
    </w:p>
    <w:p>
      <w:pPr>
        <w:ind w:firstLine="967"/>
        <w:spacing w:after="0" w:line="253" w:lineRule="auto"/>
        <w:tabs>
          <w:tab w:leader="none" w:pos="140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2023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780" w:top="270" w:right="339" w:bottom="1440" w:gutter="0" w:footer="0" w:header="0"/>
        </w:sectPr>
      </w:pPr>
    </w:p>
    <w:bookmarkStart w:id="55" w:name="page56"/>
    <w:bookmarkEnd w:id="55"/>
    <w:p>
      <w:pPr>
        <w:ind w:right="20" w:firstLine="967"/>
        <w:spacing w:after="0" w:line="258" w:lineRule="auto"/>
        <w:tabs>
          <w:tab w:leader="none" w:pos="14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firstLine="967"/>
        <w:spacing w:after="0" w:line="266" w:lineRule="auto"/>
        <w:tabs>
          <w:tab w:leader="none" w:pos="15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67" w:lineRule="exact"/>
        <w:rPr>
          <w:rFonts w:ascii="Times New Roman" w:cs="Times New Roman" w:eastAsia="Times New Roman" w:hAnsi="Times New Roman"/>
          <w:sz w:val="18"/>
          <w:szCs w:val="18"/>
          <w:color w:val="auto"/>
        </w:rPr>
      </w:pPr>
    </w:p>
    <w:p>
      <w:pPr>
        <w:jc w:val="both"/>
        <w:ind w:right="100" w:firstLine="967"/>
        <w:spacing w:after="0" w:line="266" w:lineRule="auto"/>
        <w:tabs>
          <w:tab w:leader="none" w:pos="15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67" w:lineRule="exact"/>
        <w:rPr>
          <w:rFonts w:ascii="Times New Roman" w:cs="Times New Roman" w:eastAsia="Times New Roman" w:hAnsi="Times New Roman"/>
          <w:sz w:val="18"/>
          <w:szCs w:val="18"/>
          <w:color w:val="auto"/>
        </w:rPr>
      </w:pPr>
    </w:p>
    <w:p>
      <w:pPr>
        <w:ind w:right="20" w:firstLine="967"/>
        <w:spacing w:after="0" w:line="271" w:lineRule="auto"/>
        <w:tabs>
          <w:tab w:leader="none" w:pos="145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65" w:lineRule="exact"/>
        <w:rPr>
          <w:rFonts w:ascii="Times New Roman" w:cs="Times New Roman" w:eastAsia="Times New Roman" w:hAnsi="Times New Roman"/>
          <w:sz w:val="17"/>
          <w:szCs w:val="17"/>
          <w:color w:val="auto"/>
        </w:rPr>
      </w:pPr>
    </w:p>
    <w:p>
      <w:pPr>
        <w:ind w:right="20" w:firstLine="967"/>
        <w:spacing w:after="0" w:line="274" w:lineRule="auto"/>
        <w:tabs>
          <w:tab w:leader="none" w:pos="140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1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780" w:top="270" w:right="339" w:bottom="1440" w:gutter="0" w:footer="0" w:header="0"/>
        </w:sectPr>
      </w:pPr>
    </w:p>
    <w:bookmarkStart w:id="56" w:name="page57"/>
    <w:bookmarkEnd w:id="56"/>
    <w:p>
      <w:pPr>
        <w:ind w:firstLine="967"/>
        <w:spacing w:after="0" w:line="254" w:lineRule="auto"/>
        <w:tabs>
          <w:tab w:leader="none" w:pos="14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r>
        <w:rPr>
          <w:rFonts w:ascii="Times New Roman" w:cs="Times New Roman" w:eastAsia="Times New Roman" w:hAnsi="Times New Roman"/>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83" w:lineRule="exact"/>
        <w:rPr>
          <w:rFonts w:ascii="Times New Roman" w:cs="Times New Roman" w:eastAsia="Times New Roman" w:hAnsi="Times New Roman"/>
          <w:sz w:val="18"/>
          <w:szCs w:val="18"/>
          <w:color w:val="auto"/>
        </w:rPr>
      </w:pPr>
    </w:p>
    <w:p>
      <w:pPr>
        <w:ind w:right="20" w:firstLine="967"/>
        <w:spacing w:after="0" w:line="266" w:lineRule="auto"/>
        <w:tabs>
          <w:tab w:leader="none" w:pos="15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67" w:lineRule="exact"/>
        <w:rPr>
          <w:rFonts w:ascii="Times New Roman" w:cs="Times New Roman" w:eastAsia="Times New Roman" w:hAnsi="Times New Roman"/>
          <w:sz w:val="18"/>
          <w:szCs w:val="18"/>
          <w:color w:val="auto"/>
        </w:rPr>
      </w:pPr>
    </w:p>
    <w:p>
      <w:pPr>
        <w:ind w:right="400" w:firstLine="967"/>
        <w:spacing w:after="0" w:line="266" w:lineRule="auto"/>
        <w:tabs>
          <w:tab w:leader="none" w:pos="15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jc w:val="both"/>
        <w:ind w:right="40" w:firstLine="967"/>
        <w:spacing w:after="0" w:line="312" w:lineRule="auto"/>
        <w:tabs>
          <w:tab w:leader="none" w:pos="154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31" w:lineRule="exact"/>
        <w:rPr>
          <w:rFonts w:ascii="Times New Roman" w:cs="Times New Roman" w:eastAsia="Times New Roman" w:hAnsi="Times New Roman"/>
          <w:sz w:val="17"/>
          <w:szCs w:val="17"/>
          <w:color w:val="auto"/>
        </w:rPr>
      </w:pPr>
    </w:p>
    <w:p>
      <w:pPr>
        <w:ind w:right="40" w:firstLine="967"/>
        <w:spacing w:after="0" w:line="261" w:lineRule="auto"/>
        <w:tabs>
          <w:tab w:leader="none" w:pos="14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w:t>
      </w:r>
      <w:r>
        <w:rPr>
          <w:rFonts w:ascii="Times New Roman" w:cs="Times New Roman" w:eastAsia="Times New Roman" w:hAnsi="Times New Roman"/>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right="20" w:firstLine="967"/>
        <w:spacing w:after="0" w:line="256" w:lineRule="auto"/>
        <w:tabs>
          <w:tab w:leader="none" w:pos="15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 and Administration Agreement</w:t>
      </w:r>
      <w:r>
        <w:rPr>
          <w:rFonts w:ascii="Times New Roman" w:cs="Times New Roman" w:eastAsia="Times New Roman" w:hAnsi="Times New Roman"/>
          <w:sz w:val="18"/>
          <w:szCs w:val="18"/>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780" w:top="270" w:right="399" w:bottom="1440" w:gutter="0" w:footer="0" w:header="0"/>
        </w:sectPr>
      </w:pPr>
    </w:p>
    <w:bookmarkStart w:id="57" w:name="page58"/>
    <w:bookmarkEnd w:id="57"/>
    <w:p>
      <w:pPr>
        <w:ind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75" w:lineRule="exact"/>
        <w:rPr>
          <w:sz w:val="20"/>
          <w:szCs w:val="20"/>
          <w:color w:val="auto"/>
        </w:rPr>
      </w:pPr>
    </w:p>
    <w:p>
      <w:pPr>
        <w:ind w:right="100" w:firstLine="967"/>
        <w:spacing w:after="0" w:line="261" w:lineRule="auto"/>
        <w:tabs>
          <w:tab w:leader="none" w:pos="15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Interested Persons</w:t>
      </w:r>
      <w:r>
        <w:rPr>
          <w:rFonts w:ascii="Times New Roman" w:cs="Times New Roman" w:eastAsia="Times New Roman" w:hAnsi="Times New Roman"/>
          <w:sz w:val="18"/>
          <w:szCs w:val="18"/>
          <w:color w:val="auto"/>
        </w:rPr>
        <w:t>.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w:t>
      </w:r>
    </w:p>
    <w:p>
      <w:pPr>
        <w:spacing w:after="0" w:line="71" w:lineRule="exact"/>
        <w:rPr>
          <w:rFonts w:ascii="Times New Roman" w:cs="Times New Roman" w:eastAsia="Times New Roman" w:hAnsi="Times New Roman"/>
          <w:sz w:val="18"/>
          <w:szCs w:val="18"/>
          <w:color w:val="auto"/>
        </w:rPr>
      </w:pPr>
    </w:p>
    <w:p>
      <w:pPr>
        <w:ind w:firstLine="967"/>
        <w:spacing w:after="0" w:line="256" w:lineRule="auto"/>
        <w:tabs>
          <w:tab w:leader="none" w:pos="16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Development Company</w:t>
      </w:r>
      <w:r>
        <w:rPr>
          <w:rFonts w:ascii="Times New Roman" w:cs="Times New Roman" w:eastAsia="Times New Roman" w:hAnsi="Times New Roman"/>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79" w:lineRule="exact"/>
        <w:rPr>
          <w:rFonts w:ascii="Times New Roman" w:cs="Times New Roman" w:eastAsia="Times New Roman" w:hAnsi="Times New Roman"/>
          <w:sz w:val="18"/>
          <w:szCs w:val="18"/>
          <w:color w:val="auto"/>
        </w:rPr>
      </w:pPr>
    </w:p>
    <w:p>
      <w:pPr>
        <w:ind w:right="160" w:firstLine="967"/>
        <w:spacing w:after="0" w:line="266" w:lineRule="auto"/>
        <w:tabs>
          <w:tab w:leader="none" w:pos="15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Extension of Credit</w:t>
      </w:r>
      <w:r>
        <w:rPr>
          <w:rFonts w:ascii="Times New Roman" w:cs="Times New Roman" w:eastAsia="Times New Roman" w:hAnsi="Times New Roman"/>
          <w:sz w:val="18"/>
          <w:szCs w:val="18"/>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68" w:lineRule="exact"/>
        <w:rPr>
          <w:sz w:val="20"/>
          <w:szCs w:val="20"/>
          <w:color w:val="auto"/>
        </w:rPr>
      </w:pPr>
    </w:p>
    <w:p>
      <w:pPr>
        <w:ind w:right="60" w:firstLine="970"/>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72" w:lineRule="exact"/>
        <w:rPr>
          <w:sz w:val="20"/>
          <w:szCs w:val="20"/>
          <w:color w:val="auto"/>
        </w:rPr>
      </w:pPr>
    </w:p>
    <w:p>
      <w:pPr>
        <w:ind w:right="60" w:firstLine="970"/>
        <w:spacing w:after="0" w:line="261"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780" w:top="270" w:right="339" w:bottom="1440" w:gutter="0" w:footer="0" w:header="0"/>
        </w:sectPr>
      </w:pPr>
    </w:p>
    <w:bookmarkStart w:id="58" w:name="page59"/>
    <w:bookmarkEnd w:id="58"/>
    <w:p>
      <w:pPr>
        <w:ind w:left="440" w:firstLine="97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w:t>
      </w:r>
    </w:p>
    <w:p>
      <w:pPr>
        <w:spacing w:after="0" w:line="67" w:lineRule="exact"/>
        <w:rPr>
          <w:sz w:val="20"/>
          <w:szCs w:val="20"/>
          <w:color w:val="auto"/>
        </w:rPr>
      </w:pPr>
    </w:p>
    <w:p>
      <w:pPr>
        <w:ind w:left="440" w:right="20" w:firstLine="970"/>
        <w:spacing w:after="0" w:line="252"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95" w:lineRule="exact"/>
        <w:rPr>
          <w:sz w:val="20"/>
          <w:szCs w:val="20"/>
          <w:color w:val="auto"/>
        </w:rPr>
      </w:pPr>
    </w:p>
    <w:p>
      <w:pPr>
        <w:ind w:left="-20" w:right="60" w:firstLine="1019"/>
        <w:spacing w:after="0" w:line="267" w:lineRule="auto"/>
        <w:tabs>
          <w:tab w:leader="none" w:pos="12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Adviser and the Administrator</w:t>
      </w:r>
      <w:r>
        <w:rPr>
          <w:rFonts w:ascii="Times New Roman" w:cs="Times New Roman" w:eastAsia="Times New Roman" w:hAnsi="Times New Roman"/>
          <w:sz w:val="18"/>
          <w:szCs w:val="18"/>
          <w:color w:val="auto"/>
        </w:rPr>
        <w:t>. The Adviser and the Administrator, jointly and severally,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Sales Agent as of the date hereof, the Applicable Time, each Representation Date (as defined below) and any Date of Delivery (as defined below), and agrees with the Sales Agent, as follows:</w:t>
      </w:r>
    </w:p>
    <w:p>
      <w:pPr>
        <w:spacing w:after="0" w:line="67" w:lineRule="exact"/>
        <w:rPr>
          <w:rFonts w:ascii="Times New Roman" w:cs="Times New Roman" w:eastAsia="Times New Roman" w:hAnsi="Times New Roman"/>
          <w:sz w:val="18"/>
          <w:szCs w:val="18"/>
          <w:color w:val="auto"/>
        </w:rPr>
      </w:pPr>
    </w:p>
    <w:p>
      <w:pPr>
        <w:ind w:left="440" w:right="220" w:firstLine="967"/>
        <w:spacing w:after="0" w:line="256" w:lineRule="auto"/>
        <w:tabs>
          <w:tab w:leader="none" w:pos="162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40" w:top="268" w:right="339" w:bottom="1440" w:gutter="0" w:footer="0" w:header="0"/>
        </w:sectPr>
      </w:pPr>
    </w:p>
    <w:bookmarkStart w:id="59" w:name="page60"/>
    <w:bookmarkEnd w:id="59"/>
    <w:p>
      <w:pPr>
        <w:ind w:firstLine="967"/>
        <w:spacing w:after="0" w:line="255" w:lineRule="auto"/>
        <w:tabs>
          <w:tab w:leader="none" w:pos="12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w:t>
      </w:r>
      <w:r>
        <w:rPr>
          <w:rFonts w:ascii="Times New Roman" w:cs="Times New Roman" w:eastAsia="Times New Roman" w:hAnsi="Times New Roman"/>
          <w:sz w:val="18"/>
          <w:szCs w:val="18"/>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ind w:right="20" w:firstLine="967"/>
        <w:spacing w:after="0" w:line="281" w:lineRule="auto"/>
        <w:tabs>
          <w:tab w:leader="none" w:pos="128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Under Advisers Act</w:t>
      </w:r>
      <w:r>
        <w:rPr>
          <w:rFonts w:ascii="Times New Roman" w:cs="Times New Roman" w:eastAsia="Times New Roman" w:hAnsi="Times New Roman"/>
          <w:sz w:val="17"/>
          <w:szCs w:val="17"/>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56" w:lineRule="exact"/>
        <w:rPr>
          <w:rFonts w:ascii="Times New Roman" w:cs="Times New Roman" w:eastAsia="Times New Roman" w:hAnsi="Times New Roman"/>
          <w:sz w:val="17"/>
          <w:szCs w:val="17"/>
          <w:color w:val="auto"/>
        </w:rPr>
      </w:pPr>
    </w:p>
    <w:p>
      <w:pPr>
        <w:ind w:firstLine="967"/>
        <w:spacing w:after="0" w:line="254" w:lineRule="auto"/>
        <w:tabs>
          <w:tab w:leader="none" w:pos="12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w:t>
      </w:r>
    </w:p>
    <w:p>
      <w:pPr>
        <w:spacing w:after="0" w:line="83" w:lineRule="exact"/>
        <w:rPr>
          <w:rFonts w:ascii="Times New Roman" w:cs="Times New Roman" w:eastAsia="Times New Roman" w:hAnsi="Times New Roman"/>
          <w:sz w:val="18"/>
          <w:szCs w:val="18"/>
          <w:color w:val="auto"/>
        </w:rPr>
      </w:pPr>
    </w:p>
    <w:p>
      <w:pPr>
        <w:ind w:right="20" w:firstLine="967"/>
        <w:spacing w:after="0" w:line="254" w:lineRule="auto"/>
        <w:tabs>
          <w:tab w:leader="none" w:pos="1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780" w:top="270" w:right="339" w:bottom="1440" w:gutter="0" w:footer="0" w:header="0"/>
        </w:sectPr>
      </w:pPr>
    </w:p>
    <w:bookmarkStart w:id="60" w:name="page61"/>
    <w:bookmarkEnd w:id="60"/>
    <w:p>
      <w:pPr>
        <w:ind w:firstLine="967"/>
        <w:spacing w:after="0" w:line="252" w:lineRule="auto"/>
        <w:tabs>
          <w:tab w:leader="none" w:pos="12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87"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each of the Adviser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98" w:lineRule="exact"/>
        <w:rPr>
          <w:rFonts w:ascii="Times New Roman" w:cs="Times New Roman" w:eastAsia="Times New Roman" w:hAnsi="Times New Roman"/>
          <w:sz w:val="18"/>
          <w:szCs w:val="18"/>
          <w:color w:val="auto"/>
        </w:rPr>
      </w:pPr>
    </w:p>
    <w:p>
      <w:pPr>
        <w:ind w:firstLine="967"/>
        <w:spacing w:after="0" w:line="258" w:lineRule="auto"/>
        <w:tabs>
          <w:tab w:leader="none" w:pos="13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 and Administration Agreement</w:t>
      </w:r>
      <w:r>
        <w:rPr>
          <w:rFonts w:ascii="Times New Roman" w:cs="Times New Roman" w:eastAsia="Times New Roman" w:hAnsi="Times New Roman"/>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75" w:lineRule="exact"/>
        <w:rPr>
          <w:rFonts w:ascii="Times New Roman" w:cs="Times New Roman" w:eastAsia="Times New Roman" w:hAnsi="Times New Roman"/>
          <w:sz w:val="18"/>
          <w:szCs w:val="18"/>
          <w:color w:val="auto"/>
        </w:rPr>
      </w:pPr>
    </w:p>
    <w:p>
      <w:pPr>
        <w:ind w:right="160" w:firstLine="967"/>
        <w:spacing w:after="0" w:line="256" w:lineRule="auto"/>
        <w:tabs>
          <w:tab w:leader="none" w:pos="12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780" w:top="270" w:right="359" w:bottom="1440" w:gutter="0" w:footer="0" w:header="0"/>
        </w:sectPr>
      </w:pPr>
    </w:p>
    <w:bookmarkStart w:id="61" w:name="page62"/>
    <w:bookmarkEnd w:id="6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68" w:lineRule="exact"/>
        <w:rPr>
          <w:sz w:val="20"/>
          <w:szCs w:val="20"/>
          <w:color w:val="auto"/>
        </w:rPr>
      </w:pPr>
    </w:p>
    <w:p>
      <w:pPr>
        <w:ind w:right="140" w:firstLine="967"/>
        <w:spacing w:after="0" w:line="266" w:lineRule="auto"/>
        <w:tabs>
          <w:tab w:leader="none" w:pos="12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Adviser and Administrator</w:t>
      </w:r>
      <w:r>
        <w:rPr>
          <w:rFonts w:ascii="Times New Roman" w:cs="Times New Roman" w:eastAsia="Times New Roman" w:hAnsi="Times New Roman"/>
          <w:sz w:val="18"/>
          <w:szCs w:val="18"/>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jc w:val="both"/>
        <w:ind w:right="180" w:firstLine="967"/>
        <w:spacing w:after="0" w:line="272" w:lineRule="auto"/>
        <w:tabs>
          <w:tab w:leader="none" w:pos="127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w:t>
      </w:r>
    </w:p>
    <w:p>
      <w:pPr>
        <w:spacing w:after="0" w:line="1" w:lineRule="exact"/>
        <w:rPr>
          <w:rFonts w:ascii="Times New Roman" w:cs="Times New Roman" w:eastAsia="Times New Roman" w:hAnsi="Times New Roman"/>
          <w:sz w:val="17"/>
          <w:szCs w:val="17"/>
          <w:color w:val="auto"/>
        </w:rPr>
      </w:pPr>
    </w:p>
    <w:p>
      <w:pPr>
        <w:ind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80" w:lineRule="exact"/>
        <w:rPr>
          <w:rFonts w:ascii="Times New Roman" w:cs="Times New Roman" w:eastAsia="Times New Roman" w:hAnsi="Times New Roman"/>
          <w:sz w:val="17"/>
          <w:szCs w:val="17"/>
          <w:color w:val="auto"/>
        </w:rPr>
      </w:pPr>
    </w:p>
    <w:p>
      <w:pPr>
        <w:ind w:right="80" w:firstLine="967"/>
        <w:spacing w:after="0" w:line="289" w:lineRule="auto"/>
        <w:tabs>
          <w:tab w:leader="none" w:pos="132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Stabilization and Manipulation</w:t>
      </w:r>
      <w:r>
        <w:rPr>
          <w:rFonts w:ascii="Times New Roman" w:cs="Times New Roman" w:eastAsia="Times New Roman" w:hAnsi="Times New Roman"/>
          <w:sz w:val="17"/>
          <w:szCs w:val="17"/>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49" w:lineRule="exact"/>
        <w:rPr>
          <w:rFonts w:ascii="Times New Roman" w:cs="Times New Roman" w:eastAsia="Times New Roman" w:hAnsi="Times New Roman"/>
          <w:sz w:val="17"/>
          <w:szCs w:val="17"/>
          <w:color w:val="auto"/>
        </w:rPr>
      </w:pPr>
    </w:p>
    <w:p>
      <w:pPr>
        <w:ind w:firstLine="967"/>
        <w:spacing w:after="0" w:line="254" w:lineRule="auto"/>
        <w:tabs>
          <w:tab w:leader="none" w:pos="137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40"/>
          </w:cols>
          <w:pgMar w:left="780" w:top="270" w:right="379" w:bottom="1440" w:gutter="0" w:footer="0" w:header="0"/>
        </w:sectPr>
      </w:pPr>
    </w:p>
    <w:bookmarkStart w:id="62" w:name="page63"/>
    <w:bookmarkEnd w:id="6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54" w:lineRule="exact"/>
        <w:rPr>
          <w:sz w:val="20"/>
          <w:szCs w:val="20"/>
          <w:color w:val="auto"/>
        </w:rPr>
      </w:pPr>
    </w:p>
    <w:p>
      <w:pPr>
        <w:ind w:right="180" w:firstLine="967"/>
        <w:spacing w:after="0" w:line="277" w:lineRule="auto"/>
        <w:tabs>
          <w:tab w:leader="none" w:pos="136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59" w:lineRule="exact"/>
        <w:rPr>
          <w:rFonts w:ascii="Times New Roman" w:cs="Times New Roman" w:eastAsia="Times New Roman" w:hAnsi="Times New Roman"/>
          <w:sz w:val="17"/>
          <w:szCs w:val="17"/>
          <w:color w:val="auto"/>
        </w:rPr>
      </w:pPr>
    </w:p>
    <w:p>
      <w:pPr>
        <w:ind w:firstLine="967"/>
        <w:spacing w:after="0" w:line="255"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80" w:lineRule="exact"/>
        <w:rPr>
          <w:rFonts w:ascii="Times New Roman" w:cs="Times New Roman" w:eastAsia="Times New Roman" w:hAnsi="Times New Roman"/>
          <w:sz w:val="18"/>
          <w:szCs w:val="18"/>
          <w:color w:val="auto"/>
        </w:rPr>
      </w:pPr>
    </w:p>
    <w:p>
      <w:pPr>
        <w:ind w:right="200" w:firstLine="967"/>
        <w:spacing w:after="0" w:line="258" w:lineRule="auto"/>
        <w:tabs>
          <w:tab w:leader="none" w:pos="13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75" w:lineRule="exact"/>
        <w:rPr>
          <w:rFonts w:ascii="Times New Roman" w:cs="Times New Roman" w:eastAsia="Times New Roman" w:hAnsi="Times New Roman"/>
          <w:sz w:val="18"/>
          <w:szCs w:val="18"/>
          <w:color w:val="auto"/>
        </w:rPr>
      </w:pPr>
    </w:p>
    <w:p>
      <w:pPr>
        <w:ind w:right="100" w:firstLine="967"/>
        <w:spacing w:after="0" w:line="258" w:lineRule="auto"/>
        <w:tabs>
          <w:tab w:leader="none" w:pos="14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780" w:top="270" w:right="359" w:bottom="1440" w:gutter="0" w:footer="0" w:header="0"/>
        </w:sectPr>
      </w:pPr>
    </w:p>
    <w:bookmarkStart w:id="63" w:name="page64"/>
    <w:bookmarkEnd w:id="63"/>
    <w:p>
      <w:pPr>
        <w:ind w:left="420" w:firstLine="967"/>
        <w:spacing w:after="0" w:line="254" w:lineRule="auto"/>
        <w:tabs>
          <w:tab w:leader="none" w:pos="18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Controls</w:t>
      </w:r>
      <w:r>
        <w:rPr>
          <w:rFonts w:ascii="Times New Roman" w:cs="Times New Roman" w:eastAsia="Times New Roman" w:hAnsi="Times New Roman"/>
          <w:sz w:val="18"/>
          <w:szCs w:val="18"/>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83" w:lineRule="exact"/>
        <w:rPr>
          <w:rFonts w:ascii="Times New Roman" w:cs="Times New Roman" w:eastAsia="Times New Roman" w:hAnsi="Times New Roman"/>
          <w:sz w:val="18"/>
          <w:szCs w:val="18"/>
          <w:color w:val="auto"/>
        </w:rPr>
      </w:pPr>
    </w:p>
    <w:p>
      <w:pPr>
        <w:ind w:left="420" w:right="540" w:firstLine="967"/>
        <w:spacing w:after="0" w:line="266" w:lineRule="auto"/>
        <w:tabs>
          <w:tab w:leader="none" w:pos="17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74" w:lineRule="exact"/>
        <w:rPr>
          <w:sz w:val="20"/>
          <w:szCs w:val="20"/>
          <w:color w:val="auto"/>
        </w:rPr>
      </w:pPr>
    </w:p>
    <w:p>
      <w:pPr>
        <w:ind w:left="-40" w:right="320" w:firstLine="1019"/>
        <w:spacing w:after="0" w:line="267" w:lineRule="auto"/>
        <w:tabs>
          <w:tab w:leader="none" w:pos="12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any of the Subsidiaries, the Adviser or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the Sales Agent or to counsel for the Sales Agent shall be deemed a representation and warranty by the Company, the Adviser or the Administrator, as applicable, to the Sales Agent as to the matters covered thereby.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140" w:firstLine="1019"/>
        <w:spacing w:after="0" w:line="266" w:lineRule="auto"/>
        <w:tabs>
          <w:tab w:leader="none" w:pos="12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67" w:lineRule="exact"/>
        <w:rPr>
          <w:rFonts w:ascii="Times New Roman" w:cs="Times New Roman" w:eastAsia="Times New Roman" w:hAnsi="Times New Roman"/>
          <w:sz w:val="18"/>
          <w:szCs w:val="18"/>
          <w:color w:val="auto"/>
        </w:rPr>
      </w:pPr>
    </w:p>
    <w:p>
      <w:pPr>
        <w:ind w:left="420" w:right="20" w:firstLine="967"/>
        <w:spacing w:after="0" w:line="253" w:lineRule="auto"/>
        <w:tabs>
          <w:tab w:leader="none" w:pos="160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hereof, the Company or the Sales Agent suspends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60" w:top="270" w:right="379" w:bottom="1440" w:gutter="0" w:footer="0" w:header="0"/>
        </w:sectPr>
      </w:pPr>
    </w:p>
    <w:bookmarkStart w:id="64" w:name="page65"/>
    <w:bookmarkEnd w:id="6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terminates the Placement Notice, (iii) the Company issues a subsequent Placement Notice with parameters superseding those on the earlier dated Placement Notice, or (iv) this Agreement has been terminated under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84" w:lineRule="exact"/>
        <w:rPr>
          <w:sz w:val="20"/>
          <w:szCs w:val="20"/>
          <w:color w:val="auto"/>
        </w:rPr>
      </w:pPr>
    </w:p>
    <w:p>
      <w:pPr>
        <w:ind w:firstLine="967"/>
        <w:spacing w:after="0" w:line="256" w:lineRule="auto"/>
        <w:tabs>
          <w:tab w:leader="none" w:pos="12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79" w:lineRule="exact"/>
        <w:rPr>
          <w:rFonts w:ascii="Times New Roman" w:cs="Times New Roman" w:eastAsia="Times New Roman" w:hAnsi="Times New Roman"/>
          <w:sz w:val="18"/>
          <w:szCs w:val="18"/>
          <w:color w:val="auto"/>
        </w:rPr>
      </w:pPr>
    </w:p>
    <w:p>
      <w:pPr>
        <w:ind w:right="120" w:firstLine="967"/>
        <w:spacing w:after="0" w:line="266" w:lineRule="auto"/>
        <w:tabs>
          <w:tab w:leader="none" w:pos="12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hereby covenants and agrees not to make any sales of the Securities on behalf of the Company,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other than (A) by means of At the Market Offerings and (B) such other sales of the Securities on behalf of the Company in its capacity as agent of the Company as shall be agreed by the Company and the Sales Agent.</w:t>
      </w:r>
    </w:p>
    <w:p>
      <w:pPr>
        <w:spacing w:after="0" w:line="67" w:lineRule="exact"/>
        <w:rPr>
          <w:rFonts w:ascii="Times New Roman" w:cs="Times New Roman" w:eastAsia="Times New Roman" w:hAnsi="Times New Roman"/>
          <w:sz w:val="18"/>
          <w:szCs w:val="18"/>
          <w:color w:val="auto"/>
        </w:rPr>
      </w:pPr>
    </w:p>
    <w:p>
      <w:pPr>
        <w:ind w:firstLine="967"/>
        <w:spacing w:after="0" w:line="254" w:lineRule="auto"/>
        <w:tabs>
          <w:tab w:leader="none" w:pos="12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60"/>
          </w:cols>
          <w:pgMar w:left="780" w:top="270" w:right="359" w:bottom="1440" w:gutter="0" w:footer="0" w:header="0"/>
        </w:sectPr>
      </w:pPr>
    </w:p>
    <w:bookmarkStart w:id="65" w:name="page66"/>
    <w:bookmarkEnd w:id="65"/>
    <w:p>
      <w:pPr>
        <w:ind w:left="3" w:firstLine="967"/>
        <w:spacing w:after="0" w:line="261" w:lineRule="auto"/>
        <w:tabs>
          <w:tab w:leader="none" w:pos="12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Sales Agent shall provide written confirmation to the Company as soon as practicable following the close of trading on the New York Stock Exchange each day on which the Securities are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setting forth the aggregate amount of the Securities sold on such day, the aggregate Net Proceeds to the Company, and the aggregate compensation payable by the Company to the Sales Agent with respect to such sales.</w:t>
      </w:r>
    </w:p>
    <w:p>
      <w:pPr>
        <w:spacing w:after="0" w:line="71" w:lineRule="exact"/>
        <w:rPr>
          <w:rFonts w:ascii="Times New Roman" w:cs="Times New Roman" w:eastAsia="Times New Roman" w:hAnsi="Times New Roman"/>
          <w:sz w:val="18"/>
          <w:szCs w:val="18"/>
          <w:color w:val="auto"/>
        </w:rPr>
      </w:pPr>
    </w:p>
    <w:p>
      <w:pPr>
        <w:ind w:left="3" w:right="20" w:firstLine="967"/>
        <w:spacing w:after="0" w:line="252" w:lineRule="auto"/>
        <w:tabs>
          <w:tab w:leader="none" w:pos="12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for sales of the Securities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will occur on the first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w:t>
      </w:r>
    </w:p>
    <w:p>
      <w:pPr>
        <w:spacing w:after="0" w:line="3"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and hold the Sales Agent harmless against any loss, claim or damage arising from or as a result of such default by the Company and</w:t>
      </w:r>
    </w:p>
    <w:p>
      <w:pPr>
        <w:spacing w:after="0" w:line="9" w:lineRule="exact"/>
        <w:rPr>
          <w:rFonts w:ascii="Times New Roman" w:cs="Times New Roman" w:eastAsia="Times New Roman" w:hAnsi="Times New Roman"/>
          <w:sz w:val="18"/>
          <w:szCs w:val="18"/>
          <w:color w:val="auto"/>
        </w:rPr>
      </w:pPr>
    </w:p>
    <w:p>
      <w:pPr>
        <w:ind w:left="3" w:hanging="3"/>
        <w:spacing w:after="0" w:line="255" w:lineRule="auto"/>
        <w:tabs>
          <w:tab w:leader="none" w:pos="2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3" w:firstLine="967"/>
        <w:spacing w:after="0" w:line="261" w:lineRule="auto"/>
        <w:tabs>
          <w:tab w:leader="none" w:pos="13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w:t>
      </w:r>
    </w:p>
    <w:p>
      <w:pPr>
        <w:spacing w:after="0" w:line="112"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3"/>
          </w:cols>
          <w:pgMar w:left="777" w:top="270" w:right="339" w:bottom="1440" w:gutter="0" w:footer="0" w:header="0"/>
        </w:sectPr>
      </w:pPr>
    </w:p>
    <w:bookmarkStart w:id="66" w:name="page67"/>
    <w:bookmarkEnd w:id="66"/>
    <w:p>
      <w:pPr>
        <w:ind w:right="40" w:firstLine="1019"/>
        <w:spacing w:after="0" w:line="255" w:lineRule="auto"/>
        <w:tabs>
          <w:tab w:leader="none" w:pos="12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Company wishes to sell the Securities other than as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w:t>
      </w:r>
    </w:p>
    <w:p>
      <w:pPr>
        <w:spacing w:after="0" w:line="188"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engages the Sales Agent for a sale of Securities that would constitute the sale of a “block” under</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1" w:lineRule="exact"/>
        <w:rPr>
          <w:sz w:val="20"/>
          <w:szCs w:val="20"/>
          <w:color w:val="auto"/>
        </w:rPr>
      </w:pPr>
    </w:p>
    <w:p>
      <w:pPr>
        <w:ind w:firstLine="1019"/>
        <w:spacing w:after="0" w:line="266" w:lineRule="auto"/>
        <w:tabs>
          <w:tab w:leader="none" w:pos="12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75" w:lineRule="exact"/>
        <w:rPr>
          <w:rFonts w:ascii="Times New Roman" w:cs="Times New Roman" w:eastAsia="Times New Roman" w:hAnsi="Times New Roman"/>
          <w:sz w:val="18"/>
          <w:szCs w:val="18"/>
          <w:color w:val="auto"/>
        </w:rPr>
      </w:pPr>
    </w:p>
    <w:p>
      <w:pPr>
        <w:ind w:right="220" w:firstLine="1019"/>
        <w:spacing w:after="0" w:line="258" w:lineRule="auto"/>
        <w:tabs>
          <w:tab w:leader="none" w:pos="1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83" w:lineRule="exact"/>
        <w:rPr>
          <w:rFonts w:ascii="Times New Roman" w:cs="Times New Roman" w:eastAsia="Times New Roman" w:hAnsi="Times New Roman"/>
          <w:sz w:val="18"/>
          <w:szCs w:val="18"/>
          <w:color w:val="auto"/>
        </w:rPr>
      </w:pPr>
    </w:p>
    <w:p>
      <w:pPr>
        <w:ind w:right="20" w:firstLine="1019"/>
        <w:spacing w:after="0" w:line="254"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any other information or documents required by the Sales Agent.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270" w:right="359" w:bottom="1440" w:gutter="0" w:footer="0" w:header="0"/>
        </w:sectPr>
      </w:pPr>
    </w:p>
    <w:bookmarkStart w:id="67" w:name="page68"/>
    <w:bookmarkEnd w:id="67"/>
    <w:p>
      <w:pPr>
        <w:ind w:left="-20" w:right="240" w:firstLine="1019"/>
        <w:spacing w:after="0" w:line="261"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w:t>
      </w:r>
    </w:p>
    <w:p>
      <w:pPr>
        <w:spacing w:after="0" w:line="179" w:lineRule="exact"/>
        <w:rPr>
          <w:rFonts w:ascii="Times New Roman" w:cs="Times New Roman" w:eastAsia="Times New Roman" w:hAnsi="Times New Roman"/>
          <w:sz w:val="18"/>
          <w:szCs w:val="18"/>
          <w:color w:val="auto"/>
        </w:rPr>
      </w:pPr>
    </w:p>
    <w:p>
      <w:pPr>
        <w:ind w:left="-20" w:firstLine="1019"/>
        <w:spacing w:after="0" w:line="254"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rFonts w:ascii="Times New Roman" w:cs="Times New Roman" w:eastAsia="Times New Roman" w:hAnsi="Times New Roman"/>
          <w:sz w:val="18"/>
          <w:szCs w:val="18"/>
          <w:color w:val="auto"/>
        </w:rPr>
      </w:pPr>
    </w:p>
    <w:p>
      <w:pPr>
        <w:ind w:left="-20" w:right="20" w:firstLine="1019"/>
        <w:spacing w:after="0" w:line="255" w:lineRule="auto"/>
        <w:tabs>
          <w:tab w:leader="none" w:pos="12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Sales Agent as follows:</w:t>
      </w:r>
    </w:p>
    <w:p>
      <w:pPr>
        <w:spacing w:after="0" w:line="223" w:lineRule="exact"/>
        <w:rPr>
          <w:sz w:val="20"/>
          <w:szCs w:val="20"/>
          <w:color w:val="auto"/>
        </w:rPr>
      </w:pPr>
    </w:p>
    <w:p>
      <w:pPr>
        <w:ind w:left="-20" w:right="20" w:firstLine="1019"/>
        <w:spacing w:after="0" w:line="254" w:lineRule="auto"/>
        <w:tabs>
          <w:tab w:leader="none" w:pos="12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270" w:right="339" w:bottom="1440" w:gutter="0" w:footer="0" w:header="0"/>
        </w:sectPr>
      </w:pPr>
    </w:p>
    <w:bookmarkStart w:id="68" w:name="page69"/>
    <w:bookmarkEnd w:id="68"/>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70" w:lineRule="exact"/>
        <w:rPr>
          <w:sz w:val="20"/>
          <w:szCs w:val="20"/>
          <w:color w:val="auto"/>
        </w:rPr>
      </w:pPr>
    </w:p>
    <w:p>
      <w:pPr>
        <w:ind w:firstLine="1019"/>
        <w:spacing w:after="0" w:line="256" w:lineRule="auto"/>
        <w:tabs>
          <w:tab w:leader="none" w:pos="1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w:t>
      </w:r>
      <w:r>
        <w:rPr>
          <w:rFonts w:ascii="Times New Roman" w:cs="Times New Roman" w:eastAsia="Times New Roman" w:hAnsi="Times New Roman"/>
          <w:sz w:val="18"/>
          <w:szCs w:val="18"/>
          <w:color w:val="auto"/>
        </w:rPr>
        <w:t>. The Company will give the Sales Agent notice of its intention to file or prepare any amendment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74" w:lineRule="exact"/>
        <w:rPr>
          <w:rFonts w:ascii="Times New Roman" w:cs="Times New Roman" w:eastAsia="Times New Roman" w:hAnsi="Times New Roman"/>
          <w:sz w:val="18"/>
          <w:szCs w:val="18"/>
          <w:color w:val="auto"/>
        </w:rPr>
      </w:pPr>
    </w:p>
    <w:p>
      <w:pPr>
        <w:ind w:firstLine="1019"/>
        <w:spacing w:after="0" w:line="252" w:lineRule="auto"/>
        <w:tabs>
          <w:tab w:leader="none" w:pos="1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use its commercially reasonable efforts to comply with the 1933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270" w:right="359" w:bottom="1440" w:gutter="0" w:footer="0" w:header="0"/>
        </w:sectPr>
      </w:pPr>
    </w:p>
    <w:bookmarkStart w:id="69" w:name="page70"/>
    <w:bookmarkEnd w:id="69"/>
    <w:p>
      <w:pPr>
        <w:ind w:left="-20" w:right="60" w:firstLine="1019"/>
        <w:spacing w:after="0" w:line="257" w:lineRule="auto"/>
        <w:tabs>
          <w:tab w:leader="none" w:pos="1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Commission Filings</w:t>
      </w:r>
      <w:r>
        <w:rPr>
          <w:rFonts w:ascii="Times New Roman" w:cs="Times New Roman" w:eastAsia="Times New Roman" w:hAnsi="Times New Roman"/>
          <w:sz w:val="18"/>
          <w:szCs w:val="18"/>
          <w:color w:val="auto"/>
        </w:rPr>
        <w:t>. The Company has furnished or, upon written request of the Sales Agent, shall deliver to the Sales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w:t>
      </w:r>
    </w:p>
    <w:p>
      <w:pPr>
        <w:spacing w:after="0" w:line="74" w:lineRule="exact"/>
        <w:rPr>
          <w:rFonts w:ascii="Times New Roman" w:cs="Times New Roman" w:eastAsia="Times New Roman" w:hAnsi="Times New Roman"/>
          <w:sz w:val="18"/>
          <w:szCs w:val="18"/>
          <w:color w:val="auto"/>
        </w:rPr>
      </w:pPr>
    </w:p>
    <w:p>
      <w:pPr>
        <w:ind w:left="-20" w:right="160" w:firstLine="1019"/>
        <w:spacing w:after="0" w:line="261" w:lineRule="auto"/>
        <w:tabs>
          <w:tab w:leader="none" w:pos="12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will furnish to the Sales Agent, without charge, during the period when a prospectus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71" w:lineRule="exact"/>
        <w:rPr>
          <w:rFonts w:ascii="Times New Roman" w:cs="Times New Roman" w:eastAsia="Times New Roman" w:hAnsi="Times New Roman"/>
          <w:sz w:val="18"/>
          <w:szCs w:val="18"/>
          <w:color w:val="auto"/>
        </w:rPr>
      </w:pPr>
    </w:p>
    <w:p>
      <w:pPr>
        <w:ind w:left="-20" w:right="60" w:firstLine="1019"/>
        <w:spacing w:after="0" w:line="257" w:lineRule="auto"/>
        <w:tabs>
          <w:tab w:leader="none" w:pos="12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commercially reasonable efforts, in cooperation with the Sales Agent,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74" w:lineRule="exact"/>
        <w:rPr>
          <w:rFonts w:ascii="Times New Roman" w:cs="Times New Roman" w:eastAsia="Times New Roman" w:hAnsi="Times New Roman"/>
          <w:sz w:val="18"/>
          <w:szCs w:val="18"/>
          <w:color w:val="auto"/>
        </w:rPr>
      </w:pPr>
    </w:p>
    <w:p>
      <w:pPr>
        <w:ind w:left="-20" w:firstLine="1019"/>
        <w:spacing w:after="0" w:line="261" w:lineRule="auto"/>
        <w:tabs>
          <w:tab w:leader="none" w:pos="1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make generally available to its securityholders as soon as practicable an earnings statement that satisfies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71" w:lineRule="exact"/>
        <w:rPr>
          <w:rFonts w:ascii="Times New Roman" w:cs="Times New Roman" w:eastAsia="Times New Roman" w:hAnsi="Times New Roman"/>
          <w:sz w:val="18"/>
          <w:szCs w:val="18"/>
          <w:color w:val="auto"/>
        </w:rPr>
      </w:pPr>
    </w:p>
    <w:p>
      <w:pPr>
        <w:ind w:left="-20" w:right="520" w:firstLine="1019"/>
        <w:spacing w:after="0" w:line="284" w:lineRule="auto"/>
        <w:tabs>
          <w:tab w:leader="none" w:pos="1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 will use its commercially reasonable best efforts to maintain the listing of the Common Stock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on the New York Stock Exchange.</w:t>
      </w:r>
    </w:p>
    <w:p>
      <w:pPr>
        <w:spacing w:after="0" w:line="50" w:lineRule="exact"/>
        <w:rPr>
          <w:rFonts w:ascii="Times New Roman" w:cs="Times New Roman" w:eastAsia="Times New Roman" w:hAnsi="Times New Roman"/>
          <w:sz w:val="18"/>
          <w:szCs w:val="18"/>
          <w:color w:val="auto"/>
        </w:rPr>
      </w:pPr>
    </w:p>
    <w:p>
      <w:pPr>
        <w:ind w:left="-20" w:right="60" w:firstLine="1019"/>
        <w:spacing w:after="0" w:line="284" w:lineRule="auto"/>
        <w:tabs>
          <w:tab w:leader="none" w:pos="12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cooperate with the Sales Agent and use its commercially reasonable efforts to permit the offered Securities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clearance and settlement through the facilities of DTC.</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40" w:top="268" w:right="359" w:bottom="1440" w:gutter="0" w:footer="0" w:header="0"/>
        </w:sectPr>
      </w:pPr>
    </w:p>
    <w:bookmarkStart w:id="70" w:name="page71"/>
    <w:bookmarkEnd w:id="70"/>
    <w:p>
      <w:pPr>
        <w:ind w:left="-20" w:right="60" w:firstLine="1019"/>
        <w:spacing w:after="0" w:line="256"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 OFAC</w:t>
      </w:r>
      <w:r>
        <w:rPr>
          <w:rFonts w:ascii="Times New Roman" w:cs="Times New Roman" w:eastAsia="Times New Roman" w:hAnsi="Times New Roman"/>
          <w:sz w:val="18"/>
          <w:szCs w:val="18"/>
          <w:color w:val="auto"/>
        </w:rPr>
        <w:t>. The Company will use the net proceeds received by it from the sale of the Securities in the manner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74" w:lineRule="exact"/>
        <w:rPr>
          <w:rFonts w:ascii="Times New Roman" w:cs="Times New Roman" w:eastAsia="Times New Roman" w:hAnsi="Times New Roman"/>
          <w:sz w:val="18"/>
          <w:szCs w:val="18"/>
          <w:color w:val="auto"/>
        </w:rPr>
      </w:pPr>
    </w:p>
    <w:p>
      <w:pPr>
        <w:jc w:val="both"/>
        <w:ind w:left="-20" w:right="200" w:firstLine="1019"/>
        <w:spacing w:after="0" w:line="267" w:lineRule="auto"/>
        <w:tabs>
          <w:tab w:leader="none" w:pos="12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required to be delivered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will file all documents required to be filed with the Commission pursuant to the 1934 Act within the time periods required by the 1934 Act and 1934 Act Regulations.</w:t>
      </w:r>
    </w:p>
    <w:p>
      <w:pPr>
        <w:spacing w:after="0" w:line="65" w:lineRule="exact"/>
        <w:rPr>
          <w:rFonts w:ascii="Times New Roman" w:cs="Times New Roman" w:eastAsia="Times New Roman" w:hAnsi="Times New Roman"/>
          <w:sz w:val="18"/>
          <w:szCs w:val="18"/>
          <w:color w:val="auto"/>
        </w:rPr>
      </w:pPr>
    </w:p>
    <w:p>
      <w:pPr>
        <w:ind w:left="-20" w:right="60" w:firstLine="1019"/>
        <w:spacing w:after="0" w:line="267"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 Status</w:t>
      </w:r>
      <w:r>
        <w:rPr>
          <w:rFonts w:ascii="Times New Roman" w:cs="Times New Roman" w:eastAsia="Times New Roman" w:hAnsi="Times New Roman"/>
          <w:sz w:val="18"/>
          <w:szCs w:val="18"/>
          <w:color w:val="auto"/>
        </w:rPr>
        <w:t>. The Company will use its commercially reasonable efforts to maintain its status as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65" w:lineRule="exact"/>
        <w:rPr>
          <w:rFonts w:ascii="Times New Roman" w:cs="Times New Roman" w:eastAsia="Times New Roman" w:hAnsi="Times New Roman"/>
          <w:sz w:val="18"/>
          <w:szCs w:val="18"/>
          <w:color w:val="auto"/>
        </w:rPr>
      </w:pPr>
    </w:p>
    <w:p>
      <w:pPr>
        <w:ind w:left="-20" w:firstLine="1019"/>
        <w:spacing w:after="0" w:line="267" w:lineRule="auto"/>
        <w:tabs>
          <w:tab w:leader="none" w:pos="1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 Status</w:t>
      </w:r>
      <w:r>
        <w:rPr>
          <w:rFonts w:ascii="Times New Roman" w:cs="Times New Roman" w:eastAsia="Times New Roman" w:hAnsi="Times New Roman"/>
          <w:sz w:val="18"/>
          <w:szCs w:val="18"/>
          <w:color w:val="auto"/>
        </w:rPr>
        <w:t>. The Company will use its commercially reasonable efforts to maintain its qualification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investment company under Subchapter M of the Code for each full fiscal year during which it is a business development company under the 1940 Act.</w:t>
      </w:r>
    </w:p>
    <w:p>
      <w:pPr>
        <w:spacing w:after="0" w:line="65" w:lineRule="exact"/>
        <w:rPr>
          <w:rFonts w:ascii="Times New Roman" w:cs="Times New Roman" w:eastAsia="Times New Roman" w:hAnsi="Times New Roman"/>
          <w:sz w:val="18"/>
          <w:szCs w:val="18"/>
          <w:color w:val="auto"/>
        </w:rPr>
      </w:pPr>
    </w:p>
    <w:p>
      <w:pPr>
        <w:jc w:val="both"/>
        <w:ind w:left="-20" w:right="140" w:firstLine="1019"/>
        <w:spacing w:after="0" w:line="261" w:lineRule="auto"/>
        <w:tabs>
          <w:tab w:leader="none" w:pos="12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to (i) test procedures and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71" w:lineRule="exact"/>
        <w:rPr>
          <w:rFonts w:ascii="Times New Roman" w:cs="Times New Roman" w:eastAsia="Times New Roman" w:hAnsi="Times New Roman"/>
          <w:sz w:val="18"/>
          <w:szCs w:val="18"/>
          <w:color w:val="auto"/>
        </w:rPr>
      </w:pPr>
    </w:p>
    <w:p>
      <w:pPr>
        <w:ind w:left="-20" w:right="60" w:firstLine="1019"/>
        <w:spacing w:after="0" w:line="254" w:lineRule="auto"/>
        <w:tabs>
          <w:tab w:leader="none" w:pos="12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Controls</w:t>
      </w:r>
      <w:r>
        <w:rPr>
          <w:rFonts w:ascii="Times New Roman" w:cs="Times New Roman" w:eastAsia="Times New Roman" w:hAnsi="Times New Roman"/>
          <w:sz w:val="18"/>
          <w:szCs w:val="18"/>
          <w:color w:val="auto"/>
        </w:rPr>
        <w:t>. The Company will use commercially reasonable efforts to establish and maintain a system of internal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40" w:top="268" w:right="359" w:bottom="1440" w:gutter="0" w:footer="0" w:header="0"/>
        </w:sectPr>
      </w:pPr>
    </w:p>
    <w:bookmarkStart w:id="71" w:name="page72"/>
    <w:bookmarkEnd w:id="71"/>
    <w:p>
      <w:pPr>
        <w:ind w:right="80" w:firstLine="1019"/>
        <w:spacing w:after="0" w:line="258" w:lineRule="auto"/>
        <w:tabs>
          <w:tab w:leader="none" w:pos="1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w:t>
      </w:r>
      <w:r>
        <w:rPr>
          <w:rFonts w:ascii="Times New Roman" w:cs="Times New Roman" w:eastAsia="Times New Roman" w:hAnsi="Times New Roman"/>
          <w:sz w:val="18"/>
          <w:szCs w:val="18"/>
          <w:color w:val="auto"/>
        </w:rPr>
        <w:t>. The Company will use commercially reasonable efforts to establish and employ disclosure controls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75" w:lineRule="exact"/>
        <w:rPr>
          <w:rFonts w:ascii="Times New Roman" w:cs="Times New Roman" w:eastAsia="Times New Roman" w:hAnsi="Times New Roman"/>
          <w:sz w:val="18"/>
          <w:szCs w:val="18"/>
          <w:color w:val="auto"/>
        </w:rPr>
      </w:pPr>
    </w:p>
    <w:p>
      <w:pPr>
        <w:ind w:right="20" w:firstLine="1019"/>
        <w:spacing w:after="0" w:line="257" w:lineRule="auto"/>
        <w:tabs>
          <w:tab w:leader="none" w:pos="1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Sales Agent (i)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74" w:lineRule="exact"/>
        <w:rPr>
          <w:rFonts w:ascii="Times New Roman" w:cs="Times New Roman" w:eastAsia="Times New Roman" w:hAnsi="Times New Roman"/>
          <w:sz w:val="18"/>
          <w:szCs w:val="18"/>
          <w:color w:val="auto"/>
        </w:rPr>
      </w:pPr>
    </w:p>
    <w:p>
      <w:pPr>
        <w:ind w:firstLine="1019"/>
        <w:spacing w:after="0" w:line="256" w:lineRule="auto"/>
        <w:tabs>
          <w:tab w:leader="none" w:pos="12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Diligence Matters. </w:t>
      </w:r>
      <w:r>
        <w:rPr>
          <w:rFonts w:ascii="Times New Roman" w:cs="Times New Roman" w:eastAsia="Times New Roman" w:hAnsi="Times New Roman"/>
          <w:sz w:val="18"/>
          <w:szCs w:val="18"/>
          <w:color w:val="auto"/>
        </w:rPr>
        <w:t>The Company will cooperate with any reasonable due diligence review conducted by the Sales Agent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74" w:lineRule="exact"/>
        <w:rPr>
          <w:rFonts w:ascii="Times New Roman" w:cs="Times New Roman" w:eastAsia="Times New Roman" w:hAnsi="Times New Roman"/>
          <w:sz w:val="18"/>
          <w:szCs w:val="18"/>
          <w:color w:val="auto"/>
        </w:rPr>
      </w:pPr>
    </w:p>
    <w:p>
      <w:pPr>
        <w:ind w:right="140" w:firstLine="1019"/>
        <w:spacing w:after="0" w:line="284"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result in any stabilization or manipulation of the price of the Securities.</w:t>
      </w:r>
    </w:p>
    <w:p>
      <w:pPr>
        <w:spacing w:after="0" w:line="52" w:lineRule="exact"/>
        <w:rPr>
          <w:rFonts w:ascii="Times New Roman" w:cs="Times New Roman" w:eastAsia="Times New Roman" w:hAnsi="Times New Roman"/>
          <w:sz w:val="18"/>
          <w:szCs w:val="18"/>
          <w:color w:val="auto"/>
        </w:rPr>
      </w:pPr>
    </w:p>
    <w:p>
      <w:pPr>
        <w:ind w:right="160" w:firstLine="1019"/>
        <w:spacing w:after="0" w:line="261" w:lineRule="auto"/>
        <w:tabs>
          <w:tab w:leader="none" w:pos="12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w:t>
      </w:r>
    </w:p>
    <w:p>
      <w:pPr>
        <w:spacing w:after="0" w:line="18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0"/>
          </w:cols>
          <w:pgMar w:left="320" w:top="268" w:right="399" w:bottom="1440" w:gutter="0" w:footer="0" w:header="0"/>
        </w:sectPr>
      </w:pPr>
    </w:p>
    <w:bookmarkStart w:id="72" w:name="page73"/>
    <w:bookmarkEnd w:id="7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$50,000 in connection with the entry into this Agreement and the Sales Agreement and up to $10,000 per fiscal quarter during the term of this Agreement and the Sales Agreement, which amount shall include legal fees and expenses relating to the review by FINRA of the terms of the sale of the Securities, if applicable, and (x) the filing fees incident to the review by FINRA of the terms of the sale of the Securities, if any.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87"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the Sales Agent’s Obligations</w:t>
      </w:r>
      <w:r>
        <w:rPr>
          <w:rFonts w:ascii="Times New Roman" w:cs="Times New Roman" w:eastAsia="Times New Roman" w:hAnsi="Times New Roman"/>
          <w:sz w:val="18"/>
          <w:szCs w:val="18"/>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70" w:lineRule="exact"/>
        <w:rPr>
          <w:sz w:val="20"/>
          <w:szCs w:val="20"/>
          <w:color w:val="auto"/>
        </w:rPr>
      </w:pPr>
    </w:p>
    <w:p>
      <w:pPr>
        <w:ind w:firstLine="1019"/>
        <w:spacing w:after="0" w:line="258" w:lineRule="auto"/>
        <w:tabs>
          <w:tab w:leader="none" w:pos="1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No stop order suspending the effectiveness of the Registration Statement or any post-effective amendment thereto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75" w:lineRule="exact"/>
        <w:rPr>
          <w:rFonts w:ascii="Times New Roman" w:cs="Times New Roman" w:eastAsia="Times New Roman" w:hAnsi="Times New Roman"/>
          <w:sz w:val="18"/>
          <w:szCs w:val="18"/>
          <w:color w:val="auto"/>
        </w:rPr>
      </w:pPr>
    </w:p>
    <w:p>
      <w:pPr>
        <w:ind w:right="120" w:firstLine="1019"/>
        <w:spacing w:after="0" w:line="254" w:lineRule="auto"/>
        <w:tabs>
          <w:tab w:leader="none" w:pos="1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the Company, the Adviser and the Administrator</w:t>
      </w:r>
      <w:r>
        <w:rPr>
          <w:rFonts w:ascii="Times New Roman" w:cs="Times New Roman" w:eastAsia="Times New Roman" w:hAnsi="Times New Roman"/>
          <w:sz w:val="18"/>
          <w:szCs w:val="18"/>
          <w:color w:val="auto"/>
        </w:rPr>
        <w:t>. Within five business days after (i) each date 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270" w:right="379" w:bottom="1440" w:gutter="0" w:footer="0" w:header="0"/>
        </w:sectPr>
      </w:pPr>
    </w:p>
    <w:bookmarkStart w:id="73" w:name="page74"/>
    <w:bookmarkEnd w:id="73"/>
    <w:p>
      <w:pPr>
        <w:ind w:right="60" w:firstLine="1019"/>
        <w:spacing w:after="0" w:line="261" w:lineRule="auto"/>
        <w:tabs>
          <w:tab w:leader="none" w:pos="1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 of Counsel for the Sales Agent</w:t>
      </w:r>
      <w:r>
        <w:rPr>
          <w:rFonts w:ascii="Times New Roman" w:cs="Times New Roman" w:eastAsia="Times New Roman" w:hAnsi="Times New Roman"/>
          <w:sz w:val="18"/>
          <w:szCs w:val="18"/>
          <w:color w:val="auto"/>
        </w:rPr>
        <w:t>. Within five business days after each Representation Date, the Sales Agent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71"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60" w:right="40" w:firstLine="967"/>
        <w:spacing w:after="0" w:line="270" w:lineRule="auto"/>
        <w:tabs>
          <w:tab w:leader="none" w:pos="1645"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68" w:lineRule="exact"/>
        <w:rPr>
          <w:rFonts w:ascii="Times New Roman" w:cs="Times New Roman" w:eastAsia="Times New Roman" w:hAnsi="Times New Roman"/>
          <w:sz w:val="17"/>
          <w:szCs w:val="17"/>
          <w:color w:val="auto"/>
        </w:rPr>
      </w:pPr>
    </w:p>
    <w:p>
      <w:pPr>
        <w:ind w:left="460" w:firstLine="967"/>
        <w:spacing w:after="0" w:line="255" w:lineRule="auto"/>
        <w:tabs>
          <w:tab w:leader="none" w:pos="16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 (B) the representations and warranties of the Adviser or the Administrator, as applicable,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268" w:right="339" w:bottom="1440" w:gutter="0" w:footer="0" w:header="0"/>
        </w:sectPr>
      </w:pPr>
    </w:p>
    <w:bookmarkStart w:id="74" w:name="page75"/>
    <w:bookmarkEnd w:id="74"/>
    <w:p>
      <w:pPr>
        <w:ind w:left="-20" w:right="80" w:firstLine="1019"/>
        <w:spacing w:after="0" w:line="261" w:lineRule="auto"/>
        <w:tabs>
          <w:tab w:leader="none" w:pos="12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Accountant’s Comfort Letter</w:t>
      </w:r>
      <w:r>
        <w:rPr>
          <w:rFonts w:ascii="Times New Roman" w:cs="Times New Roman" w:eastAsia="Times New Roman" w:hAnsi="Times New Roman"/>
          <w:sz w:val="18"/>
          <w:szCs w:val="18"/>
          <w:color w:val="auto"/>
        </w:rPr>
        <w:t>. Within five business days after each Representation Date, the Sales Agent shall have received from RSM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71" w:lineRule="exact"/>
        <w:rPr>
          <w:rFonts w:ascii="Times New Roman" w:cs="Times New Roman" w:eastAsia="Times New Roman" w:hAnsi="Times New Roman"/>
          <w:sz w:val="18"/>
          <w:szCs w:val="18"/>
          <w:color w:val="auto"/>
        </w:rPr>
      </w:pPr>
    </w:p>
    <w:p>
      <w:pPr>
        <w:ind w:left="-20" w:right="140" w:firstLine="1019"/>
        <w:spacing w:after="0" w:line="258" w:lineRule="auto"/>
        <w:tabs>
          <w:tab w:leader="none" w:pos="12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Within five business days after each Representation Date, counsel for the Sales Agent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20" w:right="20" w:firstLine="1019"/>
        <w:spacing w:after="0" w:line="261" w:lineRule="auto"/>
        <w:tabs>
          <w:tab w:leader="none" w:pos="12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Sales Agent by the Company, the Adviser and the Administrator</w:t>
      </w:r>
      <w:r>
        <w:rPr>
          <w:rFonts w:ascii="Times New Roman" w:cs="Times New Roman" w:eastAsia="Times New Roman" w:hAnsi="Times New Roman"/>
          <w:sz w:val="18"/>
          <w:szCs w:val="18"/>
          <w:color w:val="auto"/>
        </w:rPr>
        <w:t>. The Company, the Adviser and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w:t>
      </w:r>
    </w:p>
    <w:p>
      <w:pPr>
        <w:spacing w:after="0" w:line="73" w:lineRule="exact"/>
        <w:rPr>
          <w:rFonts w:ascii="Times New Roman" w:cs="Times New Roman" w:eastAsia="Times New Roman" w:hAnsi="Times New Roman"/>
          <w:sz w:val="18"/>
          <w:szCs w:val="18"/>
          <w:color w:val="auto"/>
        </w:rPr>
      </w:pPr>
    </w:p>
    <w:p>
      <w:pPr>
        <w:ind w:left="440" w:firstLine="967"/>
        <w:spacing w:after="0" w:line="254" w:lineRule="auto"/>
        <w:tabs>
          <w:tab w:leader="none" w:pos="162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ind w:left="440" w:right="100" w:firstLine="967"/>
        <w:spacing w:after="0" w:line="261" w:lineRule="auto"/>
        <w:tabs>
          <w:tab w:leader="none" w:pos="167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below) any such settlement is effected with the written consent of the Company;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40" w:top="268" w:right="359" w:bottom="1440" w:gutter="0" w:footer="0" w:header="0"/>
        </w:sectPr>
      </w:pPr>
    </w:p>
    <w:bookmarkStart w:id="75" w:name="page76"/>
    <w:bookmarkEnd w:id="75"/>
    <w:p>
      <w:pPr>
        <w:ind w:left="460" w:right="40" w:firstLine="967"/>
        <w:spacing w:after="0" w:line="254" w:lineRule="auto"/>
        <w:tabs>
          <w:tab w:leader="none" w:pos="174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78" w:lineRule="exact"/>
        <w:rPr>
          <w:rFonts w:ascii="Times New Roman" w:cs="Times New Roman" w:eastAsia="Times New Roman" w:hAnsi="Times New Roman"/>
          <w:sz w:val="18"/>
          <w:szCs w:val="18"/>
          <w:color w:val="auto"/>
        </w:rPr>
      </w:pPr>
    </w:p>
    <w:p>
      <w:pPr>
        <w:ind w:firstLine="1019"/>
        <w:spacing w:after="0" w:line="256" w:lineRule="auto"/>
        <w:tabs>
          <w:tab w:leader="none" w:pos="12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Officers, Adviser and Administrator</w:t>
      </w:r>
      <w:r>
        <w:rPr>
          <w:rFonts w:ascii="Times New Roman" w:cs="Times New Roman" w:eastAsia="Times New Roman" w:hAnsi="Times New Roman"/>
          <w:sz w:val="18"/>
          <w:szCs w:val="18"/>
          <w:color w:val="auto"/>
        </w:rPr>
        <w:t>. The Sales Agent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74" w:lineRule="exact"/>
        <w:rPr>
          <w:rFonts w:ascii="Times New Roman" w:cs="Times New Roman" w:eastAsia="Times New Roman" w:hAnsi="Times New Roman"/>
          <w:sz w:val="18"/>
          <w:szCs w:val="18"/>
          <w:color w:val="auto"/>
        </w:rPr>
      </w:pPr>
    </w:p>
    <w:p>
      <w:pPr>
        <w:ind w:firstLine="1019"/>
        <w:spacing w:after="0" w:line="253" w:lineRule="auto"/>
        <w:tabs>
          <w:tab w:leader="none" w:pos="1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counsel to the indemnified parties shall be selected by the Sales Agent, and, in the case of parties indemnified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270" w:right="339" w:bottom="1440" w:gutter="0" w:footer="0" w:header="0"/>
        </w:sectPr>
      </w:pPr>
    </w:p>
    <w:bookmarkStart w:id="76" w:name="page77"/>
    <w:bookmarkEnd w:id="76"/>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77" w:lineRule="exact"/>
        <w:rPr>
          <w:sz w:val="20"/>
          <w:szCs w:val="20"/>
          <w:color w:val="auto"/>
        </w:rPr>
      </w:pPr>
    </w:p>
    <w:p>
      <w:pPr>
        <w:ind w:firstLine="1019"/>
        <w:spacing w:after="0" w:line="257" w:lineRule="auto"/>
        <w:tabs>
          <w:tab w:leader="none" w:pos="1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270" w:right="339" w:bottom="1440" w:gutter="0" w:footer="0" w:header="0"/>
        </w:sectPr>
      </w:pPr>
    </w:p>
    <w:bookmarkStart w:id="77" w:name="page78"/>
    <w:bookmarkEnd w:id="77"/>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The Company, the Adviser, the Administrator and the Sales Agent agree that it would not be just and equitable if contribution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aggregate amount of losses, liabilities, claims, damages and expenses incurred by an indemnified party and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Sales Agent shall not be required to contribute any amount in excess of the commissions received by the Sales Agent in connection with the Securities sold by it.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3"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270" w:right="359"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320" w:firstLine="1019"/>
        <w:spacing w:after="0" w:line="284" w:lineRule="auto"/>
        <w:tabs>
          <w:tab w:leader="none" w:pos="1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 the Adviser and the Administrator</w:t>
      </w:r>
      <w:r>
        <w:rPr>
          <w:rFonts w:ascii="Times New Roman" w:cs="Times New Roman" w:eastAsia="Times New Roman" w:hAnsi="Times New Roman"/>
          <w:sz w:val="18"/>
          <w:szCs w:val="18"/>
          <w:color w:val="auto"/>
        </w:rPr>
        <w:t>. The Company, the Adviser and the Administrator may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by giving one day advance notice to the Sales Agent, at any time.</w:t>
      </w:r>
    </w:p>
    <w:p>
      <w:pPr>
        <w:spacing w:after="0" w:line="50" w:lineRule="exact"/>
        <w:rPr>
          <w:rFonts w:ascii="Times New Roman" w:cs="Times New Roman" w:eastAsia="Times New Roman" w:hAnsi="Times New Roman"/>
          <w:sz w:val="18"/>
          <w:szCs w:val="18"/>
          <w:color w:val="auto"/>
        </w:rPr>
      </w:pPr>
    </w:p>
    <w:p>
      <w:pPr>
        <w:ind w:firstLine="1019"/>
        <w:spacing w:after="0" w:line="252" w:lineRule="auto"/>
        <w:tabs>
          <w:tab w:leader="none" w:pos="12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Sales Agent</w:t>
      </w:r>
      <w:r>
        <w:rPr>
          <w:rFonts w:ascii="Times New Roman" w:cs="Times New Roman" w:eastAsia="Times New Roman" w:hAnsi="Times New Roman"/>
          <w:sz w:val="18"/>
          <w:szCs w:val="18"/>
          <w:color w:val="auto"/>
        </w:rPr>
        <w:t>. The Sales Agent may terminate this Agreement, by giving one day advance notice to the Company,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88" w:lineRule="exact"/>
        <w:rPr>
          <w:rFonts w:ascii="Times New Roman" w:cs="Times New Roman" w:eastAsia="Times New Roman" w:hAnsi="Times New Roman"/>
          <w:sz w:val="18"/>
          <w:szCs w:val="18"/>
          <w:color w:val="auto"/>
        </w:rPr>
      </w:pPr>
    </w:p>
    <w:p>
      <w:pPr>
        <w:ind w:right="260" w:firstLine="1019"/>
        <w:spacing w:after="0" w:line="267" w:lineRule="auto"/>
        <w:tabs>
          <w:tab w:leader="none" w:pos="1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provided that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14, 15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shall survive such termination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-176530</wp:posOffset>
            </wp:positionV>
            <wp:extent cx="314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4325" cy="8890"/>
                    </a:xfrm>
                    <a:prstGeom prst="rect">
                      <a:avLst/>
                    </a:prstGeom>
                    <a:noFill/>
                  </pic:spPr>
                </pic:pic>
              </a:graphicData>
            </a:graphic>
          </wp:anchor>
        </w:drawing>
      </w:r>
    </w:p>
    <w:p>
      <w:pPr>
        <w:spacing w:after="0" w:line="15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Joint Venture</w:t>
      </w:r>
      <w:r>
        <w:rPr>
          <w:rFonts w:ascii="Times New Roman" w:cs="Times New Roman" w:eastAsia="Times New Roman" w:hAnsi="Times New Roman"/>
          <w:sz w:val="18"/>
          <w:szCs w:val="18"/>
          <w:color w:val="auto"/>
        </w:rPr>
        <w:t>.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w:t>
      </w:r>
    </w:p>
    <w:p>
      <w:pPr>
        <w:spacing w:after="0" w:line="187"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Sales Agent shall be directed to Raymond James &amp; Associates, Inc. at 880 Carillon Parkway, St. Petersburg, Florida 33716, GEIBLegal@raymondjames.com, Attention: Larry M. Herman, Managing Director/Financial Services Investment Banking and Thomas Donegan, General Counsel/Global Equities &amp; Investment Banking, with a copy (which shall not constitute notice) to Kirkland &amp; Ellis LLP at 1301 Pennsylvania Ave., NW, Washington, D.C. 20004, Attention: William J. Tuttle, P.C. Notices to the Company, the Adviser and the Administrator shall be directed to them at 1691 Michigan Avenue, Miami Beach, Florida 33139, facsimile No. (212) 905-1075, Attention: Arthur Penn.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70" w:right="339" w:bottom="1440" w:gutter="0" w:footer="0" w:header="0"/>
        </w:sectPr>
      </w:pPr>
    </w:p>
    <w:bookmarkStart w:id="79" w:name="page80"/>
    <w:bookmarkEnd w:id="79"/>
    <w:p>
      <w:pPr>
        <w:ind w:firstLine="44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92"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92"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270" w:right="379" w:bottom="1440" w:gutter="0" w:footer="0" w:header="0"/>
        </w:sectPr>
      </w:pPr>
    </w:p>
    <w:bookmarkStart w:id="80" w:name="page81"/>
    <w:bookmarkEnd w:id="80"/>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019"/>
        <w:spacing w:after="0" w:line="261" w:lineRule="auto"/>
        <w:tabs>
          <w:tab w:leader="none" w:pos="1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right="40" w:firstLine="1019"/>
        <w:spacing w:after="0" w:line="261" w:lineRule="auto"/>
        <w:tabs>
          <w:tab w:leader="none" w:pos="126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270" w:right="359" w:bottom="1440" w:gutter="0" w:footer="0" w:header="0"/>
        </w:sectPr>
      </w:pPr>
    </w:p>
    <w:bookmarkStart w:id="81" w:name="page82"/>
    <w:bookmarkEnd w:id="81"/>
    <w:p>
      <w:pPr>
        <w:ind w:left="-20" w:firstLine="1019"/>
        <w:spacing w:after="0" w:line="255" w:lineRule="auto"/>
        <w:tabs>
          <w:tab w:leader="none" w:pos="123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00"/>
          </w:cols>
          <w:pgMar w:left="340" w:top="270" w:right="359" w:bottom="1440" w:gutter="0" w:footer="0" w:header="0"/>
        </w:sectPr>
      </w:pPr>
    </w:p>
    <w:bookmarkStart w:id="82" w:name="page83"/>
    <w:bookmarkEnd w:id="8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INVESTMENT ADMINISTRATION,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Sales Agreement –Raymond James]</w:t>
      </w:r>
    </w:p>
    <w:p>
      <w:pPr>
        <w:sectPr>
          <w:pgSz w:w="11900" w:h="16838" w:orient="portrait"/>
          <w:cols w:equalWidth="0" w:num="1">
            <w:col w:w="10960"/>
          </w:cols>
          <w:pgMar w:left="320" w:top="270" w:right="6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Larry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Larry Herman</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[Signature Page to Sales Agreement –Raymond James]</w:t>
      </w:r>
    </w:p>
    <w:p>
      <w:pPr>
        <w:sectPr>
          <w:pgSz w:w="11900" w:h="16838" w:orient="portrait"/>
          <w:cols w:equalWidth="0" w:num="1">
            <w:col w:w="10139"/>
          </w:cols>
          <w:pgMar w:left="320" w:top="270" w:right="1440" w:bottom="1440" w:gutter="0" w:footer="0" w:header="0"/>
        </w:sectPr>
      </w:pPr>
    </w:p>
    <w:bookmarkStart w:id="84" w:name="page85"/>
    <w:bookmarkEnd w:id="84"/>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LLC</w:t>
      </w:r>
    </w:p>
    <w:p>
      <w:pPr>
        <w:sectPr>
          <w:pgSz w:w="11900" w:h="16838" w:orient="portrait"/>
          <w:cols w:equalWidth="0" w:num="1">
            <w:col w:w="10139"/>
          </w:cols>
          <w:pgMar w:left="320" w:top="266" w:right="1440" w:bottom="1440" w:gutter="0" w:footer="0" w:header="0"/>
        </w:sectPr>
      </w:pPr>
    </w:p>
    <w:bookmarkStart w:id="85" w:name="page86"/>
    <w:bookmarkEnd w:id="85"/>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Allorto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Agent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Fordham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Jeanna Bryan</w:t>
      </w:r>
    </w:p>
    <w:p>
      <w:pPr>
        <w:sectPr>
          <w:pgSz w:w="11900" w:h="16838" w:orient="portrait"/>
          <w:cols w:equalWidth="0" w:num="1">
            <w:col w:w="10139"/>
          </w:cols>
          <w:pgMar w:left="320" w:top="266"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PENNANTPARK FLOATING RATE CAPITAL LTD.</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Dated: July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196" w:lineRule="auto"/>
        <w:rPr>
          <w:sz w:val="20"/>
          <w:szCs w:val="20"/>
          <w:color w:val="auto"/>
        </w:rPr>
      </w:pPr>
      <w:r>
        <w:rPr>
          <w:rFonts w:ascii="Times New Roman" w:cs="Times New Roman" w:eastAsia="Times New Roman" w:hAnsi="Times New Roman"/>
          <w:sz w:val="18"/>
          <w:szCs w:val="18"/>
          <w:color w:val="auto"/>
        </w:rPr>
        <w:t>3333 Peachtree Road, NE,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Truist Securities, Inc. (the “Sales Agent”) with respect to the sale by the Company of shares of common stock, par value $0.001 per share, of the Company (“Common Stock”), having an aggregate offering price of up to $500 million. The shares of Common Stock to be sold by the Sales Agent are herein called, collectively, the “Securities.” The Company, the Adviser and the Administrator have also entered into agreements (collectively the “Sales Agreement”) in substantially similar form to this Equity Distribution Agreement (this “Agreement”), dated of even date herewith, with Citizens JMP Securities, LLC and Raymond James &amp; Associates, Inc. (each, an “Other Agent”). The aggregate amount of Securities that may be sold collectively pursuant to this Agreement and the Sales Agreement shall not exceed the lesser of $500 million and the dollar amount of Securities permitted to be sold under the Registration Statement (as defined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“Commission”) a shelf registration statement on Form N-2 (File</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No. 333-279726), relating to the registration of the Securities and certain of the Company’s other securities under the Securities Act of 1933, as amended (the “1933 Act”), which registration statement was declared effective by the Commission on July 17, 2024. The Company has also filed with the Commission a prospectus supplement, dated the date hereof, as such prospectus supplement may be amended (the “Prospectus”), which contains a base prospectus, dated July 17, 2024,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w:t>
      </w:r>
    </w:p>
    <w:p>
      <w:pPr>
        <w:sectPr>
          <w:pgSz w:w="11900" w:h="16838" w:orient="portrait"/>
          <w:cols w:equalWidth="0" w:num="1">
            <w:col w:w="11180"/>
          </w:cols>
          <w:pgMar w:left="320" w:top="270" w:right="399" w:bottom="1440" w:gutter="0" w:footer="0" w:header="0"/>
        </w:sectPr>
      </w:pPr>
    </w:p>
    <w:bookmarkStart w:id="88" w:name="page89"/>
    <w:bookmarkEnd w:id="8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Filed Pursuant to Section 54(a) of the Investment Company Act (File No. 814-00891)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has entered into that certain Third Amended and Restated Investment Advisory Agreement, dated as of May 20, 2024 (the “Investment Management Agreement”), with the Adviser. The Company has entered into that certain Administration Agreement, dated as of May 20, 2024 (the “Administration Agreement”), with the Administrator.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“Applicable Time” means the time of each sale of the applicable Securities pursuant to this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20" w:firstLine="1019"/>
        <w:spacing w:after="0" w:line="261" w:lineRule="auto"/>
        <w:tabs>
          <w:tab w:leader="none" w:pos="1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Company</w:t>
      </w:r>
      <w:r>
        <w:rPr>
          <w:rFonts w:ascii="Times New Roman" w:cs="Times New Roman" w:eastAsia="Times New Roman" w:hAnsi="Times New Roman"/>
          <w:sz w:val="18"/>
          <w:szCs w:val="18"/>
          <w:color w:val="auto"/>
        </w:rPr>
        <w:t>. The Company represents and warrants to the Sales Agent as of the date hereof,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73" w:lineRule="exact"/>
        <w:rPr>
          <w:rFonts w:ascii="Times New Roman" w:cs="Times New Roman" w:eastAsia="Times New Roman" w:hAnsi="Times New Roman"/>
          <w:sz w:val="18"/>
          <w:szCs w:val="18"/>
          <w:color w:val="auto"/>
        </w:rPr>
      </w:pPr>
    </w:p>
    <w:p>
      <w:pPr>
        <w:ind w:left="460" w:right="160" w:firstLine="967"/>
        <w:spacing w:after="0" w:line="256" w:lineRule="auto"/>
        <w:tabs>
          <w:tab w:leader="none" w:pos="164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270" w:right="399" w:bottom="1440" w:gutter="0" w:footer="0" w:header="0"/>
        </w:sectPr>
      </w:pPr>
    </w:p>
    <w:bookmarkStart w:id="89" w:name="page90"/>
    <w:bookmarkEnd w:id="8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Registration Statement and any post-effective amendment thereto, at the time it became effective, complied in all material respects with the requirements of the 1933 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firstLine="967"/>
        <w:spacing w:after="0" w:line="253" w:lineRule="auto"/>
        <w:tabs>
          <w:tab w:leader="none" w:pos="123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 (iii) 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86" w:lineRule="exact"/>
        <w:rPr>
          <w:rFonts w:ascii="Times New Roman" w:cs="Times New Roman" w:eastAsia="Times New Roman" w:hAnsi="Times New Roman"/>
          <w:sz w:val="18"/>
          <w:szCs w:val="18"/>
          <w:color w:val="auto"/>
        </w:rPr>
      </w:pPr>
    </w:p>
    <w:p>
      <w:pPr>
        <w:ind w:right="400" w:firstLine="967"/>
        <w:spacing w:after="0" w:line="266" w:lineRule="auto"/>
        <w:tabs>
          <w:tab w:leader="none" w:pos="1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67" w:lineRule="exact"/>
        <w:rPr>
          <w:rFonts w:ascii="Times New Roman" w:cs="Times New Roman" w:eastAsia="Times New Roman" w:hAnsi="Times New Roman"/>
          <w:sz w:val="18"/>
          <w:szCs w:val="18"/>
          <w:color w:val="auto"/>
        </w:rPr>
      </w:pPr>
    </w:p>
    <w:p>
      <w:pPr>
        <w:ind w:firstLine="967"/>
        <w:spacing w:after="0" w:line="256" w:lineRule="auto"/>
        <w:tabs>
          <w:tab w:leader="none" w:pos="12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80"/>
          </w:cols>
          <w:pgMar w:left="780" w:top="270" w:right="339" w:bottom="1440" w:gutter="0" w:footer="0" w:header="0"/>
        </w:sectPr>
      </w:pPr>
    </w:p>
    <w:bookmarkStart w:id="90" w:name="page91"/>
    <w:bookmarkEnd w:id="90"/>
    <w:p>
      <w:pPr>
        <w:ind w:right="240" w:firstLine="967"/>
        <w:spacing w:after="0" w:line="258" w:lineRule="auto"/>
        <w:tabs>
          <w:tab w:leader="none" w:pos="12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5" w:lineRule="exact"/>
        <w:rPr>
          <w:rFonts w:ascii="Times New Roman" w:cs="Times New Roman" w:eastAsia="Times New Roman" w:hAnsi="Times New Roman"/>
          <w:sz w:val="18"/>
          <w:szCs w:val="18"/>
          <w:color w:val="auto"/>
        </w:rPr>
      </w:pPr>
    </w:p>
    <w:p>
      <w:pPr>
        <w:ind w:right="160" w:firstLine="967"/>
        <w:spacing w:after="0" w:line="261" w:lineRule="auto"/>
        <w:tabs>
          <w:tab w:leader="none" w:pos="12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 of the Company</w:t>
      </w:r>
      <w:r>
        <w:rPr>
          <w:rFonts w:ascii="Times New Roman" w:cs="Times New Roman" w:eastAsia="Times New Roman" w:hAnsi="Times New Roman"/>
          <w:sz w:val="18"/>
          <w:szCs w:val="18"/>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1" w:lineRule="exact"/>
        <w:rPr>
          <w:rFonts w:ascii="Times New Roman" w:cs="Times New Roman" w:eastAsia="Times New Roman" w:hAnsi="Times New Roman"/>
          <w:sz w:val="18"/>
          <w:szCs w:val="18"/>
          <w:color w:val="auto"/>
        </w:rPr>
      </w:pPr>
    </w:p>
    <w:p>
      <w:pPr>
        <w:ind w:firstLine="967"/>
        <w:spacing w:after="0" w:line="269" w:lineRule="auto"/>
        <w:tabs>
          <w:tab w:leader="none" w:pos="132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70" w:lineRule="exact"/>
        <w:rPr>
          <w:rFonts w:ascii="Times New Roman" w:cs="Times New Roman" w:eastAsia="Times New Roman" w:hAnsi="Times New Roman"/>
          <w:sz w:val="17"/>
          <w:szCs w:val="17"/>
          <w:color w:val="auto"/>
        </w:rPr>
      </w:pPr>
    </w:p>
    <w:p>
      <w:pPr>
        <w:ind w:right="40" w:firstLine="967"/>
        <w:spacing w:after="0" w:line="261" w:lineRule="auto"/>
        <w:tabs>
          <w:tab w:leader="none" w:pos="13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780" w:top="270" w:right="339" w:bottom="1440" w:gutter="0" w:footer="0" w:header="0"/>
        </w:sectPr>
      </w:pPr>
    </w:p>
    <w:bookmarkStart w:id="91" w:name="page92"/>
    <w:bookmarkEnd w:id="91"/>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68" w:lineRule="exact"/>
        <w:rPr>
          <w:sz w:val="20"/>
          <w:szCs w:val="20"/>
          <w:color w:val="auto"/>
        </w:rPr>
      </w:pPr>
    </w:p>
    <w:p>
      <w:pPr>
        <w:ind w:right="20" w:firstLine="967"/>
        <w:spacing w:after="0" w:line="255" w:lineRule="auto"/>
        <w:tabs>
          <w:tab w:leader="none" w:pos="12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80" w:lineRule="exact"/>
        <w:rPr>
          <w:rFonts w:ascii="Times New Roman" w:cs="Times New Roman" w:eastAsia="Times New Roman" w:hAnsi="Times New Roman"/>
          <w:sz w:val="18"/>
          <w:szCs w:val="18"/>
          <w:color w:val="auto"/>
        </w:rPr>
      </w:pPr>
    </w:p>
    <w:p>
      <w:pPr>
        <w:ind w:firstLine="967"/>
        <w:spacing w:after="0" w:line="252" w:lineRule="auto"/>
        <w:tabs>
          <w:tab w:leader="none" w:pos="122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of the Company; Portfolio Companies</w:t>
      </w:r>
      <w:r>
        <w:rPr>
          <w:rFonts w:ascii="Times New Roman" w:cs="Times New Roman" w:eastAsia="Times New Roman" w:hAnsi="Times New Roman"/>
          <w:sz w:val="18"/>
          <w:szCs w:val="18"/>
          <w:color w:val="auto"/>
        </w:rPr>
        <w:t xml:space="preserve">. The Company’s only subsidiaries that were consolidated with the Company for financial reporting purposes under GAAP as of March 31, 2024 are those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780" w:top="270" w:right="339" w:bottom="1440" w:gutter="0" w:footer="0" w:header="0"/>
        </w:sectPr>
      </w:pPr>
    </w:p>
    <w:bookmarkStart w:id="92" w:name="page93"/>
    <w:bookmarkEnd w:id="92"/>
    <w:p>
      <w:pPr>
        <w:ind w:right="100" w:firstLine="967"/>
        <w:spacing w:after="0" w:line="255" w:lineRule="auto"/>
        <w:tabs>
          <w:tab w:leader="none" w:pos="12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authorized shares of capital stock of the Company are as set forth in the Registration Statement and the Prospectus under the caption “Description of Our Capital Stock.” The total issued and outstanding shares of capital stock of the Company as of March 31, 2024 are as set forth in the Prospectus Supplement under the caption “The Offering.”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80"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967"/>
        <w:spacing w:after="0" w:line="255" w:lineRule="auto"/>
        <w:tabs>
          <w:tab w:leader="none" w:pos="13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Description of Securities</w:t>
      </w:r>
      <w:r>
        <w:rPr>
          <w:rFonts w:ascii="Times New Roman" w:cs="Times New Roman" w:eastAsia="Times New Roman" w:hAnsi="Times New Roman"/>
          <w:sz w:val="18"/>
          <w:szCs w:val="18"/>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80" w:lineRule="exact"/>
        <w:rPr>
          <w:rFonts w:ascii="Times New Roman" w:cs="Times New Roman" w:eastAsia="Times New Roman" w:hAnsi="Times New Roman"/>
          <w:sz w:val="18"/>
          <w:szCs w:val="18"/>
          <w:color w:val="auto"/>
        </w:rPr>
      </w:pPr>
    </w:p>
    <w:p>
      <w:pPr>
        <w:ind w:right="140" w:firstLine="967"/>
        <w:spacing w:after="0" w:line="312" w:lineRule="auto"/>
        <w:tabs>
          <w:tab w:leader="none" w:pos="136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31" w:lineRule="exact"/>
        <w:rPr>
          <w:rFonts w:ascii="Times New Roman" w:cs="Times New Roman" w:eastAsia="Times New Roman" w:hAnsi="Times New Roman"/>
          <w:sz w:val="17"/>
          <w:szCs w:val="17"/>
          <w:color w:val="auto"/>
        </w:rPr>
      </w:pPr>
    </w:p>
    <w:p>
      <w:pPr>
        <w:ind w:right="80" w:firstLine="967"/>
        <w:spacing w:after="0" w:line="254"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780" w:top="270" w:right="399" w:bottom="1440" w:gutter="0" w:footer="0" w:header="0"/>
        </w:sectPr>
      </w:pPr>
    </w:p>
    <w:bookmarkStart w:id="93" w:name="page94"/>
    <w:bookmarkEnd w:id="93"/>
    <w:p>
      <w:pPr>
        <w:ind w:firstLine="967"/>
        <w:spacing w:after="0" w:line="252" w:lineRule="auto"/>
        <w:tabs>
          <w:tab w:leader="none" w:pos="13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89" w:lineRule="exact"/>
        <w:rPr>
          <w:rFonts w:ascii="Times New Roman" w:cs="Times New Roman" w:eastAsia="Times New Roman" w:hAnsi="Times New Roman"/>
          <w:sz w:val="18"/>
          <w:szCs w:val="18"/>
          <w:color w:val="auto"/>
        </w:rPr>
      </w:pPr>
    </w:p>
    <w:p>
      <w:pPr>
        <w:ind w:left="1420" w:hanging="453"/>
        <w:spacing w:after="0"/>
        <w:tabs>
          <w:tab w:leader="none" w:pos="14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Neither the Company nor any of the Subsidiaries has any employees.</w:t>
      </w:r>
    </w:p>
    <w:p>
      <w:pPr>
        <w:spacing w:after="0" w:line="117" w:lineRule="exact"/>
        <w:rPr>
          <w:rFonts w:ascii="Times New Roman" w:cs="Times New Roman" w:eastAsia="Times New Roman" w:hAnsi="Times New Roman"/>
          <w:sz w:val="18"/>
          <w:szCs w:val="18"/>
          <w:color w:val="auto"/>
        </w:rPr>
      </w:pPr>
    </w:p>
    <w:p>
      <w:pPr>
        <w:ind w:right="20" w:firstLine="967"/>
        <w:spacing w:after="0" w:line="256" w:lineRule="auto"/>
        <w:tabs>
          <w:tab w:leader="none" w:pos="14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performance by the Company of its obligations hereunder or thereunder.</w:t>
      </w:r>
    </w:p>
    <w:p>
      <w:pPr>
        <w:spacing w:after="0" w:line="79" w:lineRule="exact"/>
        <w:rPr>
          <w:rFonts w:ascii="Times New Roman" w:cs="Times New Roman" w:eastAsia="Times New Roman" w:hAnsi="Times New Roman"/>
          <w:sz w:val="18"/>
          <w:szCs w:val="18"/>
          <w:color w:val="auto"/>
        </w:rPr>
      </w:pPr>
    </w:p>
    <w:p>
      <w:pPr>
        <w:ind w:right="40" w:firstLine="967"/>
        <w:spacing w:after="0" w:line="282" w:lineRule="auto"/>
        <w:tabs>
          <w:tab w:leader="none" w:pos="13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780" w:top="270" w:right="339" w:bottom="1440" w:gutter="0" w:footer="0" w:header="0"/>
        </w:sectPr>
      </w:pPr>
    </w:p>
    <w:bookmarkStart w:id="94" w:name="page95"/>
    <w:bookmarkEnd w:id="94"/>
    <w:p>
      <w:pPr>
        <w:ind w:right="20" w:firstLine="967"/>
        <w:spacing w:after="0" w:line="254"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80" w:lineRule="exact"/>
        <w:rPr>
          <w:rFonts w:ascii="Times New Roman" w:cs="Times New Roman" w:eastAsia="Times New Roman" w:hAnsi="Times New Roman"/>
          <w:sz w:val="18"/>
          <w:szCs w:val="18"/>
          <w:color w:val="auto"/>
        </w:rPr>
      </w:pPr>
    </w:p>
    <w:p>
      <w:pPr>
        <w:ind w:right="20" w:firstLine="967"/>
        <w:spacing w:after="0" w:line="271" w:lineRule="auto"/>
        <w:tabs>
          <w:tab w:leader="none" w:pos="136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65" w:lineRule="exact"/>
        <w:rPr>
          <w:rFonts w:ascii="Times New Roman" w:cs="Times New Roman" w:eastAsia="Times New Roman" w:hAnsi="Times New Roman"/>
          <w:sz w:val="17"/>
          <w:szCs w:val="17"/>
          <w:color w:val="auto"/>
        </w:rPr>
      </w:pPr>
    </w:p>
    <w:p>
      <w:pPr>
        <w:ind w:firstLine="967"/>
        <w:spacing w:after="0" w:line="256" w:lineRule="auto"/>
        <w:tabs>
          <w:tab w:leader="none" w:pos="14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9" w:lineRule="exact"/>
        <w:rPr>
          <w:rFonts w:ascii="Times New Roman" w:cs="Times New Roman" w:eastAsia="Times New Roman" w:hAnsi="Times New Roman"/>
          <w:sz w:val="18"/>
          <w:szCs w:val="18"/>
          <w:color w:val="auto"/>
        </w:rPr>
      </w:pPr>
    </w:p>
    <w:p>
      <w:pPr>
        <w:ind w:right="60" w:firstLine="967"/>
        <w:spacing w:after="0" w:line="258" w:lineRule="auto"/>
        <w:tabs>
          <w:tab w:leader="none" w:pos="14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780" w:top="270" w:right="359" w:bottom="1440" w:gutter="0" w:footer="0" w:header="0"/>
        </w:sectPr>
      </w:pPr>
    </w:p>
    <w:bookmarkStart w:id="95" w:name="page96"/>
    <w:bookmarkEnd w:id="9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75" w:lineRule="exact"/>
        <w:rPr>
          <w:sz w:val="20"/>
          <w:szCs w:val="20"/>
          <w:color w:val="auto"/>
        </w:rPr>
      </w:pPr>
    </w:p>
    <w:p>
      <w:pPr>
        <w:ind w:right="120" w:firstLine="967"/>
        <w:spacing w:after="0" w:line="253" w:lineRule="auto"/>
        <w:tabs>
          <w:tab w:leader="none" w:pos="14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81" w:lineRule="exact"/>
        <w:rPr>
          <w:rFonts w:ascii="Times New Roman" w:cs="Times New Roman" w:eastAsia="Times New Roman" w:hAnsi="Times New Roman"/>
          <w:sz w:val="18"/>
          <w:szCs w:val="18"/>
          <w:color w:val="auto"/>
        </w:rPr>
      </w:pPr>
    </w:p>
    <w:p>
      <w:pPr>
        <w:ind w:firstLine="967"/>
        <w:spacing w:after="0" w:line="253" w:lineRule="auto"/>
        <w:tabs>
          <w:tab w:leader="none" w:pos="14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2023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780" w:top="270" w:right="339" w:bottom="1440" w:gutter="0" w:footer="0" w:header="0"/>
        </w:sectPr>
      </w:pPr>
    </w:p>
    <w:bookmarkStart w:id="96" w:name="page97"/>
    <w:bookmarkEnd w:id="96"/>
    <w:p>
      <w:pPr>
        <w:ind w:right="20" w:firstLine="967"/>
        <w:spacing w:after="0" w:line="258" w:lineRule="auto"/>
        <w:tabs>
          <w:tab w:leader="none" w:pos="14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firstLine="967"/>
        <w:spacing w:after="0" w:line="266" w:lineRule="auto"/>
        <w:tabs>
          <w:tab w:leader="none" w:pos="15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67" w:lineRule="exact"/>
        <w:rPr>
          <w:rFonts w:ascii="Times New Roman" w:cs="Times New Roman" w:eastAsia="Times New Roman" w:hAnsi="Times New Roman"/>
          <w:sz w:val="18"/>
          <w:szCs w:val="18"/>
          <w:color w:val="auto"/>
        </w:rPr>
      </w:pPr>
    </w:p>
    <w:p>
      <w:pPr>
        <w:jc w:val="both"/>
        <w:ind w:right="100" w:firstLine="967"/>
        <w:spacing w:after="0" w:line="266" w:lineRule="auto"/>
        <w:tabs>
          <w:tab w:leader="none" w:pos="15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67" w:lineRule="exact"/>
        <w:rPr>
          <w:rFonts w:ascii="Times New Roman" w:cs="Times New Roman" w:eastAsia="Times New Roman" w:hAnsi="Times New Roman"/>
          <w:sz w:val="18"/>
          <w:szCs w:val="18"/>
          <w:color w:val="auto"/>
        </w:rPr>
      </w:pPr>
    </w:p>
    <w:p>
      <w:pPr>
        <w:ind w:right="20" w:firstLine="967"/>
        <w:spacing w:after="0" w:line="271" w:lineRule="auto"/>
        <w:tabs>
          <w:tab w:leader="none" w:pos="145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 Act</w:t>
      </w:r>
      <w:r>
        <w:rPr>
          <w:rFonts w:ascii="Times New Roman" w:cs="Times New Roman" w:eastAsia="Times New Roman" w:hAnsi="Times New Roman"/>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65" w:lineRule="exact"/>
        <w:rPr>
          <w:rFonts w:ascii="Times New Roman" w:cs="Times New Roman" w:eastAsia="Times New Roman" w:hAnsi="Times New Roman"/>
          <w:sz w:val="17"/>
          <w:szCs w:val="17"/>
          <w:color w:val="auto"/>
        </w:rPr>
      </w:pPr>
    </w:p>
    <w:p>
      <w:pPr>
        <w:ind w:right="120" w:firstLine="967"/>
        <w:spacing w:after="0" w:line="266" w:lineRule="auto"/>
        <w:tabs>
          <w:tab w:leader="none" w:pos="14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780" w:top="270" w:right="339" w:bottom="1440" w:gutter="0" w:footer="0" w:header="0"/>
        </w:sectPr>
      </w:pPr>
    </w:p>
    <w:bookmarkStart w:id="97" w:name="page98"/>
    <w:bookmarkEnd w:id="97"/>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72" w:lineRule="exact"/>
        <w:rPr>
          <w:sz w:val="20"/>
          <w:szCs w:val="20"/>
          <w:color w:val="auto"/>
        </w:rPr>
      </w:pPr>
    </w:p>
    <w:p>
      <w:pPr>
        <w:ind w:firstLine="967"/>
        <w:spacing w:after="0" w:line="254" w:lineRule="auto"/>
        <w:tabs>
          <w:tab w:leader="none" w:pos="14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His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83" w:lineRule="exact"/>
        <w:rPr>
          <w:rFonts w:ascii="Times New Roman" w:cs="Times New Roman" w:eastAsia="Times New Roman" w:hAnsi="Times New Roman"/>
          <w:sz w:val="18"/>
          <w:szCs w:val="18"/>
          <w:color w:val="auto"/>
        </w:rPr>
      </w:pPr>
    </w:p>
    <w:p>
      <w:pPr>
        <w:ind w:right="20" w:firstLine="967"/>
        <w:spacing w:after="0" w:line="266" w:lineRule="auto"/>
        <w:tabs>
          <w:tab w:leader="none" w:pos="15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67" w:lineRule="exact"/>
        <w:rPr>
          <w:rFonts w:ascii="Times New Roman" w:cs="Times New Roman" w:eastAsia="Times New Roman" w:hAnsi="Times New Roman"/>
          <w:sz w:val="18"/>
          <w:szCs w:val="18"/>
          <w:color w:val="auto"/>
        </w:rPr>
      </w:pPr>
    </w:p>
    <w:p>
      <w:pPr>
        <w:ind w:right="400" w:firstLine="967"/>
        <w:spacing w:after="0" w:line="266" w:lineRule="auto"/>
        <w:tabs>
          <w:tab w:leader="none" w:pos="15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jc w:val="both"/>
        <w:ind w:right="40" w:firstLine="967"/>
        <w:spacing w:after="0" w:line="312" w:lineRule="auto"/>
        <w:tabs>
          <w:tab w:leader="none" w:pos="154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31" w:lineRule="exact"/>
        <w:rPr>
          <w:rFonts w:ascii="Times New Roman" w:cs="Times New Roman" w:eastAsia="Times New Roman" w:hAnsi="Times New Roman"/>
          <w:sz w:val="17"/>
          <w:szCs w:val="17"/>
          <w:color w:val="auto"/>
        </w:rPr>
      </w:pPr>
    </w:p>
    <w:p>
      <w:pPr>
        <w:ind w:right="40" w:firstLine="967"/>
        <w:spacing w:after="0" w:line="261" w:lineRule="auto"/>
        <w:tabs>
          <w:tab w:leader="none" w:pos="14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w:t>
      </w:r>
      <w:r>
        <w:rPr>
          <w:rFonts w:ascii="Times New Roman" w:cs="Times New Roman" w:eastAsia="Times New Roman" w:hAnsi="Times New Roman"/>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780" w:top="270" w:right="399" w:bottom="1440" w:gutter="0" w:footer="0" w:header="0"/>
        </w:sectPr>
      </w:pPr>
    </w:p>
    <w:bookmarkStart w:id="98" w:name="page99"/>
    <w:bookmarkEnd w:id="98"/>
    <w:p>
      <w:pPr>
        <w:ind w:right="80" w:firstLine="967"/>
        <w:spacing w:after="0" w:line="253" w:lineRule="auto"/>
        <w:tabs>
          <w:tab w:leader="none" w:pos="15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Management Agreement and Administration Agreement</w:t>
      </w:r>
      <w:r>
        <w:rPr>
          <w:rFonts w:ascii="Times New Roman" w:cs="Times New Roman" w:eastAsia="Times New Roman" w:hAnsi="Times New Roman"/>
          <w:sz w:val="18"/>
          <w:szCs w:val="18"/>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6" w:lineRule="exact"/>
        <w:rPr>
          <w:rFonts w:ascii="Times New Roman" w:cs="Times New Roman" w:eastAsia="Times New Roman" w:hAnsi="Times New Roman"/>
          <w:sz w:val="18"/>
          <w:szCs w:val="18"/>
          <w:color w:val="auto"/>
        </w:rPr>
      </w:pPr>
    </w:p>
    <w:p>
      <w:pPr>
        <w:ind w:right="100" w:firstLine="967"/>
        <w:spacing w:after="0" w:line="261" w:lineRule="auto"/>
        <w:tabs>
          <w:tab w:leader="none" w:pos="15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Interested Persons</w:t>
      </w:r>
      <w:r>
        <w:rPr>
          <w:rFonts w:ascii="Times New Roman" w:cs="Times New Roman" w:eastAsia="Times New Roman" w:hAnsi="Times New Roman"/>
          <w:sz w:val="18"/>
          <w:szCs w:val="18"/>
          <w:color w:val="auto"/>
        </w:rPr>
        <w:t>. Except as disclosed in the Registration Statement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the Sales Agent.</w:t>
      </w:r>
    </w:p>
    <w:p>
      <w:pPr>
        <w:spacing w:after="0" w:line="71" w:lineRule="exact"/>
        <w:rPr>
          <w:rFonts w:ascii="Times New Roman" w:cs="Times New Roman" w:eastAsia="Times New Roman" w:hAnsi="Times New Roman"/>
          <w:sz w:val="18"/>
          <w:szCs w:val="18"/>
          <w:color w:val="auto"/>
        </w:rPr>
      </w:pPr>
    </w:p>
    <w:p>
      <w:pPr>
        <w:ind w:firstLine="967"/>
        <w:spacing w:after="0" w:line="256" w:lineRule="auto"/>
        <w:tabs>
          <w:tab w:leader="none" w:pos="16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Development Company</w:t>
      </w:r>
      <w:r>
        <w:rPr>
          <w:rFonts w:ascii="Times New Roman" w:cs="Times New Roman" w:eastAsia="Times New Roman" w:hAnsi="Times New Roman"/>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79" w:lineRule="exact"/>
        <w:rPr>
          <w:rFonts w:ascii="Times New Roman" w:cs="Times New Roman" w:eastAsia="Times New Roman" w:hAnsi="Times New Roman"/>
          <w:sz w:val="18"/>
          <w:szCs w:val="18"/>
          <w:color w:val="auto"/>
        </w:rPr>
      </w:pPr>
    </w:p>
    <w:p>
      <w:pPr>
        <w:ind w:right="160" w:firstLine="967"/>
        <w:spacing w:after="0" w:line="266" w:lineRule="auto"/>
        <w:tabs>
          <w:tab w:leader="none" w:pos="154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Extension of Credit</w:t>
      </w:r>
      <w:r>
        <w:rPr>
          <w:rFonts w:ascii="Times New Roman" w:cs="Times New Roman" w:eastAsia="Times New Roman" w:hAnsi="Times New Roman"/>
          <w:sz w:val="18"/>
          <w:szCs w:val="18"/>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68" w:lineRule="exact"/>
        <w:rPr>
          <w:sz w:val="20"/>
          <w:szCs w:val="20"/>
          <w:color w:val="auto"/>
        </w:rPr>
      </w:pPr>
    </w:p>
    <w:p>
      <w:pPr>
        <w:ind w:right="60" w:firstLine="970"/>
        <w:spacing w:after="0" w:line="261"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780" w:top="270" w:right="339" w:bottom="1440" w:gutter="0" w:footer="0" w:header="0"/>
        </w:sectPr>
      </w:pPr>
    </w:p>
    <w:bookmarkStart w:id="99" w:name="page100"/>
    <w:bookmarkEnd w:id="99"/>
    <w:p>
      <w:pPr>
        <w:ind w:left="440" w:right="60" w:firstLine="97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(xli)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70" w:lineRule="exact"/>
        <w:rPr>
          <w:sz w:val="20"/>
          <w:szCs w:val="20"/>
          <w:color w:val="auto"/>
        </w:rPr>
      </w:pPr>
    </w:p>
    <w:p>
      <w:pPr>
        <w:ind w:left="440" w:firstLine="970"/>
        <w:spacing w:after="0" w:line="267"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w:t>
      </w:r>
    </w:p>
    <w:p>
      <w:pPr>
        <w:spacing w:after="0" w:line="67" w:lineRule="exact"/>
        <w:rPr>
          <w:sz w:val="20"/>
          <w:szCs w:val="20"/>
          <w:color w:val="auto"/>
        </w:rPr>
      </w:pPr>
    </w:p>
    <w:p>
      <w:pPr>
        <w:ind w:left="440" w:right="20" w:firstLine="970"/>
        <w:spacing w:after="0" w:line="252"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95" w:lineRule="exact"/>
        <w:rPr>
          <w:sz w:val="20"/>
          <w:szCs w:val="20"/>
          <w:color w:val="auto"/>
        </w:rPr>
      </w:pPr>
    </w:p>
    <w:p>
      <w:pPr>
        <w:ind w:left="-20" w:right="60" w:firstLine="1019"/>
        <w:spacing w:after="0" w:line="267" w:lineRule="auto"/>
        <w:tabs>
          <w:tab w:leader="none" w:pos="1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Adviser and the Administrator</w:t>
      </w:r>
      <w:r>
        <w:rPr>
          <w:rFonts w:ascii="Times New Roman" w:cs="Times New Roman" w:eastAsia="Times New Roman" w:hAnsi="Times New Roman"/>
          <w:sz w:val="18"/>
          <w:szCs w:val="18"/>
          <w:color w:val="auto"/>
        </w:rPr>
        <w:t>. The Adviser and the Administrator, jointly and severally,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Sales Agent as of the date hereof, the Applicable Time, each Representation Date (as defined below) and any Date of Delivery (as defined below), and agrees with the Sales Agent, as follows:</w:t>
      </w:r>
    </w:p>
    <w:p>
      <w:pPr>
        <w:spacing w:after="0" w:line="67" w:lineRule="exact"/>
        <w:rPr>
          <w:rFonts w:ascii="Times New Roman" w:cs="Times New Roman" w:eastAsia="Times New Roman" w:hAnsi="Times New Roman"/>
          <w:sz w:val="18"/>
          <w:szCs w:val="18"/>
          <w:color w:val="auto"/>
        </w:rPr>
      </w:pPr>
    </w:p>
    <w:p>
      <w:pPr>
        <w:ind w:left="440" w:right="220" w:firstLine="967"/>
        <w:spacing w:after="0" w:line="256" w:lineRule="auto"/>
        <w:tabs>
          <w:tab w:leader="none" w:pos="162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40" w:top="270" w:right="339" w:bottom="1440" w:gutter="0" w:footer="0" w:header="0"/>
        </w:sectPr>
      </w:pPr>
    </w:p>
    <w:bookmarkStart w:id="100" w:name="page101"/>
    <w:bookmarkEnd w:id="100"/>
    <w:p>
      <w:pPr>
        <w:ind w:firstLine="967"/>
        <w:spacing w:after="0" w:line="255" w:lineRule="auto"/>
        <w:tabs>
          <w:tab w:leader="none" w:pos="123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80" w:lineRule="exact"/>
        <w:rPr>
          <w:rFonts w:ascii="Times New Roman" w:cs="Times New Roman" w:eastAsia="Times New Roman" w:hAnsi="Times New Roman"/>
          <w:sz w:val="18"/>
          <w:szCs w:val="18"/>
          <w:color w:val="auto"/>
        </w:rPr>
      </w:pPr>
    </w:p>
    <w:p>
      <w:pPr>
        <w:ind w:right="20" w:firstLine="967"/>
        <w:spacing w:after="0" w:line="281" w:lineRule="auto"/>
        <w:tabs>
          <w:tab w:leader="none" w:pos="1285"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Under Advisers Act</w:t>
      </w:r>
      <w:r>
        <w:rPr>
          <w:rFonts w:ascii="Times New Roman" w:cs="Times New Roman" w:eastAsia="Times New Roman" w:hAnsi="Times New Roman"/>
          <w:sz w:val="17"/>
          <w:szCs w:val="17"/>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56" w:lineRule="exact"/>
        <w:rPr>
          <w:rFonts w:ascii="Times New Roman" w:cs="Times New Roman" w:eastAsia="Times New Roman" w:hAnsi="Times New Roman"/>
          <w:sz w:val="17"/>
          <w:szCs w:val="17"/>
          <w:color w:val="auto"/>
        </w:rPr>
      </w:pPr>
    </w:p>
    <w:p>
      <w:pPr>
        <w:ind w:firstLine="967"/>
        <w:spacing w:after="0" w:line="254" w:lineRule="auto"/>
        <w:tabs>
          <w:tab w:leader="none" w:pos="12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w:t>
      </w:r>
    </w:p>
    <w:p>
      <w:pPr>
        <w:spacing w:after="0" w:line="83" w:lineRule="exact"/>
        <w:rPr>
          <w:rFonts w:ascii="Times New Roman" w:cs="Times New Roman" w:eastAsia="Times New Roman" w:hAnsi="Times New Roman"/>
          <w:sz w:val="18"/>
          <w:szCs w:val="18"/>
          <w:color w:val="auto"/>
        </w:rPr>
      </w:pPr>
    </w:p>
    <w:p>
      <w:pPr>
        <w:ind w:right="280" w:firstLine="967"/>
        <w:spacing w:after="0" w:line="261" w:lineRule="auto"/>
        <w:tabs>
          <w:tab w:leader="none" w:pos="12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780" w:top="270" w:right="339" w:bottom="1440" w:gutter="0" w:footer="0" w:header="0"/>
        </w:sectPr>
      </w:pPr>
    </w:p>
    <w:bookmarkStart w:id="101" w:name="page102"/>
    <w:bookmarkEnd w:id="10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75" w:lineRule="exact"/>
        <w:rPr>
          <w:sz w:val="20"/>
          <w:szCs w:val="20"/>
          <w:color w:val="auto"/>
        </w:rPr>
      </w:pPr>
    </w:p>
    <w:p>
      <w:pPr>
        <w:ind w:firstLine="967"/>
        <w:spacing w:after="0" w:line="252" w:lineRule="auto"/>
        <w:tabs>
          <w:tab w:leader="none" w:pos="12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87"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each of the Adviser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98" w:lineRule="exact"/>
        <w:rPr>
          <w:rFonts w:ascii="Times New Roman" w:cs="Times New Roman" w:eastAsia="Times New Roman" w:hAnsi="Times New Roman"/>
          <w:sz w:val="18"/>
          <w:szCs w:val="18"/>
          <w:color w:val="auto"/>
        </w:rPr>
      </w:pPr>
    </w:p>
    <w:p>
      <w:pPr>
        <w:ind w:firstLine="967"/>
        <w:spacing w:after="0" w:line="258" w:lineRule="auto"/>
        <w:tabs>
          <w:tab w:leader="none" w:pos="13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 and Administration Agreement</w:t>
      </w:r>
      <w:r>
        <w:rPr>
          <w:rFonts w:ascii="Times New Roman" w:cs="Times New Roman" w:eastAsia="Times New Roman" w:hAnsi="Times New Roman"/>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780" w:top="270" w:right="359" w:bottom="1440" w:gutter="0" w:footer="0" w:header="0"/>
        </w:sectPr>
      </w:pPr>
    </w:p>
    <w:bookmarkStart w:id="102" w:name="page103"/>
    <w:bookmarkEnd w:id="102"/>
    <w:p>
      <w:pPr>
        <w:ind w:right="40" w:firstLine="967"/>
        <w:spacing w:after="0" w:line="254" w:lineRule="auto"/>
        <w:tabs>
          <w:tab w:leader="none" w:pos="127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83" w:lineRule="exact"/>
        <w:rPr>
          <w:rFonts w:ascii="Times New Roman" w:cs="Times New Roman" w:eastAsia="Times New Roman" w:hAnsi="Times New Roman"/>
          <w:sz w:val="18"/>
          <w:szCs w:val="18"/>
          <w:color w:val="auto"/>
        </w:rPr>
      </w:pPr>
    </w:p>
    <w:p>
      <w:pPr>
        <w:ind w:right="120" w:firstLine="967"/>
        <w:spacing w:after="0" w:line="266" w:lineRule="auto"/>
        <w:tabs>
          <w:tab w:leader="none" w:pos="122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Adviser and Administrator</w:t>
      </w:r>
      <w:r>
        <w:rPr>
          <w:rFonts w:ascii="Times New Roman" w:cs="Times New Roman" w:eastAsia="Times New Roman" w:hAnsi="Times New Roman"/>
          <w:sz w:val="18"/>
          <w:szCs w:val="18"/>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jc w:val="both"/>
        <w:ind w:right="160" w:firstLine="967"/>
        <w:spacing w:after="0" w:line="272" w:lineRule="auto"/>
        <w:tabs>
          <w:tab w:leader="none" w:pos="127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Possession of Licenses and Permits</w:t>
      </w:r>
      <w:r>
        <w:rPr>
          <w:rFonts w:ascii="Times New Roman" w:cs="Times New Roman" w:eastAsia="Times New Roman" w:hAnsi="Times New Roman"/>
          <w:sz w:val="17"/>
          <w:szCs w:val="17"/>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w:t>
      </w:r>
    </w:p>
    <w:p>
      <w:pPr>
        <w:spacing w:after="0" w:line="1" w:lineRule="exact"/>
        <w:rPr>
          <w:rFonts w:ascii="Times New Roman" w:cs="Times New Roman" w:eastAsia="Times New Roman" w:hAnsi="Times New Roman"/>
          <w:sz w:val="17"/>
          <w:szCs w:val="17"/>
          <w:color w:val="auto"/>
        </w:rPr>
      </w:pPr>
    </w:p>
    <w:p>
      <w:pPr>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80" w:lineRule="exact"/>
        <w:rPr>
          <w:rFonts w:ascii="Times New Roman" w:cs="Times New Roman" w:eastAsia="Times New Roman" w:hAnsi="Times New Roman"/>
          <w:sz w:val="17"/>
          <w:szCs w:val="17"/>
          <w:color w:val="auto"/>
        </w:rPr>
      </w:pPr>
    </w:p>
    <w:p>
      <w:pPr>
        <w:ind w:right="60" w:firstLine="967"/>
        <w:spacing w:after="0" w:line="289" w:lineRule="auto"/>
        <w:tabs>
          <w:tab w:leader="none" w:pos="132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Stabilization and Manipulation</w:t>
      </w:r>
      <w:r>
        <w:rPr>
          <w:rFonts w:ascii="Times New Roman" w:cs="Times New Roman" w:eastAsia="Times New Roman" w:hAnsi="Times New Roman"/>
          <w:sz w:val="17"/>
          <w:szCs w:val="17"/>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780" w:top="270" w:right="399" w:bottom="1440" w:gutter="0" w:footer="0" w:header="0"/>
        </w:sectPr>
      </w:pPr>
    </w:p>
    <w:bookmarkStart w:id="103" w:name="page104"/>
    <w:bookmarkEnd w:id="103"/>
    <w:p>
      <w:pPr>
        <w:ind w:right="20" w:firstLine="967"/>
        <w:spacing w:after="0" w:line="254" w:lineRule="auto"/>
        <w:tabs>
          <w:tab w:leader="none" w:pos="137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Corrupt Practices Act</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 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80" w:lineRule="exact"/>
        <w:rPr>
          <w:rFonts w:ascii="Times New Roman" w:cs="Times New Roman" w:eastAsia="Times New Roman" w:hAnsi="Times New Roman"/>
          <w:sz w:val="18"/>
          <w:szCs w:val="18"/>
          <w:color w:val="auto"/>
        </w:rPr>
      </w:pPr>
    </w:p>
    <w:p>
      <w:pPr>
        <w:ind w:right="180" w:firstLine="967"/>
        <w:spacing w:after="0" w:line="277" w:lineRule="auto"/>
        <w:tabs>
          <w:tab w:leader="none" w:pos="136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Anti-Money Laundering Laws</w:t>
      </w:r>
      <w:r>
        <w:rPr>
          <w:rFonts w:ascii="Times New Roman" w:cs="Times New Roman" w:eastAsia="Times New Roman" w:hAnsi="Times New Roman"/>
          <w:sz w:val="17"/>
          <w:szCs w:val="17"/>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59" w:lineRule="exact"/>
        <w:rPr>
          <w:rFonts w:ascii="Times New Roman" w:cs="Times New Roman" w:eastAsia="Times New Roman" w:hAnsi="Times New Roman"/>
          <w:sz w:val="17"/>
          <w:szCs w:val="17"/>
          <w:color w:val="auto"/>
        </w:rPr>
      </w:pPr>
    </w:p>
    <w:p>
      <w:pPr>
        <w:ind w:firstLine="967"/>
        <w:spacing w:after="0" w:line="255" w:lineRule="auto"/>
        <w:tabs>
          <w:tab w:leader="none" w:pos="1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Belarus, Cuba, Iran, North Korea, Russia, Syria and Crimea, Donetsk and Luhansk regions of Ukraine).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80" w:lineRule="exact"/>
        <w:rPr>
          <w:rFonts w:ascii="Times New Roman" w:cs="Times New Roman" w:eastAsia="Times New Roman" w:hAnsi="Times New Roman"/>
          <w:sz w:val="18"/>
          <w:szCs w:val="18"/>
          <w:color w:val="auto"/>
        </w:rPr>
      </w:pPr>
    </w:p>
    <w:p>
      <w:pPr>
        <w:ind w:right="200" w:firstLine="967"/>
        <w:spacing w:after="0" w:line="258" w:lineRule="auto"/>
        <w:tabs>
          <w:tab w:leader="none" w:pos="136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780" w:top="270" w:right="359" w:bottom="1440" w:gutter="0" w:footer="0" w:header="0"/>
        </w:sectPr>
      </w:pPr>
    </w:p>
    <w:bookmarkStart w:id="104" w:name="page105"/>
    <w:bookmarkEnd w:id="104"/>
    <w:p>
      <w:pPr>
        <w:ind w:left="420" w:right="80" w:firstLine="967"/>
        <w:spacing w:after="0" w:line="258" w:lineRule="auto"/>
        <w:tabs>
          <w:tab w:leader="none" w:pos="183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Labor Disputes</w:t>
      </w:r>
      <w:r>
        <w:rPr>
          <w:rFonts w:ascii="Times New Roman" w:cs="Times New Roman" w:eastAsia="Times New Roman" w:hAnsi="Times New Roman"/>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75" w:lineRule="exact"/>
        <w:rPr>
          <w:rFonts w:ascii="Times New Roman" w:cs="Times New Roman" w:eastAsia="Times New Roman" w:hAnsi="Times New Roman"/>
          <w:sz w:val="18"/>
          <w:szCs w:val="18"/>
          <w:color w:val="auto"/>
        </w:rPr>
      </w:pPr>
    </w:p>
    <w:p>
      <w:pPr>
        <w:ind w:left="420" w:firstLine="967"/>
        <w:spacing w:after="0" w:line="254" w:lineRule="auto"/>
        <w:tabs>
          <w:tab w:leader="none" w:pos="18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83" w:lineRule="exact"/>
        <w:rPr>
          <w:rFonts w:ascii="Times New Roman" w:cs="Times New Roman" w:eastAsia="Times New Roman" w:hAnsi="Times New Roman"/>
          <w:sz w:val="18"/>
          <w:szCs w:val="18"/>
          <w:color w:val="auto"/>
        </w:rPr>
      </w:pPr>
    </w:p>
    <w:p>
      <w:pPr>
        <w:ind w:left="420" w:right="540" w:firstLine="967"/>
        <w:spacing w:after="0" w:line="266" w:lineRule="auto"/>
        <w:tabs>
          <w:tab w:leader="none" w:pos="17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74" w:lineRule="exact"/>
        <w:rPr>
          <w:sz w:val="20"/>
          <w:szCs w:val="20"/>
          <w:color w:val="auto"/>
        </w:rPr>
      </w:pPr>
    </w:p>
    <w:p>
      <w:pPr>
        <w:ind w:left="-40" w:right="320" w:firstLine="1019"/>
        <w:spacing w:after="0" w:line="267" w:lineRule="auto"/>
        <w:tabs>
          <w:tab w:leader="none" w:pos="12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 Any certificate signed by any officer of the Company, any of the Subsidiaries, the Adviser or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the Sales Agent or to counsel for the Sales Agent shall be deemed a representation and warranty by the Company, the Adviser or the Administrator, as applicable, to the Sales Agent as to the matters covered thereby.</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140" w:firstLine="1019"/>
        <w:spacing w:after="0" w:line="266" w:lineRule="auto"/>
        <w:tabs>
          <w:tab w:leader="none" w:pos="12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67" w:lineRule="exact"/>
        <w:rPr>
          <w:rFonts w:ascii="Times New Roman" w:cs="Times New Roman" w:eastAsia="Times New Roman" w:hAnsi="Times New Roman"/>
          <w:sz w:val="18"/>
          <w:szCs w:val="18"/>
          <w:color w:val="auto"/>
        </w:rPr>
      </w:pPr>
    </w:p>
    <w:p>
      <w:pPr>
        <w:jc w:val="both"/>
        <w:ind w:left="420" w:right="20" w:firstLine="967"/>
        <w:spacing w:after="0" w:line="261" w:lineRule="auto"/>
        <w:tabs>
          <w:tab w:leader="none" w:pos="160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that the Company wishes to sell Securities on any day that is a trading day for the New York Stock Exchange (a “Trading Day”) (other than a Trading Day on which the New York Stock Exchange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60" w:top="270" w:right="379" w:bottom="1440" w:gutter="0" w:footer="0" w:header="0"/>
        </w:sectPr>
      </w:pPr>
    </w:p>
    <w:bookmarkStart w:id="105" w:name="page106"/>
    <w:bookmarkEnd w:id="105"/>
    <w:p>
      <w:pPr>
        <w:ind w:left="3"/>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Times New Roman" w:cs="Times New Roman" w:eastAsia="Times New Roman" w:hAnsi="Times New Roman"/>
          <w:sz w:val="17"/>
          <w:szCs w:val="17"/>
          <w:u w:val="single" w:color="auto"/>
          <w:color w:val="auto"/>
        </w:rPr>
        <w:t>Section 2(a)(ii)</w:t>
      </w:r>
      <w:r>
        <w:rPr>
          <w:rFonts w:ascii="Times New Roman" w:cs="Times New Roman" w:eastAsia="Times New Roman" w:hAnsi="Times New Roman"/>
          <w:sz w:val="17"/>
          <w:szCs w:val="17"/>
          <w:color w:val="auto"/>
        </w:rPr>
        <w:t xml:space="preserve"> hereof, the Company or the Sales Agent suspends or terminates the Placement Notice, (iii) the Company issues a subsequent Placement Notice with parameters superseding those on the earlier dated Placement Notice, or (iv) this Agreement has been terminated under the provisions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New York Stock Exchange that qualify for delivery of a Prospectus to the New York Stock Exchange in accordance with Rule 153 under the 1933 Act or (B) directly on or through an electronic communication network, a “dark pool” or any similar market venue (the transactions described in</w:t>
      </w:r>
    </w:p>
    <w:p>
      <w:pPr>
        <w:spacing w:after="0" w:line="8" w:lineRule="exact"/>
        <w:rPr>
          <w:sz w:val="20"/>
          <w:szCs w:val="20"/>
          <w:color w:val="auto"/>
        </w:rPr>
      </w:pPr>
    </w:p>
    <w:p>
      <w:pPr>
        <w:ind w:left="3" w:right="100" w:hanging="3"/>
        <w:spacing w:after="0" w:line="260" w:lineRule="auto"/>
        <w:tabs>
          <w:tab w:leader="none" w:pos="29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are hereinafter referred to as “At the Market Offerings”). In the event of a conflict between the terms of this Agreement and the terms of any Placement Notice, the terms of such Placement Notice will control.</w:t>
      </w:r>
    </w:p>
    <w:p>
      <w:pPr>
        <w:spacing w:after="0" w:line="73" w:lineRule="exact"/>
        <w:rPr>
          <w:rFonts w:ascii="Times New Roman" w:cs="Times New Roman" w:eastAsia="Times New Roman" w:hAnsi="Times New Roman"/>
          <w:sz w:val="18"/>
          <w:szCs w:val="18"/>
          <w:color w:val="auto"/>
        </w:rPr>
      </w:pPr>
    </w:p>
    <w:p>
      <w:pPr>
        <w:ind w:left="3" w:right="20" w:firstLine="967"/>
        <w:spacing w:after="0" w:line="256" w:lineRule="auto"/>
        <w:tabs>
          <w:tab w:leader="none" w:pos="123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79" w:lineRule="exact"/>
        <w:rPr>
          <w:rFonts w:ascii="Times New Roman" w:cs="Times New Roman" w:eastAsia="Times New Roman" w:hAnsi="Times New Roman"/>
          <w:sz w:val="18"/>
          <w:szCs w:val="18"/>
          <w:color w:val="auto"/>
        </w:rPr>
      </w:pPr>
    </w:p>
    <w:p>
      <w:pPr>
        <w:ind w:left="3" w:right="140" w:firstLine="967"/>
        <w:spacing w:after="0" w:line="266" w:lineRule="auto"/>
        <w:tabs>
          <w:tab w:leader="none" w:pos="128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hereby covenants and agrees not to make any sales of the Securities on behalf of the Company,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other than (A) by means of At the Market Offerings and (B) such other sales of the Securities on behalf of the Company in its capacity as agent of the Company as shall be agreed by the Company and the Sales Agent.</w:t>
      </w:r>
    </w:p>
    <w:p>
      <w:pPr>
        <w:spacing w:after="0" w:line="108"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3"/>
          </w:cols>
          <w:pgMar w:left="777" w:top="270" w:right="339" w:bottom="1440" w:gutter="0" w:footer="0" w:header="0"/>
        </w:sectPr>
      </w:pPr>
    </w:p>
    <w:bookmarkStart w:id="106" w:name="page107"/>
    <w:bookmarkEnd w:id="106"/>
    <w:p>
      <w:pPr>
        <w:ind w:left="3" w:right="20" w:firstLine="967"/>
        <w:spacing w:after="0" w:line="254" w:lineRule="auto"/>
        <w:tabs>
          <w:tab w:leader="none" w:pos="127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gross sales price of any Securities sold pursuant to this Agreement by the Sales Agent, as an agent of the Company, shall be the market price prevailing at the time of sale for Securities sold by the Sales Agent on the New York Stock Exchange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 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80" w:lineRule="exact"/>
        <w:rPr>
          <w:rFonts w:ascii="Times New Roman" w:cs="Times New Roman" w:eastAsia="Times New Roman" w:hAnsi="Times New Roman"/>
          <w:sz w:val="18"/>
          <w:szCs w:val="18"/>
          <w:color w:val="auto"/>
        </w:rPr>
      </w:pPr>
    </w:p>
    <w:p>
      <w:pPr>
        <w:ind w:left="3" w:firstLine="967"/>
        <w:spacing w:after="0" w:line="261" w:lineRule="auto"/>
        <w:tabs>
          <w:tab w:leader="none" w:pos="122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Sales Agent shall provide written confirmation to the Company as soon as practicable following the close of trading on the New York Stock Exchange each day on which the Securities are sold under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setting forth the aggregate amount of the Securities sold on such day, the aggregate Net Proceeds to the Company, and the aggregate compensation payable by the Company to the Sales Agent with respect to such sales.</w:t>
      </w:r>
    </w:p>
    <w:p>
      <w:pPr>
        <w:spacing w:after="0" w:line="71" w:lineRule="exact"/>
        <w:rPr>
          <w:rFonts w:ascii="Times New Roman" w:cs="Times New Roman" w:eastAsia="Times New Roman" w:hAnsi="Times New Roman"/>
          <w:sz w:val="18"/>
          <w:szCs w:val="18"/>
          <w:color w:val="auto"/>
        </w:rPr>
      </w:pPr>
    </w:p>
    <w:p>
      <w:pPr>
        <w:ind w:left="3" w:right="20" w:firstLine="967"/>
        <w:spacing w:after="0" w:line="252" w:lineRule="auto"/>
        <w:tabs>
          <w:tab w:leader="none" w:pos="127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for sales of the Securities pursuant to this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will occur on the first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w:t>
      </w:r>
    </w:p>
    <w:p>
      <w:pPr>
        <w:spacing w:after="0" w:line="3"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and hold the Sales Agent harmless against any loss, claim or damage arising from or as a result of such default by the Company and</w:t>
      </w:r>
    </w:p>
    <w:p>
      <w:pPr>
        <w:spacing w:after="0" w:line="9" w:lineRule="exact"/>
        <w:rPr>
          <w:rFonts w:ascii="Times New Roman" w:cs="Times New Roman" w:eastAsia="Times New Roman" w:hAnsi="Times New Roman"/>
          <w:sz w:val="18"/>
          <w:szCs w:val="18"/>
          <w:color w:val="auto"/>
        </w:rPr>
      </w:pPr>
    </w:p>
    <w:p>
      <w:pPr>
        <w:ind w:left="3" w:hanging="3"/>
        <w:spacing w:after="0" w:line="255" w:lineRule="auto"/>
        <w:tabs>
          <w:tab w:leader="none" w:pos="28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3"/>
          </w:cols>
          <w:pgMar w:left="777" w:top="270" w:right="339" w:bottom="1440" w:gutter="0" w:footer="0" w:header="0"/>
        </w:sectPr>
      </w:pPr>
    </w:p>
    <w:bookmarkStart w:id="107" w:name="page108"/>
    <w:bookmarkEnd w:id="107"/>
    <w:p>
      <w:pPr>
        <w:ind w:left="460" w:firstLine="967"/>
        <w:spacing w:after="0" w:line="261" w:lineRule="auto"/>
        <w:tabs>
          <w:tab w:leader="none" w:pos="178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w:t>
      </w:r>
    </w:p>
    <w:p>
      <w:pPr>
        <w:spacing w:after="0" w:line="179" w:lineRule="exact"/>
        <w:rPr>
          <w:rFonts w:ascii="Times New Roman" w:cs="Times New Roman" w:eastAsia="Times New Roman" w:hAnsi="Times New Roman"/>
          <w:sz w:val="18"/>
          <w:szCs w:val="18"/>
          <w:color w:val="auto"/>
        </w:rPr>
      </w:pPr>
    </w:p>
    <w:p>
      <w:pPr>
        <w:ind w:right="60" w:firstLine="1019"/>
        <w:spacing w:after="0" w:line="255" w:lineRule="auto"/>
        <w:tabs>
          <w:tab w:leader="none" w:pos="126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wishes to sell the Securities other than as set forth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of this Agreement, it may elect, in its sole discretion, to notify the Sales Agent of the proposed terms of such sale. If the Sales Agent, acting as principal, wishes to accept such proposed 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w:t>
      </w:r>
    </w:p>
    <w:p>
      <w:pPr>
        <w:spacing w:after="0" w:line="188"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engages the Sales Agent for a sale of Securities that would constitute the sale of a “block” under</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1" w:lineRule="exact"/>
        <w:rPr>
          <w:sz w:val="20"/>
          <w:szCs w:val="20"/>
          <w:color w:val="auto"/>
        </w:rPr>
      </w:pPr>
    </w:p>
    <w:p>
      <w:pPr>
        <w:ind w:right="20" w:firstLine="1019"/>
        <w:spacing w:after="0" w:line="266" w:lineRule="auto"/>
        <w:tabs>
          <w:tab w:leader="none" w:pos="126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75" w:lineRule="exact"/>
        <w:rPr>
          <w:rFonts w:ascii="Times New Roman" w:cs="Times New Roman" w:eastAsia="Times New Roman" w:hAnsi="Times New Roman"/>
          <w:sz w:val="18"/>
          <w:szCs w:val="18"/>
          <w:color w:val="auto"/>
        </w:rPr>
      </w:pPr>
    </w:p>
    <w:p>
      <w:pPr>
        <w:ind w:right="240" w:firstLine="1019"/>
        <w:spacing w:after="0" w:line="258" w:lineRule="auto"/>
        <w:tabs>
          <w:tab w:leader="none" w:pos="1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83" w:lineRule="exact"/>
        <w:rPr>
          <w:rFonts w:ascii="Times New Roman" w:cs="Times New Roman" w:eastAsia="Times New Roman" w:hAnsi="Times New Roman"/>
          <w:sz w:val="18"/>
          <w:szCs w:val="18"/>
          <w:color w:val="auto"/>
        </w:rPr>
      </w:pPr>
    </w:p>
    <w:p>
      <w:pPr>
        <w:jc w:val="both"/>
        <w:ind w:right="40" w:firstLine="1019"/>
        <w:spacing w:after="0" w:line="289" w:lineRule="auto"/>
        <w:tabs>
          <w:tab w:leader="none" w:pos="1236"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270" w:right="339" w:bottom="1440" w:gutter="0" w:footer="0" w:header="0"/>
        </w:sectPr>
      </w:pPr>
    </w:p>
    <w:bookmarkStart w:id="108" w:name="page109"/>
    <w:bookmarkEnd w:id="108"/>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any other information or documents required by the Sales Agent.</w:t>
      </w:r>
    </w:p>
    <w:p>
      <w:pPr>
        <w:spacing w:after="0" w:line="187" w:lineRule="exact"/>
        <w:rPr>
          <w:sz w:val="20"/>
          <w:szCs w:val="20"/>
          <w:color w:val="auto"/>
        </w:rPr>
      </w:pPr>
    </w:p>
    <w:p>
      <w:pPr>
        <w:ind w:right="240" w:firstLine="1019"/>
        <w:spacing w:after="0" w:line="261" w:lineRule="auto"/>
        <w:tabs>
          <w:tab w:leader="none" w:pos="12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further limitations on offers and sales of Securities or delivery of instructions to offer and sell Securities as are set forth herein and as may be mutually agreed upon by the Company and the Sales Agent offers and sales of Securities pursuant to this Agreement shall not be requested by the Company and need not be made by the Sales Agent at any time when or during any period in which the Company is in possession of material non-public information.</w:t>
      </w:r>
    </w:p>
    <w:p>
      <w:pPr>
        <w:spacing w:after="0" w:line="179" w:lineRule="exact"/>
        <w:rPr>
          <w:rFonts w:ascii="Times New Roman" w:cs="Times New Roman" w:eastAsia="Times New Roman" w:hAnsi="Times New Roman"/>
          <w:sz w:val="18"/>
          <w:szCs w:val="18"/>
          <w:color w:val="auto"/>
        </w:rPr>
      </w:pPr>
    </w:p>
    <w:p>
      <w:pPr>
        <w:ind w:firstLine="1019"/>
        <w:spacing w:after="0" w:line="254" w:lineRule="auto"/>
        <w:tabs>
          <w:tab w:leader="none" w:pos="126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rFonts w:ascii="Times New Roman" w:cs="Times New Roman" w:eastAsia="Times New Roman" w:hAnsi="Times New Roman"/>
          <w:sz w:val="18"/>
          <w:szCs w:val="18"/>
          <w:color w:val="auto"/>
        </w:rPr>
      </w:pPr>
    </w:p>
    <w:p>
      <w:pPr>
        <w:ind w:right="20" w:firstLine="1019"/>
        <w:spacing w:after="0" w:line="255" w:lineRule="auto"/>
        <w:tabs>
          <w:tab w:leader="none" w:pos="122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any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270" w:right="339" w:bottom="1440" w:gutter="0" w:footer="0" w:header="0"/>
        </w:sectPr>
      </w:pPr>
    </w:p>
    <w:bookmarkStart w:id="109" w:name="page110"/>
    <w:bookmarkEnd w:id="10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with the Sales Agent as follows:</w:t>
      </w:r>
    </w:p>
    <w:p>
      <w:pPr>
        <w:spacing w:after="0" w:line="223" w:lineRule="exact"/>
        <w:rPr>
          <w:sz w:val="20"/>
          <w:szCs w:val="20"/>
          <w:color w:val="auto"/>
        </w:rPr>
      </w:pPr>
    </w:p>
    <w:p>
      <w:pPr>
        <w:ind w:left="-20" w:firstLine="1019"/>
        <w:spacing w:after="0" w:line="253" w:lineRule="auto"/>
        <w:tabs>
          <w:tab w:leader="none" w:pos="123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Securities Regulations and Commission Requests</w:t>
      </w:r>
      <w:r>
        <w:rPr>
          <w:rFonts w:ascii="Times New Roman" w:cs="Times New Roman" w:eastAsia="Times New Roman" w:hAnsi="Times New Roman"/>
          <w:sz w:val="18"/>
          <w:szCs w:val="18"/>
          <w:color w:val="auto"/>
        </w:rPr>
        <w:t>. The Company,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Rule 415, Rule 430B, Rule 497 and Rule 424(b), and will notify the Sales Agent immediately,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 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87" w:lineRule="exact"/>
        <w:rPr>
          <w:rFonts w:ascii="Times New Roman" w:cs="Times New Roman" w:eastAsia="Times New Roman" w:hAnsi="Times New Roman"/>
          <w:sz w:val="18"/>
          <w:szCs w:val="18"/>
          <w:color w:val="auto"/>
        </w:rPr>
      </w:pPr>
    </w:p>
    <w:p>
      <w:pPr>
        <w:ind w:left="-20" w:firstLine="1019"/>
        <w:spacing w:after="0" w:line="256" w:lineRule="auto"/>
        <w:tabs>
          <w:tab w:leader="none" w:pos="12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w:t>
      </w:r>
      <w:r>
        <w:rPr>
          <w:rFonts w:ascii="Times New Roman" w:cs="Times New Roman" w:eastAsia="Times New Roman" w:hAnsi="Times New Roman"/>
          <w:sz w:val="18"/>
          <w:szCs w:val="18"/>
          <w:color w:val="auto"/>
        </w:rPr>
        <w:t>. The Company will give the Sales Agent notice of its intention to file or prepare any amendment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82" w:lineRule="exact"/>
        <w:rPr>
          <w:rFonts w:ascii="Times New Roman" w:cs="Times New Roman" w:eastAsia="Times New Roman" w:hAnsi="Times New Roman"/>
          <w:sz w:val="18"/>
          <w:szCs w:val="18"/>
          <w:color w:val="auto"/>
        </w:rPr>
      </w:pPr>
    </w:p>
    <w:p>
      <w:pPr>
        <w:ind w:left="-20" w:firstLine="1019"/>
        <w:spacing w:after="0" w:line="254" w:lineRule="auto"/>
        <w:tabs>
          <w:tab w:leader="none" w:pos="123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The Company will use its commercially reasonable efforts to comply with the 1933 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00"/>
          </w:cols>
          <w:pgMar w:left="340" w:top="270" w:right="359" w:bottom="1440" w:gutter="0" w:footer="0" w:header="0"/>
        </w:sectPr>
      </w:pPr>
    </w:p>
    <w:bookmarkStart w:id="110" w:name="page111"/>
    <w:bookmarkEnd w:id="1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190" w:lineRule="exact"/>
        <w:rPr>
          <w:sz w:val="20"/>
          <w:szCs w:val="20"/>
          <w:color w:val="auto"/>
        </w:rPr>
      </w:pPr>
    </w:p>
    <w:p>
      <w:pPr>
        <w:ind w:right="60" w:firstLine="1019"/>
        <w:spacing w:after="0" w:line="257" w:lineRule="auto"/>
        <w:tabs>
          <w:tab w:leader="none" w:pos="12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Commission Filings</w:t>
      </w:r>
      <w:r>
        <w:rPr>
          <w:rFonts w:ascii="Times New Roman" w:cs="Times New Roman" w:eastAsia="Times New Roman" w:hAnsi="Times New Roman"/>
          <w:sz w:val="18"/>
          <w:szCs w:val="18"/>
          <w:color w:val="auto"/>
        </w:rPr>
        <w:t>. The Company has furnished or, upon written request of the Sales Agent, shall deliver to the Sales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counsel for the Sales Agent, 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w:t>
      </w:r>
    </w:p>
    <w:p>
      <w:pPr>
        <w:spacing w:after="0" w:line="182" w:lineRule="exact"/>
        <w:rPr>
          <w:rFonts w:ascii="Times New Roman" w:cs="Times New Roman" w:eastAsia="Times New Roman" w:hAnsi="Times New Roman"/>
          <w:sz w:val="18"/>
          <w:szCs w:val="18"/>
          <w:color w:val="auto"/>
        </w:rPr>
      </w:pPr>
    </w:p>
    <w:p>
      <w:pPr>
        <w:ind w:right="160" w:firstLine="1019"/>
        <w:spacing w:after="0" w:line="261" w:lineRule="auto"/>
        <w:tabs>
          <w:tab w:leader="none" w:pos="1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Prospectuses</w:t>
      </w:r>
      <w:r>
        <w:rPr>
          <w:rFonts w:ascii="Times New Roman" w:cs="Times New Roman" w:eastAsia="Times New Roman" w:hAnsi="Times New Roman"/>
          <w:sz w:val="18"/>
          <w:szCs w:val="18"/>
          <w:color w:val="auto"/>
        </w:rPr>
        <w:t>. The Company will furnish to the Sales Agent, without charge, during the period when a prospectus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79" w:lineRule="exact"/>
        <w:rPr>
          <w:rFonts w:ascii="Times New Roman" w:cs="Times New Roman" w:eastAsia="Times New Roman" w:hAnsi="Times New Roman"/>
          <w:sz w:val="18"/>
          <w:szCs w:val="18"/>
          <w:color w:val="auto"/>
        </w:rPr>
      </w:pPr>
    </w:p>
    <w:p>
      <w:pPr>
        <w:ind w:right="60" w:firstLine="1019"/>
        <w:spacing w:after="0" w:line="257" w:lineRule="auto"/>
        <w:tabs>
          <w:tab w:leader="none" w:pos="12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use its commercially reasonable efforts, in cooperation with the Sales Agent, to qualify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2" w:lineRule="exact"/>
        <w:rPr>
          <w:rFonts w:ascii="Times New Roman" w:cs="Times New Roman" w:eastAsia="Times New Roman" w:hAnsi="Times New Roman"/>
          <w:sz w:val="18"/>
          <w:szCs w:val="18"/>
          <w:color w:val="auto"/>
        </w:rPr>
      </w:pPr>
    </w:p>
    <w:p>
      <w:pPr>
        <w:ind w:firstLine="1019"/>
        <w:spacing w:after="0" w:line="261" w:lineRule="auto"/>
        <w:tabs>
          <w:tab w:leader="none" w:pos="12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The Company will make generally available to its securityholders as soon as practicable an earnings statement that satisfies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270" w:right="359" w:bottom="1440" w:gutter="0" w:footer="0" w:header="0"/>
        </w:sectPr>
      </w:pPr>
    </w:p>
    <w:bookmarkStart w:id="111" w:name="page112"/>
    <w:bookmarkEnd w:id="111"/>
    <w:p>
      <w:pPr>
        <w:ind w:left="-20" w:right="520" w:firstLine="1019"/>
        <w:spacing w:after="0" w:line="284" w:lineRule="auto"/>
        <w:tabs>
          <w:tab w:leader="none" w:pos="124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Listing</w:t>
      </w:r>
      <w:r>
        <w:rPr>
          <w:rFonts w:ascii="Times New Roman" w:cs="Times New Roman" w:eastAsia="Times New Roman" w:hAnsi="Times New Roman"/>
          <w:sz w:val="18"/>
          <w:szCs w:val="18"/>
          <w:color w:val="auto"/>
        </w:rPr>
        <w:t>. The Company will use its commercially reasonable best efforts to maintain the listing of the Common Stock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on the New York Stock Exchange.</w:t>
      </w:r>
    </w:p>
    <w:p>
      <w:pPr>
        <w:spacing w:after="0" w:line="158" w:lineRule="exact"/>
        <w:rPr>
          <w:rFonts w:ascii="Times New Roman" w:cs="Times New Roman" w:eastAsia="Times New Roman" w:hAnsi="Times New Roman"/>
          <w:sz w:val="18"/>
          <w:szCs w:val="18"/>
          <w:color w:val="auto"/>
        </w:rPr>
      </w:pPr>
    </w:p>
    <w:p>
      <w:pPr>
        <w:ind w:left="-20" w:right="60" w:firstLine="1019"/>
        <w:spacing w:after="0" w:line="284" w:lineRule="auto"/>
        <w:tabs>
          <w:tab w:leader="none" w:pos="120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cooperate with the Sales Agent and use its commercially reasonable efforts to permit the offered Securities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clearance and settlement through the facilities of DTC.</w:t>
      </w:r>
    </w:p>
    <w:p>
      <w:pPr>
        <w:spacing w:after="0" w:line="158" w:lineRule="exact"/>
        <w:rPr>
          <w:rFonts w:ascii="Times New Roman" w:cs="Times New Roman" w:eastAsia="Times New Roman" w:hAnsi="Times New Roman"/>
          <w:sz w:val="18"/>
          <w:szCs w:val="18"/>
          <w:color w:val="auto"/>
        </w:rPr>
      </w:pPr>
    </w:p>
    <w:p>
      <w:pPr>
        <w:ind w:left="-20" w:right="60" w:firstLine="1019"/>
        <w:spacing w:after="0" w:line="256" w:lineRule="auto"/>
        <w:tabs>
          <w:tab w:leader="none" w:pos="120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 OFAC</w:t>
      </w:r>
      <w:r>
        <w:rPr>
          <w:rFonts w:ascii="Times New Roman" w:cs="Times New Roman" w:eastAsia="Times New Roman" w:hAnsi="Times New Roman"/>
          <w:sz w:val="18"/>
          <w:szCs w:val="18"/>
          <w:color w:val="auto"/>
        </w:rPr>
        <w:t>. The Company will use the net proceeds received by it from the sale of the Securities in the manner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82" w:lineRule="exact"/>
        <w:rPr>
          <w:rFonts w:ascii="Times New Roman" w:cs="Times New Roman" w:eastAsia="Times New Roman" w:hAnsi="Times New Roman"/>
          <w:sz w:val="18"/>
          <w:szCs w:val="18"/>
          <w:color w:val="auto"/>
        </w:rPr>
      </w:pPr>
    </w:p>
    <w:p>
      <w:pPr>
        <w:jc w:val="both"/>
        <w:ind w:left="-20" w:right="200" w:firstLine="1019"/>
        <w:spacing w:after="0" w:line="267" w:lineRule="auto"/>
        <w:tabs>
          <w:tab w:leader="none" w:pos="124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The Company, during the period when a Prospectus relating to the Securities is required to be delivered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1933 Act, will file all documents required to be filed with the Commission pursuant to the 1934 Act within the time periods required by the 1934 Act and 1934 Act Regulations.</w:t>
      </w:r>
    </w:p>
    <w:p>
      <w:pPr>
        <w:spacing w:after="0" w:line="173" w:lineRule="exact"/>
        <w:rPr>
          <w:rFonts w:ascii="Times New Roman" w:cs="Times New Roman" w:eastAsia="Times New Roman" w:hAnsi="Times New Roman"/>
          <w:sz w:val="18"/>
          <w:szCs w:val="18"/>
          <w:color w:val="auto"/>
        </w:rPr>
      </w:pPr>
    </w:p>
    <w:p>
      <w:pPr>
        <w:ind w:left="-20" w:right="60" w:firstLine="1019"/>
        <w:spacing w:after="0" w:line="267" w:lineRule="auto"/>
        <w:tabs>
          <w:tab w:leader="none" w:pos="120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 Status</w:t>
      </w:r>
      <w:r>
        <w:rPr>
          <w:rFonts w:ascii="Times New Roman" w:cs="Times New Roman" w:eastAsia="Times New Roman" w:hAnsi="Times New Roman"/>
          <w:sz w:val="18"/>
          <w:szCs w:val="18"/>
          <w:color w:val="auto"/>
        </w:rPr>
        <w:t>. The Company will use its commercially reasonable efforts to maintain its status as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73" w:lineRule="exact"/>
        <w:rPr>
          <w:rFonts w:ascii="Times New Roman" w:cs="Times New Roman" w:eastAsia="Times New Roman" w:hAnsi="Times New Roman"/>
          <w:sz w:val="18"/>
          <w:szCs w:val="18"/>
          <w:color w:val="auto"/>
        </w:rPr>
      </w:pPr>
    </w:p>
    <w:p>
      <w:pPr>
        <w:ind w:left="-20" w:firstLine="1019"/>
        <w:spacing w:after="0" w:line="267" w:lineRule="auto"/>
        <w:tabs>
          <w:tab w:leader="none" w:pos="12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 Status</w:t>
      </w:r>
      <w:r>
        <w:rPr>
          <w:rFonts w:ascii="Times New Roman" w:cs="Times New Roman" w:eastAsia="Times New Roman" w:hAnsi="Times New Roman"/>
          <w:sz w:val="18"/>
          <w:szCs w:val="18"/>
          <w:color w:val="auto"/>
        </w:rPr>
        <w:t>. The Company will use its commercially reasonable efforts to maintain its qualification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investment company under Subchapter M of the Code for each full fiscal year during which it is a business development company under the 1940 Act.</w:t>
      </w:r>
    </w:p>
    <w:p>
      <w:pPr>
        <w:spacing w:after="0" w:line="173" w:lineRule="exact"/>
        <w:rPr>
          <w:rFonts w:ascii="Times New Roman" w:cs="Times New Roman" w:eastAsia="Times New Roman" w:hAnsi="Times New Roman"/>
          <w:sz w:val="18"/>
          <w:szCs w:val="18"/>
          <w:color w:val="auto"/>
        </w:rPr>
      </w:pPr>
    </w:p>
    <w:p>
      <w:pPr>
        <w:jc w:val="both"/>
        <w:ind w:left="-20" w:right="140" w:firstLine="1019"/>
        <w:spacing w:after="0" w:line="261" w:lineRule="auto"/>
        <w:tabs>
          <w:tab w:leader="none" w:pos="124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to (i) test procedures and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40" w:top="268" w:right="359" w:bottom="1440" w:gutter="0" w:footer="0" w:header="0"/>
        </w:sectPr>
      </w:pPr>
    </w:p>
    <w:bookmarkStart w:id="112" w:name="page113"/>
    <w:bookmarkEnd w:id="112"/>
    <w:p>
      <w:pPr>
        <w:ind w:left="-80" w:right="20" w:firstLine="1019"/>
        <w:spacing w:after="0" w:line="254" w:lineRule="auto"/>
        <w:tabs>
          <w:tab w:leader="none" w:pos="11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Accounting Controls</w:t>
      </w:r>
      <w:r>
        <w:rPr>
          <w:rFonts w:ascii="Times New Roman" w:cs="Times New Roman" w:eastAsia="Times New Roman" w:hAnsi="Times New Roman"/>
          <w:sz w:val="18"/>
          <w:szCs w:val="18"/>
          <w:color w:val="auto"/>
        </w:rPr>
        <w:t>. The Company will use commercially reasonable efforts to establish and maintain a system of internal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sufficient to provide reasonable assurances that (A) transactions are executed in accordance with management’s authorization; (B) 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 (E) 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85" w:lineRule="exact"/>
        <w:rPr>
          <w:rFonts w:ascii="Times New Roman" w:cs="Times New Roman" w:eastAsia="Times New Roman" w:hAnsi="Times New Roman"/>
          <w:sz w:val="18"/>
          <w:szCs w:val="18"/>
          <w:color w:val="auto"/>
        </w:rPr>
      </w:pPr>
    </w:p>
    <w:p>
      <w:pPr>
        <w:ind w:left="-80" w:right="80" w:firstLine="1019"/>
        <w:spacing w:after="0" w:line="258" w:lineRule="auto"/>
        <w:tabs>
          <w:tab w:leader="none" w:pos="11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will use commercially reasonable efforts to establish and employ disclosure controls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3" w:lineRule="exact"/>
        <w:rPr>
          <w:rFonts w:ascii="Times New Roman" w:cs="Times New Roman" w:eastAsia="Times New Roman" w:hAnsi="Times New Roman"/>
          <w:sz w:val="18"/>
          <w:szCs w:val="18"/>
          <w:color w:val="auto"/>
        </w:rPr>
      </w:pPr>
    </w:p>
    <w:p>
      <w:pPr>
        <w:ind w:left="-80" w:right="20" w:firstLine="1019"/>
        <w:spacing w:after="0" w:line="257" w:lineRule="auto"/>
        <w:tabs>
          <w:tab w:leader="none" w:pos="11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Sales Agent (i)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2" w:lineRule="exact"/>
        <w:rPr>
          <w:rFonts w:ascii="Times New Roman" w:cs="Times New Roman" w:eastAsia="Times New Roman" w:hAnsi="Times New Roman"/>
          <w:sz w:val="18"/>
          <w:szCs w:val="18"/>
          <w:color w:val="auto"/>
        </w:rPr>
      </w:pPr>
    </w:p>
    <w:p>
      <w:pPr>
        <w:ind w:left="-80" w:firstLine="1019"/>
        <w:spacing w:after="0" w:line="256" w:lineRule="auto"/>
        <w:tabs>
          <w:tab w:leader="none" w:pos="11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Diligence Matters. </w:t>
      </w:r>
      <w:r>
        <w:rPr>
          <w:rFonts w:ascii="Times New Roman" w:cs="Times New Roman" w:eastAsia="Times New Roman" w:hAnsi="Times New Roman"/>
          <w:sz w:val="18"/>
          <w:szCs w:val="18"/>
          <w:color w:val="auto"/>
        </w:rPr>
        <w:t>The Company will cooperate with any reasonable due diligence review conducted by the Sales Agent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400" w:top="268" w:right="399" w:bottom="1440" w:gutter="0" w:footer="0" w:header="0"/>
        </w:sectPr>
      </w:pPr>
    </w:p>
    <w:bookmarkStart w:id="113" w:name="page114"/>
    <w:bookmarkEnd w:id="113"/>
    <w:p>
      <w:pPr>
        <w:ind w:right="120" w:firstLine="1019"/>
        <w:spacing w:after="0" w:line="284" w:lineRule="auto"/>
        <w:tabs>
          <w:tab w:leader="none" w:pos="124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Stabilization. </w:t>
      </w:r>
      <w:r>
        <w:rPr>
          <w:rFonts w:ascii="Times New Roman" w:cs="Times New Roman" w:eastAsia="Times New Roman" w:hAnsi="Times New Roman"/>
          <w:sz w:val="18"/>
          <w:szCs w:val="18"/>
          <w:color w:val="auto"/>
        </w:rPr>
        <w:t>The Company will not take, directly or indirectly, any action designed to or that could reasonably be expected to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result in any stabilization or manipulation of the price of the Securities.</w:t>
      </w:r>
    </w:p>
    <w:p>
      <w:pPr>
        <w:spacing w:after="0" w:line="160" w:lineRule="exact"/>
        <w:rPr>
          <w:rFonts w:ascii="Times New Roman" w:cs="Times New Roman" w:eastAsia="Times New Roman" w:hAnsi="Times New Roman"/>
          <w:sz w:val="18"/>
          <w:szCs w:val="18"/>
          <w:color w:val="auto"/>
        </w:rPr>
      </w:pPr>
    </w:p>
    <w:p>
      <w:pPr>
        <w:ind w:right="140" w:firstLine="1019"/>
        <w:spacing w:after="0" w:line="261" w:lineRule="auto"/>
        <w:tabs>
          <w:tab w:leader="none" w:pos="122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any offer to sell, any solicitation of an offer to buy, or any sales of Securities pursuant to this Agreement, the Sales Agreement or any Terms Agreement shall only be effected by or through only one of Agent or any Other Agent, as applicable, at any given time as determined by the Company, but in no event by more than one of them, and the Company shall in no event request that more than one of Agent or any Other Agent sell Securities during such time period.</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 (iii) the delivery of Securities to the Sales Agent, including any stock or other transfer taxes and any stamp or other duties payable upon the sale or 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$50,000 in connection with the entry into this Agreement and the Sales Agreement and up to $10,000 per fiscal quarter during the term of this Agreement and the Sales Agreement, which amount shall include legal fees and expenses relating to the review by FINRA of the terms of the sale of the Securities, if applicable, and (x) the filing fees incident to the review by FINRA of the terms of the sale of the Securities, if any.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9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the Sales Agent’s Obligations</w:t>
      </w:r>
      <w:r>
        <w:rPr>
          <w:rFonts w:ascii="Times New Roman" w:cs="Times New Roman" w:eastAsia="Times New Roman" w:hAnsi="Times New Roman"/>
          <w:sz w:val="18"/>
          <w:szCs w:val="18"/>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268" w:right="419" w:bottom="1440" w:gutter="0" w:footer="0" w:header="0"/>
        </w:sectPr>
      </w:pPr>
    </w:p>
    <w:bookmarkStart w:id="114" w:name="page115"/>
    <w:bookmarkEnd w:id="114"/>
    <w:p>
      <w:pPr>
        <w:ind w:left="-40" w:firstLine="1019"/>
        <w:spacing w:after="0" w:line="258" w:lineRule="auto"/>
        <w:tabs>
          <w:tab w:leader="none" w:pos="12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w:t>
      </w:r>
      <w:r>
        <w:rPr>
          <w:rFonts w:ascii="Times New Roman" w:cs="Times New Roman" w:eastAsia="Times New Roman" w:hAnsi="Times New Roman"/>
          <w:sz w:val="18"/>
          <w:szCs w:val="18"/>
          <w:color w:val="auto"/>
        </w:rPr>
        <w:t>. No stop order suspending the effectiveness of the Registration Statement or any post-effective amendment thereto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 Rule 433(d).</w:t>
      </w:r>
    </w:p>
    <w:p>
      <w:pPr>
        <w:spacing w:after="0" w:line="183" w:lineRule="exact"/>
        <w:rPr>
          <w:rFonts w:ascii="Times New Roman" w:cs="Times New Roman" w:eastAsia="Times New Roman" w:hAnsi="Times New Roman"/>
          <w:sz w:val="18"/>
          <w:szCs w:val="18"/>
          <w:color w:val="auto"/>
        </w:rPr>
      </w:pPr>
    </w:p>
    <w:p>
      <w:pPr>
        <w:ind w:left="-40" w:right="120" w:firstLine="1019"/>
        <w:spacing w:after="0" w:line="254" w:lineRule="auto"/>
        <w:tabs>
          <w:tab w:leader="none" w:pos="122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of Counsel for the Company, the Adviser and the Administrator</w:t>
      </w:r>
      <w:r>
        <w:rPr>
          <w:rFonts w:ascii="Times New Roman" w:cs="Times New Roman" w:eastAsia="Times New Roman" w:hAnsi="Times New Roman"/>
          <w:sz w:val="18"/>
          <w:szCs w:val="18"/>
          <w:color w:val="auto"/>
        </w:rPr>
        <w:t>. Within five business days after (i) each date 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88" w:lineRule="exact"/>
        <w:rPr>
          <w:rFonts w:ascii="Times New Roman" w:cs="Times New Roman" w:eastAsia="Times New Roman" w:hAnsi="Times New Roman"/>
          <w:sz w:val="18"/>
          <w:szCs w:val="18"/>
          <w:color w:val="auto"/>
        </w:rPr>
      </w:pPr>
    </w:p>
    <w:p>
      <w:pPr>
        <w:ind w:left="-40" w:right="20" w:firstLine="1019"/>
        <w:spacing w:after="0" w:line="261" w:lineRule="auto"/>
        <w:tabs>
          <w:tab w:leader="none" w:pos="12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Sales Agent</w:t>
      </w:r>
      <w:r>
        <w:rPr>
          <w:rFonts w:ascii="Times New Roman" w:cs="Times New Roman" w:eastAsia="Times New Roman" w:hAnsi="Times New Roman"/>
          <w:sz w:val="18"/>
          <w:szCs w:val="18"/>
          <w:color w:val="auto"/>
        </w:rPr>
        <w:t>. Within five business days after each Representation Date, the Sales Agent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opinion, dated the Representation Date, of Kirkland &amp; Ellis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179"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20" w:firstLine="967"/>
        <w:spacing w:after="0" w:line="255" w:lineRule="auto"/>
        <w:tabs>
          <w:tab w:leader="none" w:pos="160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this Agreement are true and correct with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60"/>
          </w:cols>
          <w:pgMar w:left="360" w:top="268" w:right="379" w:bottom="1440" w:gutter="0" w:footer="0" w:header="0"/>
        </w:sectPr>
      </w:pPr>
    </w:p>
    <w:bookmarkStart w:id="115" w:name="page116"/>
    <w:bookmarkEnd w:id="115"/>
    <w:p>
      <w:pPr>
        <w:ind w:left="460"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56" w:lineRule="exact"/>
        <w:rPr>
          <w:sz w:val="20"/>
          <w:szCs w:val="20"/>
          <w:color w:val="auto"/>
        </w:rPr>
      </w:pPr>
    </w:p>
    <w:p>
      <w:pPr>
        <w:ind w:left="460" w:firstLine="967"/>
        <w:spacing w:after="0" w:line="255" w:lineRule="auto"/>
        <w:tabs>
          <w:tab w:leader="none" w:pos="169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 (A) there has been no such Adviser/Administrator Material Adverse Effect with respect to the Adviser or the Administrator, as applicable, (B) the representations and warranties of the Adviser or the Administrator, as applicable,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86" w:lineRule="exact"/>
        <w:rPr>
          <w:rFonts w:ascii="Times New Roman" w:cs="Times New Roman" w:eastAsia="Times New Roman" w:hAnsi="Times New Roman"/>
          <w:sz w:val="18"/>
          <w:szCs w:val="18"/>
          <w:color w:val="auto"/>
        </w:rPr>
      </w:pPr>
    </w:p>
    <w:p>
      <w:pPr>
        <w:ind w:right="100" w:firstLine="1019"/>
        <w:spacing w:after="0" w:line="261" w:lineRule="auto"/>
        <w:tabs>
          <w:tab w:leader="none" w:pos="12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Within five business days after each Representation Date, the Sales Agent shall have received from RSM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79" w:lineRule="exact"/>
        <w:rPr>
          <w:rFonts w:ascii="Times New Roman" w:cs="Times New Roman" w:eastAsia="Times New Roman" w:hAnsi="Times New Roman"/>
          <w:sz w:val="18"/>
          <w:szCs w:val="18"/>
          <w:color w:val="auto"/>
        </w:rPr>
      </w:pPr>
    </w:p>
    <w:p>
      <w:pPr>
        <w:ind w:right="160" w:firstLine="1019"/>
        <w:spacing w:after="0" w:line="258" w:lineRule="auto"/>
        <w:tabs>
          <w:tab w:leader="none" w:pos="12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Within five business days after each Representation Date, counsel for the Sales Agent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40" w:firstLine="1019"/>
        <w:spacing w:after="0" w:line="261" w:lineRule="auto"/>
        <w:tabs>
          <w:tab w:leader="none" w:pos="12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Sales Agent by the Company, the Adviser and the Administrator</w:t>
      </w:r>
      <w:r>
        <w:rPr>
          <w:rFonts w:ascii="Times New Roman" w:cs="Times New Roman" w:eastAsia="Times New Roman" w:hAnsi="Times New Roman"/>
          <w:sz w:val="18"/>
          <w:szCs w:val="18"/>
          <w:color w:val="auto"/>
        </w:rPr>
        <w:t>. The Company, the Adviser and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severally and not jointly, agree to indemnify and hold harmless the Sales Agent, its affiliates (as such term is defined in Rule 405 under the 1933 Act (each, an “Affiliate”)), its selling agents and each person, if any, who controls the Sales Agent within the meaning of Section 15 of the 1933 Act or Section 20 of the 1934 Act as follows: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270" w:right="339" w:bottom="1440" w:gutter="0" w:footer="0" w:header="0"/>
        </w:sectPr>
      </w:pPr>
    </w:p>
    <w:bookmarkStart w:id="116" w:name="page117"/>
    <w:bookmarkEnd w:id="116"/>
    <w:p>
      <w:pPr>
        <w:ind w:left="440" w:firstLine="967"/>
        <w:spacing w:after="0" w:line="254" w:lineRule="auto"/>
        <w:tabs>
          <w:tab w:leader="none" w:pos="16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80" w:lineRule="exact"/>
        <w:rPr>
          <w:rFonts w:ascii="Times New Roman" w:cs="Times New Roman" w:eastAsia="Times New Roman" w:hAnsi="Times New Roman"/>
          <w:sz w:val="18"/>
          <w:szCs w:val="18"/>
          <w:color w:val="auto"/>
        </w:rPr>
      </w:pPr>
    </w:p>
    <w:p>
      <w:pPr>
        <w:ind w:left="440" w:right="100" w:firstLine="967"/>
        <w:spacing w:after="0" w:line="261" w:lineRule="auto"/>
        <w:tabs>
          <w:tab w:leader="none" w:pos="16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below) any such settlement is effected with the written consent of the Company; and</w:t>
      </w:r>
    </w:p>
    <w:p>
      <w:pPr>
        <w:spacing w:after="0" w:line="71" w:lineRule="exact"/>
        <w:rPr>
          <w:rFonts w:ascii="Times New Roman" w:cs="Times New Roman" w:eastAsia="Times New Roman" w:hAnsi="Times New Roman"/>
          <w:sz w:val="18"/>
          <w:szCs w:val="18"/>
          <w:color w:val="auto"/>
        </w:rPr>
      </w:pPr>
    </w:p>
    <w:p>
      <w:pPr>
        <w:ind w:left="440" w:right="20" w:firstLine="967"/>
        <w:spacing w:after="0" w:line="254" w:lineRule="auto"/>
        <w:tabs>
          <w:tab w:leader="none" w:pos="17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reasonably incurred and documented fees and disbursements of counsel chosen by the 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86" w:lineRule="exact"/>
        <w:rPr>
          <w:sz w:val="20"/>
          <w:szCs w:val="20"/>
          <w:color w:val="auto"/>
        </w:rPr>
      </w:pPr>
    </w:p>
    <w:p>
      <w:pPr>
        <w:ind w:left="-20" w:right="80" w:firstLine="1019"/>
        <w:spacing w:after="0" w:line="261" w:lineRule="auto"/>
        <w:tabs>
          <w:tab w:leader="none" w:pos="124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Company, Directors, Officers, Adviser and Administrator</w:t>
      </w:r>
      <w:r>
        <w:rPr>
          <w:rFonts w:ascii="Times New Roman" w:cs="Times New Roman" w:eastAsia="Times New Roman" w:hAnsi="Times New Roman"/>
          <w:sz w:val="18"/>
          <w:szCs w:val="18"/>
          <w:color w:val="auto"/>
        </w:rPr>
        <w:t>. The Sales Agent agrees to indemnify and hold harmless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40" w:top="270" w:right="359" w:bottom="1440" w:gutter="0" w:footer="0" w:header="0"/>
        </w:sectPr>
      </w:pPr>
    </w:p>
    <w:bookmarkStart w:id="117" w:name="page118"/>
    <w:bookmarkEnd w:id="117"/>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174" w:lineRule="exact"/>
        <w:rPr>
          <w:sz w:val="20"/>
          <w:szCs w:val="20"/>
          <w:color w:val="auto"/>
        </w:rPr>
      </w:pPr>
    </w:p>
    <w:p>
      <w:pPr>
        <w:ind w:firstLine="1019"/>
        <w:spacing w:after="0" w:line="252" w:lineRule="auto"/>
        <w:tabs>
          <w:tab w:leader="none" w:pos="12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against Parties; Notification</w:t>
      </w:r>
      <w:r>
        <w:rPr>
          <w:rFonts w:ascii="Times New Roman" w:cs="Times New Roman" w:eastAsia="Times New Roman" w:hAnsi="Times New Roman"/>
          <w:sz w:val="18"/>
          <w:szCs w:val="18"/>
          <w:color w:val="auto"/>
        </w:rPr>
        <w:t>. Each indemnified party shall give notice as promptly as reasonably practicable to each indemnifying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counsel to the indemnified parties shall be selected by the Sales Agent, and, in the case of parties indemnified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94" w:lineRule="exact"/>
        <w:rPr>
          <w:rFonts w:ascii="Times New Roman" w:cs="Times New Roman" w:eastAsia="Times New Roman" w:hAnsi="Times New Roman"/>
          <w:sz w:val="18"/>
          <w:szCs w:val="18"/>
          <w:color w:val="auto"/>
        </w:rPr>
      </w:pPr>
    </w:p>
    <w:p>
      <w:pPr>
        <w:ind w:firstLine="1019"/>
        <w:spacing w:after="0" w:line="257" w:lineRule="auto"/>
        <w:tabs>
          <w:tab w:leader="none" w:pos="12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reimburse the indemnified party for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270" w:right="339" w:bottom="1440" w:gutter="0" w:footer="0" w:header="0"/>
        </w:sectPr>
      </w:pPr>
    </w:p>
    <w:bookmarkStart w:id="118" w:name="page119"/>
    <w:bookmarkEnd w:id="11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The Company, the Adviser, the Administrator and the Sales Agent agree that it would not be just and equitable if contribution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aggregate amount of losses, liabilities, claims, damages and expenses incurred by an indemnified party and referred to above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Sales Agent shall not be required to contribute any amount in excess of the commissions received by the Sales Agent in connection with the Securities sold by it.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270" w:right="359" w:bottom="1440" w:gutter="0" w:footer="0" w:header="0"/>
        </w:sectPr>
      </w:pPr>
    </w:p>
    <w:bookmarkStart w:id="119" w:name="page120"/>
    <w:bookmarkEnd w:id="119"/>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3"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Representations, Warranties and Agreements to Survive</w:t>
      </w:r>
      <w:r>
        <w:rPr>
          <w:rFonts w:ascii="Times New Roman" w:cs="Times New Roman" w:eastAsia="Times New Roman" w:hAnsi="Times New Roman"/>
          <w:sz w:val="18"/>
          <w:szCs w:val="18"/>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320" w:firstLine="1019"/>
        <w:spacing w:after="0" w:line="284" w:lineRule="auto"/>
        <w:tabs>
          <w:tab w:leader="none" w:pos="12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Company, the Adviser and the Administrator</w:t>
      </w:r>
      <w:r>
        <w:rPr>
          <w:rFonts w:ascii="Times New Roman" w:cs="Times New Roman" w:eastAsia="Times New Roman" w:hAnsi="Times New Roman"/>
          <w:sz w:val="18"/>
          <w:szCs w:val="18"/>
          <w:color w:val="auto"/>
        </w:rPr>
        <w:t>. The Company, the Adviser and the Administrator may terminate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by giving one day advance notice to the Sales Agent, at any time.</w:t>
      </w:r>
    </w:p>
    <w:p>
      <w:pPr>
        <w:spacing w:after="0" w:line="158" w:lineRule="exact"/>
        <w:rPr>
          <w:rFonts w:ascii="Times New Roman" w:cs="Times New Roman" w:eastAsia="Times New Roman" w:hAnsi="Times New Roman"/>
          <w:sz w:val="18"/>
          <w:szCs w:val="18"/>
          <w:color w:val="auto"/>
        </w:rPr>
      </w:pPr>
    </w:p>
    <w:p>
      <w:pPr>
        <w:ind w:firstLine="1019"/>
        <w:spacing w:after="0" w:line="252" w:lineRule="auto"/>
        <w:tabs>
          <w:tab w:leader="none" w:pos="12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by the Sales Agent</w:t>
      </w:r>
      <w:r>
        <w:rPr>
          <w:rFonts w:ascii="Times New Roman" w:cs="Times New Roman" w:eastAsia="Times New Roman" w:hAnsi="Times New Roman"/>
          <w:sz w:val="18"/>
          <w:szCs w:val="18"/>
          <w:color w:val="auto"/>
        </w:rPr>
        <w:t>. The Sales Agent may terminate this Agreement, by giving one day advance notice to the Company,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(i) if there has been, in the judgment of the Sales Agent, since the time of execution of this Agreement or since the respective dates as of which information is given in the Registration Statement or the Prospectus, 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New York Stock Exchange, (iv) 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70" w:right="339" w:bottom="1440" w:gutter="0" w:footer="0" w:header="0"/>
        </w:sectPr>
      </w:pPr>
    </w:p>
    <w:bookmarkStart w:id="120" w:name="page121"/>
    <w:bookmarkEnd w:id="120"/>
    <w:p>
      <w:pPr>
        <w:ind w:right="260" w:firstLine="1019"/>
        <w:spacing w:after="0" w:line="267" w:lineRule="auto"/>
        <w:tabs>
          <w:tab w:leader="none" w:pos="1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Liabilities</w:t>
      </w:r>
      <w:r>
        <w:rPr>
          <w:rFonts w:ascii="Times New Roman" w:cs="Times New Roman" w:eastAsia="Times New Roman" w:hAnsi="Times New Roman"/>
          <w:sz w:val="18"/>
          <w:szCs w:val="18"/>
          <w:color w:val="auto"/>
        </w:rPr>
        <w:t>. If this Agreement is terminated pursuant to this Section,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provided that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14, 15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shall survive such termination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-176530</wp:posOffset>
            </wp:positionV>
            <wp:extent cx="314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5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 Joint Venture</w:t>
      </w:r>
      <w:r>
        <w:rPr>
          <w:rFonts w:ascii="Times New Roman" w:cs="Times New Roman" w:eastAsia="Times New Roman" w:hAnsi="Times New Roman"/>
          <w:sz w:val="18"/>
          <w:szCs w:val="18"/>
          <w:color w:val="auto"/>
        </w:rPr>
        <w:t>. The Company, the Adviser, the Administrator and the Sales Agent expressly acknowledge, understand and agree that the Sales Agent and the Other Agents are not, and shall not be deemed for any purpose, to be acting as an joint venture or partner of one another and that neither the Sales Agent nor the Other Agents assume responsibility or liability, express or implied, for any actions or omissions of, or the performance of services by the Sales Agent or the Other Agents, respectively, in connection with the offering of the shares of Common Stock pursuant to this Agreement or the Sales Agreement, or otherwise. The obligations of the Sales Agent hereunder and of the Other Agents under the Sales Agreement shall be several and not joint.</w:t>
      </w:r>
    </w:p>
    <w:p>
      <w:pPr>
        <w:spacing w:after="0" w:line="187"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 by any standard form of telecommunication. Notices to the Sales Agent shall be directed to Truist Securities, Inc., 3333 Peachtree Road NE,</w:t>
      </w:r>
    </w:p>
    <w:p>
      <w:pPr>
        <w:spacing w:after="0" w:line="181" w:lineRule="auto"/>
        <w:rPr>
          <w:sz w:val="20"/>
          <w:szCs w:val="20"/>
          <w:color w:val="auto"/>
        </w:rPr>
      </w:pPr>
      <w:r>
        <w:rPr>
          <w:rFonts w:ascii="Times New Roman" w:cs="Times New Roman" w:eastAsia="Times New Roman" w:hAnsi="Times New Roman"/>
          <w:sz w:val="17"/>
          <w:szCs w:val="17"/>
          <w:color w:val="auto"/>
        </w:rPr>
        <w:t>11</w:t>
      </w:r>
      <w:r>
        <w:rPr>
          <w:rFonts w:ascii="Times New Roman" w:cs="Times New Roman" w:eastAsia="Times New Roman" w:hAnsi="Times New Roman"/>
          <w:sz w:val="25"/>
          <w:szCs w:val="25"/>
          <w:u w:val="single" w:color="auto"/>
          <w:color w:val="auto"/>
          <w:vertAlign w:val="superscript"/>
        </w:rPr>
        <w:t>th</w:t>
      </w:r>
      <w:r>
        <w:rPr>
          <w:rFonts w:ascii="Times New Roman" w:cs="Times New Roman" w:eastAsia="Times New Roman" w:hAnsi="Times New Roman"/>
          <w:sz w:val="17"/>
          <w:szCs w:val="17"/>
          <w:color w:val="auto"/>
        </w:rPr>
        <w:t xml:space="preserve"> Floor, Atlanta, Georgia 30326, Attention: Global Head of Syndicate, with a copy (which shall not constitute notice) to Kirkland &amp; Ellis LLP at 1301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Pennsylvania Ave., NW, Washington, D.C. 20004, Attention: William J. Tuttle, P.C. Notices to the Company, the Adviser and the Administrator shall be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directed to them at 1691 Michigan Avenue, Miami Beach, Florida 33139, facsimile No. (212) 905-1075, Attention: Arthur Penn.</w:t>
      </w:r>
    </w:p>
    <w:p>
      <w:pPr>
        <w:spacing w:after="0" w:line="207"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 (e) 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268" w:right="339" w:bottom="1440" w:gutter="0" w:footer="0" w:header="0"/>
        </w:sectPr>
      </w:pPr>
    </w:p>
    <w:bookmarkStart w:id="121" w:name="page122"/>
    <w:bookmarkEnd w:id="121"/>
    <w:p>
      <w:pPr>
        <w:ind w:firstLine="44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92"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Trial by Jury</w:t>
      </w:r>
      <w:r>
        <w:rPr>
          <w:rFonts w:ascii="Times New Roman" w:cs="Times New Roman" w:eastAsia="Times New Roman" w:hAnsi="Times New Roman"/>
          <w:sz w:val="18"/>
          <w:szCs w:val="18"/>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 CONTROVERSY OR DISPUTE ARISING UNDER OR RELATED TO THIS AGREEMENT SHALL BE GOVERNED BY, AND CONSTRUED IN ACCORDANCE WITH THE LAWS OF, THE STATE OF NEW YORK.</w:t>
      </w:r>
    </w:p>
    <w:p>
      <w:pPr>
        <w:spacing w:after="0" w:line="17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Consent to Jurisdiction; Waiver of Immunity</w:t>
      </w:r>
      <w:r>
        <w:rPr>
          <w:rFonts w:ascii="Times New Roman" w:cs="Times New Roman" w:eastAsia="Times New Roman" w:hAnsi="Times New Roman"/>
          <w:sz w:val="18"/>
          <w:szCs w:val="18"/>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80"/>
          </w:cols>
          <w:pgMar w:left="320" w:top="270" w:right="399" w:bottom="1440" w:gutter="0" w:footer="0" w:header="0"/>
        </w:sectPr>
      </w:pPr>
    </w:p>
    <w:bookmarkStart w:id="122" w:name="page123"/>
    <w:bookmarkEnd w:id="122"/>
    <w:p>
      <w:pPr>
        <w:ind w:right="60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17.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TIME SHALL BE OF THE ESSENCE OF THIS AGREEMENT. EXCEPT AS OTHERWISE SET FORTH HEREIN, SPECIFIED TIMES OF DAY REFER TO NEW YORK CITY TIME.</w:t>
      </w:r>
    </w:p>
    <w:p>
      <w:pPr>
        <w:spacing w:after="0" w:line="162"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019"/>
        <w:spacing w:after="0" w:line="261" w:lineRule="auto"/>
        <w:tabs>
          <w:tab w:leader="none" w:pos="12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40" w:firstLine="1019"/>
        <w:spacing w:after="0" w:line="261" w:lineRule="auto"/>
        <w:tabs>
          <w:tab w:leader="none" w:pos="126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firstLine="1019"/>
        <w:spacing w:after="0" w:line="255" w:lineRule="auto"/>
        <w:tabs>
          <w:tab w:leader="none" w:pos="12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270" w:right="359" w:bottom="1440" w:gutter="0" w:footer="0" w:header="0"/>
        </w:sectPr>
      </w:pPr>
    </w:p>
    <w:bookmarkStart w:id="123" w:name="page124"/>
    <w:bookmarkEnd w:id="12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PENNANTPARK INVESTMENT ADMINISTRATION,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Arthur H. Penn</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Sales Agreement – Truist]</w:t>
      </w:r>
    </w:p>
    <w:p>
      <w:pPr>
        <w:sectPr>
          <w:pgSz w:w="11900" w:h="16838" w:orient="portrait"/>
          <w:cols w:equalWidth="0" w:num="1">
            <w:col w:w="10960"/>
          </w:cols>
          <w:pgMar w:left="320" w:top="270" w:right="6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Geoffrey Fennel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17145</wp:posOffset>
            </wp:positionV>
            <wp:extent cx="26142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 Geoffrey Fennel</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[Signature Page to Sales Agreement – Truist]</w:t>
      </w:r>
    </w:p>
    <w:p>
      <w:pPr>
        <w:sectPr>
          <w:pgSz w:w="11900" w:h="16838" w:orient="portrait"/>
          <w:cols w:equalWidth="0" w:num="1">
            <w:col w:w="10139"/>
          </w:cols>
          <w:pgMar w:left="320" w:top="270" w:right="1440" w:bottom="1440" w:gutter="0" w:footer="0" w:header="0"/>
        </w:sectPr>
      </w:pPr>
    </w:p>
    <w:bookmarkStart w:id="125" w:name="page126"/>
    <w:bookmarkEnd w:id="125"/>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LLC</w:t>
      </w:r>
    </w:p>
    <w:p>
      <w:pPr>
        <w:sectPr>
          <w:pgSz w:w="11900" w:h="16838" w:orient="portrait"/>
          <w:cols w:equalWidth="0" w:num="1">
            <w:col w:w="10139"/>
          </w:cols>
          <w:pgMar w:left="320" w:top="266" w:right="1440" w:bottom="1440" w:gutter="0" w:footer="0" w:header="0"/>
        </w:sectPr>
      </w:pPr>
    </w:p>
    <w:bookmarkStart w:id="126" w:name="page127"/>
    <w:bookmarkEnd w:id="126"/>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Allorto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Agent Authorized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Carpenter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 Fennel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dl.atm.offering@truist.com</w:t>
      </w:r>
    </w:p>
    <w:p>
      <w:pPr>
        <w:sectPr>
          <w:pgSz w:w="11900" w:h="16838" w:orient="portrait"/>
          <w:cols w:equalWidth="0" w:num="1">
            <w:col w:w="10139"/>
          </w:cols>
          <w:pgMar w:left="320" w:top="266"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1525905" cy="394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25905" cy="39433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173990</wp:posOffset>
            </wp:positionV>
            <wp:extent cx="2280285" cy="394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802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17,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234" w:lineRule="exact"/>
        <w:rPr>
          <w:sz w:val="20"/>
          <w:szCs w:val="20"/>
          <w:color w:val="auto"/>
        </w:rPr>
      </w:pPr>
    </w:p>
    <w:p>
      <w:pPr>
        <w:ind w:left="1000"/>
        <w:spacing w:after="0"/>
        <w:tabs>
          <w:tab w:leader="none" w:pos="1440" w:val="left"/>
        </w:tabs>
        <w:rPr>
          <w:sz w:val="20"/>
          <w:szCs w:val="20"/>
          <w:color w:val="auto"/>
        </w:rPr>
      </w:pPr>
      <w:r>
        <w:rPr>
          <w:rFonts w:ascii="Times New Roman" w:cs="Times New Roman" w:eastAsia="Times New Roman" w:hAnsi="Times New Roman"/>
          <w:sz w:val="18"/>
          <w:szCs w:val="18"/>
          <w:color w:val="auto"/>
        </w:rPr>
        <w:t>Re:</w:t>
        <w:tab/>
        <w:t>Registration Statement on Form N-2:</w:t>
      </w:r>
    </w:p>
    <w:p>
      <w:pPr>
        <w:spacing w:after="0" w:line="27" w:lineRule="exact"/>
        <w:rPr>
          <w:sz w:val="20"/>
          <w:szCs w:val="20"/>
          <w:color w:val="auto"/>
        </w:rPr>
      </w:pPr>
    </w:p>
    <w:p>
      <w:pPr>
        <w:ind w:left="1460" w:hanging="453"/>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1933 Act File No. 333-279726 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-19050</wp:posOffset>
            </wp:positionV>
            <wp:extent cx="19773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1011"/>
        <w:spacing w:after="0" w:line="256" w:lineRule="auto"/>
        <w:rPr>
          <w:sz w:val="20"/>
          <w:szCs w:val="20"/>
          <w:color w:val="auto"/>
        </w:rPr>
      </w:pPr>
      <w:r>
        <w:rPr>
          <w:rFonts w:ascii="Times New Roman" w:cs="Times New Roman" w:eastAsia="Times New Roman" w:hAnsi="Times New Roman"/>
          <w:sz w:val="18"/>
          <w:szCs w:val="18"/>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issuance of shares (the “Shares”) of common stock, $0.001 par value per share, of the Company having an aggregate offering price of up to $500,000,000 to be issued in an at-the-market public offering (the “Offering”), covered by the Registration Statement, and all amendments thereto (the “Registration Statement”), filed by the Company with the United States Securities and Exchange Commission (the “Commission”) under the Securities Act of 1933, as amended (the “1933 Act”).</w:t>
      </w:r>
    </w:p>
    <w:p>
      <w:pPr>
        <w:spacing w:after="0" w:line="187" w:lineRule="exact"/>
        <w:rPr>
          <w:sz w:val="20"/>
          <w:szCs w:val="20"/>
          <w:color w:val="auto"/>
        </w:rPr>
      </w:pPr>
    </w:p>
    <w:p>
      <w:pPr>
        <w:ind w:right="340" w:firstLine="1011"/>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54" w:lineRule="exact"/>
        <w:rPr>
          <w:sz w:val="20"/>
          <w:szCs w:val="20"/>
          <w:color w:val="auto"/>
        </w:rPr>
      </w:pPr>
    </w:p>
    <w:p>
      <w:pPr>
        <w:ind w:left="1200" w:hanging="181"/>
        <w:spacing w:after="0"/>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related form of prospectus included therein;</w:t>
      </w:r>
    </w:p>
    <w:p>
      <w:pPr>
        <w:spacing w:after="0" w:line="117" w:lineRule="exact"/>
        <w:rPr>
          <w:rFonts w:ascii="Times New Roman" w:cs="Times New Roman" w:eastAsia="Times New Roman" w:hAnsi="Times New Roman"/>
          <w:sz w:val="18"/>
          <w:szCs w:val="18"/>
          <w:color w:val="auto"/>
        </w:rPr>
      </w:pPr>
    </w:p>
    <w:p>
      <w:pPr>
        <w:ind w:left="1200" w:hanging="181"/>
        <w:spacing w:after="0"/>
        <w:tabs>
          <w:tab w:leader="none" w:pos="12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Supplement, July 17, 2024, in the form to be filed by the Company with the Commission pursuant to Rule 424(b) under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Act;</w:t>
      </w:r>
    </w:p>
    <w:p>
      <w:pPr>
        <w:spacing w:after="0" w:line="99" w:lineRule="exact"/>
        <w:rPr>
          <w:sz w:val="20"/>
          <w:szCs w:val="20"/>
          <w:color w:val="auto"/>
        </w:rPr>
      </w:pPr>
    </w:p>
    <w:p>
      <w:pPr>
        <w:ind w:left="1200" w:hanging="181"/>
        <w:spacing w:after="0"/>
        <w:tabs>
          <w:tab w:leader="none" w:pos="1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of the Company, certified by the State Department of Assessments and Taxation of Maryland (the “SDAT”);</w:t>
      </w:r>
    </w:p>
    <w:p>
      <w:pPr>
        <w:spacing w:after="0" w:line="117" w:lineRule="exact"/>
        <w:rPr>
          <w:rFonts w:ascii="Times New Roman" w:cs="Times New Roman" w:eastAsia="Times New Roman" w:hAnsi="Times New Roman"/>
          <w:sz w:val="18"/>
          <w:szCs w:val="18"/>
          <w:color w:val="auto"/>
        </w:rPr>
      </w:pPr>
    </w:p>
    <w:p>
      <w:pPr>
        <w:ind w:left="1200" w:hanging="181"/>
        <w:spacing w:after="0"/>
        <w:tabs>
          <w:tab w:leader="none" w:pos="1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certified as of the date hereof by an officer of the Company;</w:t>
      </w:r>
    </w:p>
    <w:p>
      <w:pPr>
        <w:spacing w:after="0" w:line="117" w:lineRule="exact"/>
        <w:rPr>
          <w:rFonts w:ascii="Times New Roman" w:cs="Times New Roman" w:eastAsia="Times New Roman" w:hAnsi="Times New Roman"/>
          <w:sz w:val="18"/>
          <w:szCs w:val="18"/>
          <w:color w:val="auto"/>
        </w:rPr>
      </w:pPr>
    </w:p>
    <w:p>
      <w:pPr>
        <w:ind w:left="1200" w:hanging="181"/>
        <w:spacing w:after="0"/>
        <w:tabs>
          <w:tab w:leader="none" w:pos="12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SDAT as to the good standing of the Company, dated as of a recent date;</w:t>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525905" cy="394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525905" cy="394335"/>
                    </a:xfrm>
                    <a:prstGeom prst="rect">
                      <a:avLst/>
                    </a:prstGeom>
                    <a:noFill/>
                  </pic:spPr>
                </pic:pic>
              </a:graphicData>
            </a:graphic>
          </wp:anchor>
        </w:drawing>
        <w:t>PennantPark Floating Rate Capital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0" w:hanging="181"/>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(the “Resolutions”) adopted by the Board of Directors of the Company, relating to, among other things, the authorization of</w:t>
      </w:r>
    </w:p>
    <w:p>
      <w:pPr>
        <w:spacing w:after="0" w:line="27" w:lineRule="exact"/>
        <w:rPr>
          <w:rFonts w:ascii="Times New Roman" w:cs="Times New Roman" w:eastAsia="Times New Roman" w:hAnsi="Times New Roman"/>
          <w:sz w:val="18"/>
          <w:szCs w:val="18"/>
          <w:color w:val="auto"/>
        </w:rPr>
      </w:pPr>
    </w:p>
    <w:p>
      <w:pPr>
        <w:ind w:firstLine="8"/>
        <w:spacing w:after="0" w:line="255" w:lineRule="auto"/>
        <w:tabs>
          <w:tab w:leader="none" w:pos="24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sale and issuance of the Shares, (b) the execution, delivery and performance by the Company of the Distribution Agreements (as defined below) and (c) the delegation to designated officers of the Company of the power to determine the number and price of the Shares and certain other matters in connection with the Offering, subject to the Resolutions, certified as of the date hereof by an officer of the Company;</w:t>
      </w:r>
    </w:p>
    <w:p>
      <w:pPr>
        <w:spacing w:after="0" w:line="77" w:lineRule="exact"/>
        <w:rPr>
          <w:rFonts w:ascii="Times New Roman" w:cs="Times New Roman" w:eastAsia="Times New Roman" w:hAnsi="Times New Roman"/>
          <w:sz w:val="18"/>
          <w:szCs w:val="18"/>
          <w:color w:val="auto"/>
        </w:rPr>
      </w:pPr>
    </w:p>
    <w:p>
      <w:pPr>
        <w:ind w:right="80" w:firstLine="1019"/>
        <w:spacing w:after="0" w:line="266" w:lineRule="auto"/>
        <w:tabs>
          <w:tab w:leader="none" w:pos="119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Distribution Agreement, dated as of July 17, 2024 (the “JMP Distribution Agreement”), by and among the Company, PennantPark Investment Advisers, LLC, a Delaware limited liability company (the “Adviser”), PennantPark Investment Administration, LLC, a Delaware limited liability company (the “Administrator”), and Citizens JMP Securities, LLC;</w:t>
      </w:r>
    </w:p>
    <w:p>
      <w:pPr>
        <w:spacing w:after="0" w:line="67" w:lineRule="exact"/>
        <w:rPr>
          <w:rFonts w:ascii="Times New Roman" w:cs="Times New Roman" w:eastAsia="Times New Roman" w:hAnsi="Times New Roman"/>
          <w:sz w:val="18"/>
          <w:szCs w:val="18"/>
          <w:color w:val="auto"/>
        </w:rPr>
      </w:pPr>
    </w:p>
    <w:p>
      <w:pPr>
        <w:ind w:right="660" w:firstLine="1019"/>
        <w:spacing w:after="0" w:line="282" w:lineRule="auto"/>
        <w:tabs>
          <w:tab w:leader="none" w:pos="119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Distribution Agreement, dated as of July 17, 2024 (the “Raymond James Distribution Agreement”), by and among the Company, the Adviser, the Administrator and Raymond James &amp; Associates, Inc.;</w:t>
      </w:r>
    </w:p>
    <w:p>
      <w:pPr>
        <w:spacing w:after="0" w:line="53" w:lineRule="exact"/>
        <w:rPr>
          <w:rFonts w:ascii="Times New Roman" w:cs="Times New Roman" w:eastAsia="Times New Roman" w:hAnsi="Times New Roman"/>
          <w:sz w:val="18"/>
          <w:szCs w:val="18"/>
          <w:color w:val="auto"/>
        </w:rPr>
      </w:pPr>
    </w:p>
    <w:p>
      <w:pPr>
        <w:ind w:right="220" w:firstLine="1019"/>
        <w:spacing w:after="0" w:line="266" w:lineRule="auto"/>
        <w:tabs>
          <w:tab w:leader="none" w:pos="119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Distribution Agreement, dated as of July 17, 2024 (the “Truist Distribution Agreement” and, together with the JMP Distribution Agreement and the Raymond James Distribution Agreement, the “Distribution Agreements”), by and among the Company, the Adviser, the Administrator and Truist Securities, Inc.;</w:t>
      </w:r>
    </w:p>
    <w:p>
      <w:pPr>
        <w:spacing w:after="0" w:line="67"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dated as of the date hereof; and</w:t>
      </w:r>
    </w:p>
    <w:p>
      <w:pPr>
        <w:spacing w:after="0" w:line="117" w:lineRule="exact"/>
        <w:rPr>
          <w:rFonts w:ascii="Times New Roman" w:cs="Times New Roman" w:eastAsia="Times New Roman" w:hAnsi="Times New Roman"/>
          <w:sz w:val="18"/>
          <w:szCs w:val="18"/>
          <w:color w:val="auto"/>
        </w:rPr>
      </w:pPr>
    </w:p>
    <w:p>
      <w:pPr>
        <w:ind w:right="400" w:firstLine="1019"/>
        <w:spacing w:after="0" w:line="282" w:lineRule="auto"/>
        <w:tabs>
          <w:tab w:leader="none" w:pos="127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pacing w:after="0" w:line="5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117" w:lineRule="exact"/>
        <w:rPr>
          <w:sz w:val="20"/>
          <w:szCs w:val="20"/>
          <w:color w:val="auto"/>
        </w:rPr>
      </w:pPr>
    </w:p>
    <w:p>
      <w:pPr>
        <w:ind w:left="1200" w:hanging="181"/>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whether on behalf of such individual or any other person, is legally competent to do so.</w:t>
      </w:r>
    </w:p>
    <w:p>
      <w:pPr>
        <w:spacing w:after="0" w:line="117" w:lineRule="exact"/>
        <w:rPr>
          <w:rFonts w:ascii="Times New Roman" w:cs="Times New Roman" w:eastAsia="Times New Roman" w:hAnsi="Times New Roman"/>
          <w:sz w:val="18"/>
          <w:szCs w:val="18"/>
          <w:color w:val="auto"/>
        </w:rPr>
      </w:pPr>
    </w:p>
    <w:p>
      <w:pPr>
        <w:ind w:left="1200" w:hanging="181"/>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p>
      <w:pPr>
        <w:spacing w:after="0" w:line="117" w:lineRule="exact"/>
        <w:rPr>
          <w:rFonts w:ascii="Times New Roman" w:cs="Times New Roman" w:eastAsia="Times New Roman" w:hAnsi="Times New Roman"/>
          <w:sz w:val="18"/>
          <w:szCs w:val="18"/>
          <w:color w:val="auto"/>
        </w:rPr>
      </w:pPr>
    </w:p>
    <w:p>
      <w:pPr>
        <w:ind w:right="140" w:firstLine="1019"/>
        <w:spacing w:after="0" w:line="266" w:lineRule="auto"/>
        <w:tabs>
          <w:tab w:leader="none" w:pos="119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ectPr>
          <w:pgSz w:w="11900" w:h="16838" w:orient="portrait"/>
          <w:cols w:equalWidth="0" w:num="1">
            <w:col w:w="11200"/>
          </w:cols>
          <w:pgMar w:left="320" w:top="1120"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525905" cy="394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1525905" cy="394335"/>
                    </a:xfrm>
                    <a:prstGeom prst="rect">
                      <a:avLst/>
                    </a:prstGeom>
                    <a:noFill/>
                  </pic:spPr>
                </pic:pic>
              </a:graphicData>
            </a:graphic>
          </wp:anchor>
        </w:drawing>
        <w:t>PennantPark Floating Rate Capital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firstLine="1019"/>
        <w:spacing w:after="0" w:line="256" w:lineRule="auto"/>
        <w:tabs>
          <w:tab w:leader="none" w:pos="119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79" w:lineRule="exact"/>
        <w:rPr>
          <w:rFonts w:ascii="Times New Roman" w:cs="Times New Roman" w:eastAsia="Times New Roman" w:hAnsi="Times New Roman"/>
          <w:sz w:val="18"/>
          <w:szCs w:val="18"/>
          <w:color w:val="auto"/>
        </w:rPr>
      </w:pPr>
    </w:p>
    <w:p>
      <w:pPr>
        <w:ind w:right="440" w:firstLine="1019"/>
        <w:spacing w:after="0" w:line="282" w:lineRule="auto"/>
        <w:tabs>
          <w:tab w:leader="none" w:pos="119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of the Shares, the total number of shares of Common Stock issued and outstanding will not exceed the total number of shares of Common Stock that the Company is then authorized to issue under the Charter.</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440" w:firstLine="1019"/>
        <w:spacing w:after="0" w:line="282" w:lineRule="auto"/>
        <w:tabs>
          <w:tab w:leader="none" w:pos="11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Maryland and is in good standing with the SDAT.</w:t>
      </w:r>
    </w:p>
    <w:p>
      <w:pPr>
        <w:spacing w:after="0" w:line="53" w:lineRule="exact"/>
        <w:rPr>
          <w:rFonts w:ascii="Times New Roman" w:cs="Times New Roman" w:eastAsia="Times New Roman" w:hAnsi="Times New Roman"/>
          <w:sz w:val="18"/>
          <w:szCs w:val="18"/>
          <w:color w:val="auto"/>
        </w:rPr>
      </w:pPr>
    </w:p>
    <w:p>
      <w:pPr>
        <w:ind w:right="120" w:firstLine="1019"/>
        <w:spacing w:after="0" w:line="266" w:lineRule="auto"/>
        <w:tabs>
          <w:tab w:leader="none" w:pos="11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has been duly authorized and, when issued and delivered by the Company pursuant to the Distribution Agreements, the Prospectus Supplement, the Resolutions and the Registration Statement against payment of the consideration set forth therein, the Shares will be validly issued, fully paid and nonassessable.</w:t>
      </w:r>
    </w:p>
    <w:p>
      <w:pPr>
        <w:spacing w:after="0" w:line="176" w:lineRule="exact"/>
        <w:rPr>
          <w:sz w:val="20"/>
          <w:szCs w:val="20"/>
          <w:color w:val="auto"/>
        </w:rPr>
      </w:pPr>
    </w:p>
    <w:p>
      <w:pPr>
        <w:ind w:right="20" w:firstLine="1011"/>
        <w:spacing w:after="0" w:line="261"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0" w:lineRule="exact"/>
        <w:rPr>
          <w:sz w:val="20"/>
          <w:szCs w:val="20"/>
          <w:color w:val="auto"/>
        </w:rPr>
      </w:pPr>
    </w:p>
    <w:p>
      <w:pPr>
        <w:ind w:right="40" w:firstLine="1011"/>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ectPr>
          <w:pgSz w:w="11900" w:h="16838" w:orient="portrait"/>
          <w:cols w:equalWidth="0" w:num="1">
            <w:col w:w="11220"/>
          </w:cols>
          <w:pgMar w:left="320" w:top="1120"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1525905" cy="394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525905" cy="394335"/>
                    </a:xfrm>
                    <a:prstGeom prst="rect">
                      <a:avLst/>
                    </a:prstGeom>
                    <a:noFill/>
                  </pic:spPr>
                </pic:pic>
              </a:graphicData>
            </a:graphic>
          </wp:anchor>
        </w:drawing>
        <w:t>PennantPark Floating Rate Capital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firstLine="1011"/>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Venable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119117/413023</w:t>
      </w:r>
    </w:p>
    <w:sectPr>
      <w:pgSz w:w="11900" w:h="16838" w:orient="portrait"/>
      <w:cols w:equalWidth="0" w:num="1">
        <w:col w:w="10960"/>
      </w:cols>
      <w:pgMar w:left="320" w:top="112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lowerLetter"/>
      <w:start w:val="1"/>
    </w:lvl>
    <w:lvl w:ilvl="1">
      <w:lvlJc w:val="left"/>
      <w:lvlText w:val="(%2)"/>
      <w:numFmt w:val="lowerLetter"/>
      <w:start w:val="9"/>
    </w:lvl>
  </w:abstractNum>
  <w:abstractNum w:abstractNumId="2">
    <w:nsid w:val="1381823A"/>
    <w:multiLevelType w:val="hybridMultilevel"/>
    <w:lvl w:ilvl="0">
      <w:lvlJc w:val="left"/>
      <w:lvlText w:val="(%1)"/>
      <w:numFmt w:val="lowerRoman"/>
      <w:start w:val="2"/>
    </w:lvl>
  </w:abstractNum>
  <w:abstractNum w:abstractNumId="3">
    <w:nsid w:val="5DB70AE5"/>
    <w:multiLevelType w:val="hybridMultilevel"/>
    <w:lvl w:ilvl="0">
      <w:lvlJc w:val="left"/>
      <w:lvlText w:val="(%1)"/>
      <w:numFmt w:val="lowerRoman"/>
      <w:start w:val="5"/>
    </w:lvl>
  </w:abstractNum>
  <w:abstractNum w:abstractNumId="4">
    <w:nsid w:val="100F8FCA"/>
    <w:multiLevelType w:val="hybridMultilevel"/>
    <w:lvl w:ilvl="0">
      <w:lvlJc w:val="left"/>
      <w:lvlText w:val="(%1)"/>
      <w:numFmt w:val="lowerRoman"/>
      <w:start w:val="9"/>
    </w:lvl>
  </w:abstractNum>
  <w:abstractNum w:abstractNumId="5">
    <w:nsid w:val="6590700B"/>
    <w:multiLevelType w:val="hybridMultilevel"/>
    <w:lvl w:ilvl="0">
      <w:lvlJc w:val="left"/>
      <w:lvlText w:val="(%1)"/>
      <w:numFmt w:val="lowerRoman"/>
      <w:start w:val="11"/>
    </w:lvl>
  </w:abstractNum>
  <w:abstractNum w:abstractNumId="6">
    <w:nsid w:val="15014ACB"/>
    <w:multiLevelType w:val="hybridMultilevel"/>
    <w:lvl w:ilvl="0">
      <w:lvlJc w:val="left"/>
      <w:lvlText w:val="(%1)"/>
      <w:numFmt w:val="lowerRoman"/>
      <w:start w:val="16"/>
    </w:lvl>
  </w:abstractNum>
  <w:abstractNum w:abstractNumId="7">
    <w:nsid w:val="5F5E7FD0"/>
    <w:multiLevelType w:val="hybridMultilevel"/>
    <w:lvl w:ilvl="0">
      <w:lvlJc w:val="left"/>
      <w:lvlText w:val="(%1)"/>
      <w:numFmt w:val="lowerRoman"/>
      <w:start w:val="21"/>
    </w:lvl>
  </w:abstractNum>
  <w:abstractNum w:abstractNumId="8">
    <w:nsid w:val="98A3148"/>
    <w:multiLevelType w:val="hybridMultilevel"/>
    <w:lvl w:ilvl="0">
      <w:lvlJc w:val="left"/>
      <w:lvlText w:val="(%1)"/>
      <w:numFmt w:val="lowerRoman"/>
      <w:start w:val="24"/>
    </w:lvl>
  </w:abstractNum>
  <w:abstractNum w:abstractNumId="9">
    <w:nsid w:val="799D0247"/>
    <w:multiLevelType w:val="hybridMultilevel"/>
    <w:lvl w:ilvl="0">
      <w:lvlJc w:val="left"/>
      <w:lvlText w:val="(%1)"/>
      <w:numFmt w:val="lowerRoman"/>
      <w:start w:val="26"/>
    </w:lvl>
  </w:abstractNum>
  <w:abstractNum w:abstractNumId="10">
    <w:nsid w:val="6B94764"/>
    <w:multiLevelType w:val="hybridMultilevel"/>
    <w:lvl w:ilvl="0">
      <w:lvlJc w:val="left"/>
      <w:lvlText w:val="(%1)"/>
      <w:numFmt w:val="lowerRoman"/>
      <w:start w:val="31"/>
    </w:lvl>
  </w:abstractNum>
  <w:abstractNum w:abstractNumId="11">
    <w:nsid w:val="42C296BD"/>
    <w:multiLevelType w:val="hybridMultilevel"/>
    <w:lvl w:ilvl="0">
      <w:lvlJc w:val="left"/>
      <w:lvlText w:val="(%1)"/>
      <w:numFmt w:val="lowerRoman"/>
      <w:start w:val="37"/>
    </w:lvl>
  </w:abstractNum>
  <w:abstractNum w:abstractNumId="12">
    <w:nsid w:val="168E121F"/>
    <w:multiLevelType w:val="hybridMultilevel"/>
    <w:lvl w:ilvl="0">
      <w:lvlJc w:val="left"/>
      <w:lvlText w:val="(%1)"/>
      <w:numFmt w:val="lowerLetter"/>
      <w:start w:val="2"/>
    </w:lvl>
    <w:lvl w:ilvl="1">
      <w:lvlJc w:val="left"/>
      <w:lvlText w:val="(%2)"/>
      <w:numFmt w:val="lowerLetter"/>
      <w:start w:val="9"/>
    </w:lvl>
  </w:abstractNum>
  <w:abstractNum w:abstractNumId="13">
    <w:nsid w:val="1EBA5D23"/>
    <w:multiLevelType w:val="hybridMultilevel"/>
    <w:lvl w:ilvl="0">
      <w:lvlJc w:val="left"/>
      <w:lvlText w:val="(%1)"/>
      <w:numFmt w:val="lowerRoman"/>
      <w:start w:val="2"/>
    </w:lvl>
  </w:abstractNum>
  <w:abstractNum w:abstractNumId="14">
    <w:nsid w:val="661E3F1E"/>
    <w:multiLevelType w:val="hybridMultilevel"/>
    <w:lvl w:ilvl="0">
      <w:lvlJc w:val="left"/>
      <w:lvlText w:val="(%1)"/>
      <w:numFmt w:val="lowerRoman"/>
      <w:start w:val="6"/>
    </w:lvl>
  </w:abstractNum>
  <w:abstractNum w:abstractNumId="15">
    <w:nsid w:val="5DC79EA8"/>
    <w:multiLevelType w:val="hybridMultilevel"/>
    <w:lvl w:ilvl="0">
      <w:lvlJc w:val="left"/>
      <w:lvlText w:val="(%1)"/>
      <w:numFmt w:val="lowerRoman"/>
      <w:start w:val="10"/>
    </w:lvl>
  </w:abstractNum>
  <w:abstractNum w:abstractNumId="16">
    <w:nsid w:val="540A471C"/>
    <w:multiLevelType w:val="hybridMultilevel"/>
    <w:lvl w:ilvl="0">
      <w:lvlJc w:val="left"/>
      <w:lvlText w:val="(%1)"/>
      <w:numFmt w:val="lowerRoman"/>
      <w:start w:val="14"/>
    </w:lvl>
  </w:abstractNum>
  <w:abstractNum w:abstractNumId="17">
    <w:nsid w:val="7BD3EE7B"/>
    <w:multiLevelType w:val="hybridMultilevel"/>
    <w:lvl w:ilvl="0">
      <w:lvlJc w:val="left"/>
      <w:lvlText w:val="%1"/>
      <w:numFmt w:val="lowerLetter"/>
      <w:start w:val="1"/>
    </w:lvl>
    <w:lvl w:ilvl="1">
      <w:lvlJc w:val="left"/>
      <w:lvlText w:val="(%2)"/>
      <w:numFmt w:val="lowerRoman"/>
      <w:start w:val="18"/>
    </w:lvl>
  </w:abstractNum>
  <w:abstractNum w:abstractNumId="18">
    <w:nsid w:val="51D9C564"/>
    <w:multiLevelType w:val="hybridMultilevel"/>
    <w:lvl w:ilvl="0">
      <w:lvlJc w:val="left"/>
      <w:lvlText w:val="(%1)"/>
      <w:numFmt w:val="lowerLetter"/>
      <w:start w:val="3"/>
    </w:lvl>
    <w:lvl w:ilvl="1">
      <w:lvlJc w:val="left"/>
      <w:lvlText w:val="%2"/>
      <w:numFmt w:val="lowerRoman"/>
      <w:start w:val="1"/>
    </w:lvl>
  </w:abstractNum>
  <w:abstractNum w:abstractNumId="19">
    <w:nsid w:val="613EFDC5"/>
    <w:multiLevelType w:val="hybridMultilevel"/>
    <w:lvl w:ilvl="0">
      <w:lvlJc w:val="left"/>
      <w:lvlText w:val="(%1)"/>
      <w:numFmt w:val="lowerLetter"/>
      <w:start w:val="1"/>
    </w:lvl>
    <w:lvl w:ilvl="1">
      <w:lvlJc w:val="left"/>
      <w:lvlText w:val="(%2)"/>
      <w:numFmt w:val="lowerLetter"/>
      <w:start w:val="9"/>
    </w:lvl>
  </w:abstractNum>
  <w:abstractNum w:abstractNumId="20">
    <w:nsid w:val="BF72B14"/>
    <w:multiLevelType w:val="hybridMultilevel"/>
    <w:lvl w:ilvl="0">
      <w:lvlJc w:val="left"/>
      <w:lvlText w:val="(%1)"/>
      <w:numFmt w:val="lowerRoman"/>
      <w:start w:val="2"/>
    </w:lvl>
  </w:abstractNum>
  <w:abstractNum w:abstractNumId="21">
    <w:nsid w:val="11447B73"/>
    <w:multiLevelType w:val="hybridMultilevel"/>
    <w:lvl w:ilvl="0">
      <w:lvlJc w:val="left"/>
      <w:lvlText w:val="%1"/>
      <w:numFmt w:val="upperLetter"/>
      <w:start w:val="1"/>
    </w:lvl>
    <w:lvl w:ilvl="1">
      <w:lvlJc w:val="left"/>
      <w:lvlText w:val="(%2)"/>
      <w:numFmt w:val="lowerRoman"/>
      <w:start w:val="5"/>
    </w:lvl>
  </w:abstractNum>
  <w:abstractNum w:abstractNumId="22">
    <w:nsid w:val="42963E5A"/>
    <w:multiLevelType w:val="hybridMultilevel"/>
    <w:lvl w:ilvl="0">
      <w:lvlJc w:val="left"/>
      <w:lvlText w:val="(%1)"/>
      <w:numFmt w:val="upperLetter"/>
      <w:start w:val="1"/>
    </w:lvl>
    <w:lvl w:ilvl="1">
      <w:lvlJc w:val="left"/>
      <w:lvlText w:val="(%2)"/>
      <w:numFmt w:val="lowerRoman"/>
      <w:start w:val="7"/>
    </w:lvl>
  </w:abstractNum>
  <w:abstractNum w:abstractNumId="23">
    <w:nsid w:val="A0382C5"/>
    <w:multiLevelType w:val="hybridMultilevel"/>
    <w:lvl w:ilvl="0">
      <w:lvlJc w:val="left"/>
      <w:lvlText w:val="(%1)"/>
      <w:numFmt w:val="lowerLetter"/>
      <w:start w:val="2"/>
    </w:lvl>
  </w:abstractNum>
  <w:abstractNum w:abstractNumId="24">
    <w:nsid w:val="8F2B15E"/>
    <w:multiLevelType w:val="hybridMultilevel"/>
    <w:lvl w:ilvl="0">
      <w:lvlJc w:val="left"/>
      <w:lvlText w:val="(%1)"/>
      <w:numFmt w:val="lowerLetter"/>
      <w:start w:val="4"/>
    </w:lvl>
  </w:abstractNum>
  <w:abstractNum w:abstractNumId="25">
    <w:nsid w:val="1A32234B"/>
    <w:multiLevelType w:val="hybridMultilevel"/>
    <w:lvl w:ilvl="0">
      <w:lvlJc w:val="left"/>
      <w:lvlText w:val="(%1)"/>
      <w:numFmt w:val="lowerLetter"/>
      <w:start w:val="7"/>
    </w:lvl>
  </w:abstractNum>
  <w:abstractNum w:abstractNumId="26">
    <w:nsid w:val="3B0FD379"/>
    <w:multiLevelType w:val="hybridMultilevel"/>
    <w:lvl w:ilvl="0">
      <w:lvlJc w:val="left"/>
      <w:lvlText w:val="(%1)"/>
      <w:numFmt w:val="lowerLetter"/>
      <w:start w:val="1"/>
    </w:lvl>
  </w:abstractNum>
  <w:abstractNum w:abstractNumId="27">
    <w:nsid w:val="68EB2F63"/>
    <w:multiLevelType w:val="hybridMultilevel"/>
    <w:lvl w:ilvl="0">
      <w:lvlJc w:val="left"/>
      <w:lvlText w:val="(%1)"/>
      <w:numFmt w:val="lowerLetter"/>
      <w:start w:val="2"/>
    </w:lvl>
  </w:abstractNum>
  <w:abstractNum w:abstractNumId="28">
    <w:nsid w:val="4962813B"/>
    <w:multiLevelType w:val="hybridMultilevel"/>
    <w:lvl w:ilvl="0">
      <w:lvlJc w:val="left"/>
      <w:lvlText w:val="(%1)"/>
      <w:numFmt w:val="lowerLetter"/>
      <w:start w:val="4"/>
    </w:lvl>
  </w:abstractNum>
  <w:abstractNum w:abstractNumId="29">
    <w:nsid w:val="60B6DF70"/>
    <w:multiLevelType w:val="hybridMultilevel"/>
    <w:lvl w:ilvl="0">
      <w:lvlJc w:val="left"/>
      <w:lvlText w:val="(%1)"/>
      <w:numFmt w:val="lowerLetter"/>
      <w:start w:val="10"/>
    </w:lvl>
  </w:abstractNum>
  <w:abstractNum w:abstractNumId="30">
    <w:nsid w:val="6A5EE64"/>
    <w:multiLevelType w:val="hybridMultilevel"/>
    <w:lvl w:ilvl="0">
      <w:lvlJc w:val="left"/>
      <w:lvlText w:val="(%1)"/>
      <w:numFmt w:val="lowerLetter"/>
      <w:start w:val="16"/>
    </w:lvl>
  </w:abstractNum>
  <w:abstractNum w:abstractNumId="31">
    <w:nsid w:val="14330624"/>
    <w:multiLevelType w:val="hybridMultilevel"/>
    <w:lvl w:ilvl="0">
      <w:lvlJc w:val="left"/>
      <w:lvlText w:val="(%1)"/>
      <w:numFmt w:val="lowerLetter"/>
      <w:start w:val="1"/>
    </w:lvl>
  </w:abstractNum>
  <w:abstractNum w:abstractNumId="32">
    <w:nsid w:val="7FFFCA11"/>
    <w:multiLevelType w:val="hybridMultilevel"/>
    <w:lvl w:ilvl="0">
      <w:lvlJc w:val="left"/>
      <w:lvlText w:val="(%1)"/>
      <w:numFmt w:val="lowerLetter"/>
      <w:start w:val="3"/>
    </w:lvl>
    <w:lvl w:ilvl="1">
      <w:lvlJc w:val="left"/>
      <w:lvlText w:val="(%2)"/>
      <w:numFmt w:val="lowerRoman"/>
      <w:start w:val="1"/>
    </w:lvl>
  </w:abstractNum>
  <w:abstractNum w:abstractNumId="33">
    <w:nsid w:val="1A27709E"/>
    <w:multiLevelType w:val="hybridMultilevel"/>
    <w:lvl w:ilvl="0">
      <w:lvlJc w:val="left"/>
      <w:lvlText w:val="(%1)"/>
      <w:numFmt w:val="lowerLetter"/>
      <w:start w:val="5"/>
    </w:lvl>
  </w:abstractNum>
  <w:abstractNum w:abstractNumId="34">
    <w:nsid w:val="71EA1109"/>
    <w:multiLevelType w:val="hybridMultilevel"/>
    <w:lvl w:ilvl="0">
      <w:lvlJc w:val="left"/>
      <w:lvlText w:val="(%1)"/>
      <w:numFmt w:val="lowerLetter"/>
      <w:start w:val="1"/>
    </w:lvl>
    <w:lvl w:ilvl="1">
      <w:lvlJc w:val="left"/>
      <w:lvlText w:val="(%2)"/>
      <w:numFmt w:val="lowerRoman"/>
      <w:start w:val="1"/>
    </w:lvl>
  </w:abstractNum>
  <w:abstractNum w:abstractNumId="35">
    <w:nsid w:val="100F59DC"/>
    <w:multiLevelType w:val="hybridMultilevel"/>
    <w:lvl w:ilvl="0">
      <w:lvlJc w:val="left"/>
      <w:lvlText w:val="%1"/>
      <w:numFmt w:val="lowerLetter"/>
      <w:start w:val="1"/>
    </w:lvl>
    <w:lvl w:ilvl="1">
      <w:lvlJc w:val="left"/>
      <w:lvlText w:val="(%2)"/>
      <w:numFmt w:val="lowerLetter"/>
      <w:start w:val="61"/>
    </w:lvl>
  </w:abstractNum>
  <w:abstractNum w:abstractNumId="36">
    <w:nsid w:val="7FB7E0AA"/>
    <w:multiLevelType w:val="hybridMultilevel"/>
    <w:lvl w:ilvl="0">
      <w:lvlJc w:val="left"/>
      <w:lvlText w:val="(%1)"/>
      <w:numFmt w:val="lowerLetter"/>
      <w:start w:val="2"/>
    </w:lvl>
    <w:lvl w:ilvl="1">
      <w:lvlJc w:val="left"/>
      <w:lvlText w:val="%2"/>
      <w:numFmt w:val="lowerLetter"/>
      <w:start w:val="1"/>
    </w:lvl>
  </w:abstractNum>
  <w:abstractNum w:abstractNumId="37">
    <w:nsid w:val="6EB5BD4"/>
    <w:multiLevelType w:val="hybridMultilevel"/>
    <w:lvl w:ilvl="0">
      <w:lvlJc w:val="left"/>
      <w:lvlText w:val="(%1)"/>
      <w:numFmt w:val="lowerLetter"/>
      <w:start w:val="4"/>
    </w:lvl>
  </w:abstractNum>
  <w:abstractNum w:abstractNumId="38">
    <w:nsid w:val="6F6DD9AC"/>
    <w:multiLevelType w:val="hybridMultilevel"/>
    <w:lvl w:ilvl="0">
      <w:lvlJc w:val="left"/>
      <w:lvlText w:val="(%1)"/>
      <w:numFmt w:val="lowerLetter"/>
      <w:start w:val="1"/>
    </w:lvl>
  </w:abstractNum>
  <w:abstractNum w:abstractNumId="39">
    <w:nsid w:val="94211F2"/>
    <w:multiLevelType w:val="hybridMultilevel"/>
    <w:lvl w:ilvl="0">
      <w:lvlJc w:val="left"/>
      <w:lvlText w:val="(%1)"/>
      <w:numFmt w:val="lowerLetter"/>
      <w:start w:val="2"/>
    </w:lvl>
  </w:abstractNum>
  <w:abstractNum w:abstractNumId="40">
    <w:nsid w:val="885E1B"/>
    <w:multiLevelType w:val="hybridMultilevel"/>
    <w:lvl w:ilvl="0">
      <w:lvlJc w:val="left"/>
      <w:lvlText w:val="(%1)"/>
      <w:numFmt w:val="lowerLetter"/>
      <w:start w:val="1"/>
    </w:lvl>
  </w:abstractNum>
  <w:abstractNum w:abstractNumId="41">
    <w:nsid w:val="76272110"/>
    <w:multiLevelType w:val="hybridMultilevel"/>
    <w:lvl w:ilvl="0">
      <w:lvlJc w:val="left"/>
      <w:lvlText w:val="(%1)"/>
      <w:numFmt w:val="lowerLetter"/>
      <w:start w:val="3"/>
    </w:lvl>
  </w:abstractNum>
  <w:abstractNum w:abstractNumId="42">
    <w:nsid w:val="4C04A8AF"/>
    <w:multiLevelType w:val="hybridMultilevel"/>
    <w:lvl w:ilvl="0">
      <w:lvlJc w:val="left"/>
      <w:lvlText w:val="(%1)"/>
      <w:numFmt w:val="lowerLetter"/>
      <w:start w:val="1"/>
    </w:lvl>
    <w:lvl w:ilvl="1">
      <w:lvlJc w:val="left"/>
      <w:lvlText w:val="(%2)"/>
      <w:numFmt w:val="lowerLetter"/>
      <w:start w:val="9"/>
    </w:lvl>
  </w:abstractNum>
  <w:abstractNum w:abstractNumId="43">
    <w:nsid w:val="1716703B"/>
    <w:multiLevelType w:val="hybridMultilevel"/>
    <w:lvl w:ilvl="0">
      <w:lvlJc w:val="left"/>
      <w:lvlText w:val="(%1)"/>
      <w:numFmt w:val="lowerRoman"/>
      <w:start w:val="2"/>
    </w:lvl>
  </w:abstractNum>
  <w:abstractNum w:abstractNumId="44">
    <w:nsid w:val="14E17E33"/>
    <w:multiLevelType w:val="hybridMultilevel"/>
    <w:lvl w:ilvl="0">
      <w:lvlJc w:val="left"/>
      <w:lvlText w:val="%1"/>
      <w:numFmt w:val="upperLetter"/>
      <w:start w:val="1"/>
    </w:lvl>
    <w:lvl w:ilvl="1">
      <w:lvlJc w:val="left"/>
      <w:lvlText w:val="(%2)"/>
      <w:numFmt w:val="lowerRoman"/>
      <w:start w:val="5"/>
    </w:lvl>
  </w:abstractNum>
  <w:abstractNum w:abstractNumId="45">
    <w:nsid w:val="3222E7CD"/>
    <w:multiLevelType w:val="hybridMultilevel"/>
    <w:lvl w:ilvl="0">
      <w:lvlJc w:val="left"/>
      <w:lvlText w:val="(%1)"/>
      <w:numFmt w:val="upperLetter"/>
      <w:start w:val="3"/>
    </w:lvl>
    <w:lvl w:ilvl="1">
      <w:lvlJc w:val="left"/>
      <w:lvlText w:val="%2"/>
      <w:numFmt w:val="lowerRoman"/>
      <w:start w:val="1"/>
    </w:lvl>
  </w:abstractNum>
  <w:abstractNum w:abstractNumId="46">
    <w:nsid w:val="74DE0EE3"/>
    <w:multiLevelType w:val="hybridMultilevel"/>
    <w:lvl w:ilvl="0">
      <w:lvlJc w:val="left"/>
      <w:lvlText w:val="(%1)"/>
      <w:numFmt w:val="lowerRoman"/>
      <w:start w:val="9"/>
    </w:lvl>
  </w:abstractNum>
  <w:abstractNum w:abstractNumId="47">
    <w:nsid w:val="68EBC550"/>
    <w:multiLevelType w:val="hybridMultilevel"/>
    <w:lvl w:ilvl="0">
      <w:lvlJc w:val="left"/>
      <w:lvlText w:val="(%1)"/>
      <w:numFmt w:val="lowerRoman"/>
      <w:start w:val="12"/>
    </w:lvl>
  </w:abstractNum>
  <w:abstractNum w:abstractNumId="48">
    <w:nsid w:val="2DF6D648"/>
    <w:multiLevelType w:val="hybridMultilevel"/>
    <w:lvl w:ilvl="0">
      <w:lvlJc w:val="left"/>
      <w:lvlText w:val="(%1)"/>
      <w:numFmt w:val="lowerRoman"/>
      <w:start w:val="16"/>
    </w:lvl>
  </w:abstractNum>
  <w:abstractNum w:abstractNumId="49">
    <w:nsid w:val="46B7D447"/>
    <w:multiLevelType w:val="hybridMultilevel"/>
    <w:lvl w:ilvl="0">
      <w:lvlJc w:val="left"/>
      <w:lvlText w:val="(%1)"/>
      <w:numFmt w:val="lowerRoman"/>
      <w:start w:val="21"/>
    </w:lvl>
  </w:abstractNum>
  <w:abstractNum w:abstractNumId="50">
    <w:nsid w:val="4A2AC315"/>
    <w:multiLevelType w:val="hybridMultilevel"/>
    <w:lvl w:ilvl="0">
      <w:lvlJc w:val="left"/>
      <w:lvlText w:val="(%1)"/>
      <w:numFmt w:val="lowerRoman"/>
      <w:start w:val="24"/>
    </w:lvl>
  </w:abstractNum>
  <w:abstractNum w:abstractNumId="51">
    <w:nsid w:val="39EE015C"/>
    <w:multiLevelType w:val="hybridMultilevel"/>
    <w:lvl w:ilvl="0">
      <w:lvlJc w:val="left"/>
      <w:lvlText w:val="(%1)"/>
      <w:numFmt w:val="lowerRoman"/>
      <w:start w:val="26"/>
    </w:lvl>
  </w:abstractNum>
  <w:abstractNum w:abstractNumId="52">
    <w:nsid w:val="57FC4FBB"/>
    <w:multiLevelType w:val="hybridMultilevel"/>
    <w:lvl w:ilvl="0">
      <w:lvlJc w:val="left"/>
      <w:lvlText w:val="(%1)"/>
      <w:numFmt w:val="lowerRoman"/>
      <w:start w:val="31"/>
    </w:lvl>
  </w:abstractNum>
  <w:abstractNum w:abstractNumId="53">
    <w:nsid w:val="CC1016F"/>
    <w:multiLevelType w:val="hybridMultilevel"/>
    <w:lvl w:ilvl="0">
      <w:lvlJc w:val="left"/>
      <w:lvlText w:val="(%1)"/>
      <w:numFmt w:val="lowerRoman"/>
      <w:start w:val="37"/>
    </w:lvl>
  </w:abstractNum>
  <w:abstractNum w:abstractNumId="54">
    <w:nsid w:val="43F18422"/>
    <w:multiLevelType w:val="hybridMultilevel"/>
    <w:lvl w:ilvl="0">
      <w:lvlJc w:val="left"/>
      <w:lvlText w:val="(%1)"/>
      <w:numFmt w:val="lowerLetter"/>
      <w:start w:val="2"/>
    </w:lvl>
    <w:lvl w:ilvl="1">
      <w:lvlJc w:val="left"/>
      <w:lvlText w:val="(%2)"/>
      <w:numFmt w:val="lowerLetter"/>
      <w:start w:val="9"/>
    </w:lvl>
  </w:abstractNum>
  <w:abstractNum w:abstractNumId="55">
    <w:nsid w:val="60EF0119"/>
    <w:multiLevelType w:val="hybridMultilevel"/>
    <w:lvl w:ilvl="0">
      <w:lvlJc w:val="left"/>
      <w:lvlText w:val="(%1)"/>
      <w:numFmt w:val="lowerRoman"/>
      <w:start w:val="2"/>
    </w:lvl>
  </w:abstractNum>
  <w:abstractNum w:abstractNumId="56">
    <w:nsid w:val="26F324BA"/>
    <w:multiLevelType w:val="hybridMultilevel"/>
    <w:lvl w:ilvl="0">
      <w:lvlJc w:val="left"/>
      <w:lvlText w:val="(%1)"/>
      <w:numFmt w:val="lowerRoman"/>
      <w:start w:val="6"/>
    </w:lvl>
  </w:abstractNum>
  <w:abstractNum w:abstractNumId="57">
    <w:nsid w:val="7F01579B"/>
    <w:multiLevelType w:val="hybridMultilevel"/>
    <w:lvl w:ilvl="0">
      <w:lvlJc w:val="left"/>
      <w:lvlText w:val="(%1)"/>
      <w:numFmt w:val="lowerRoman"/>
      <w:start w:val="10"/>
    </w:lvl>
  </w:abstractNum>
  <w:abstractNum w:abstractNumId="58">
    <w:nsid w:val="49DA307D"/>
    <w:multiLevelType w:val="hybridMultilevel"/>
    <w:lvl w:ilvl="0">
      <w:lvlJc w:val="left"/>
      <w:lvlText w:val="(%1)"/>
      <w:numFmt w:val="lowerRoman"/>
      <w:start w:val="14"/>
    </w:lvl>
  </w:abstractNum>
  <w:abstractNum w:abstractNumId="59">
    <w:nsid w:val="7055A5F5"/>
    <w:multiLevelType w:val="hybridMultilevel"/>
    <w:lvl w:ilvl="0">
      <w:lvlJc w:val="left"/>
      <w:lvlText w:val="(%1)"/>
      <w:numFmt w:val="lowerRoman"/>
      <w:start w:val="18"/>
    </w:lvl>
  </w:abstractNum>
  <w:abstractNum w:abstractNumId="60">
    <w:nsid w:val="5FB8370B"/>
    <w:multiLevelType w:val="hybridMultilevel"/>
    <w:lvl w:ilvl="0">
      <w:lvlJc w:val="left"/>
      <w:lvlText w:val="(%1)"/>
      <w:numFmt w:val="lowerLetter"/>
      <w:start w:val="3"/>
    </w:lvl>
  </w:abstractNum>
  <w:abstractNum w:abstractNumId="61">
    <w:nsid w:val="50801EE1"/>
    <w:multiLevelType w:val="hybridMultilevel"/>
    <w:lvl w:ilvl="0">
      <w:lvlJc w:val="left"/>
      <w:lvlText w:val="(%1)"/>
      <w:numFmt w:val="lowerLetter"/>
      <w:start w:val="1"/>
    </w:lvl>
    <w:lvl w:ilvl="1">
      <w:lvlJc w:val="left"/>
      <w:lvlText w:val="(%2)"/>
      <w:numFmt w:val="lowerLetter"/>
      <w:start w:val="9"/>
    </w:lvl>
  </w:abstractNum>
  <w:abstractNum w:abstractNumId="62">
    <w:nsid w:val="488AC1A"/>
    <w:multiLevelType w:val="hybridMultilevel"/>
    <w:lvl w:ilvl="0">
      <w:lvlJc w:val="left"/>
      <w:lvlText w:val="(%1)"/>
      <w:numFmt w:val="lowerRoman"/>
      <w:start w:val="2"/>
    </w:lvl>
  </w:abstractNum>
  <w:abstractNum w:abstractNumId="63">
    <w:nsid w:val="5FB8011C"/>
    <w:multiLevelType w:val="hybridMultilevel"/>
    <w:lvl w:ilvl="0">
      <w:lvlJc w:val="left"/>
      <w:lvlText w:val="%1"/>
      <w:numFmt w:val="upperLetter"/>
      <w:start w:val="1"/>
    </w:lvl>
    <w:lvl w:ilvl="1">
      <w:lvlJc w:val="left"/>
      <w:lvlText w:val="(%2)"/>
      <w:numFmt w:val="lowerRoman"/>
      <w:start w:val="5"/>
    </w:lvl>
  </w:abstractNum>
  <w:abstractNum w:abstractNumId="64">
    <w:nsid w:val="6AA78F7F"/>
    <w:multiLevelType w:val="hybridMultilevel"/>
    <w:lvl w:ilvl="0">
      <w:lvlJc w:val="left"/>
      <w:lvlText w:val="(%1)"/>
      <w:numFmt w:val="upperLetter"/>
      <w:start w:val="1"/>
    </w:lvl>
    <w:lvl w:ilvl="1">
      <w:lvlJc w:val="left"/>
      <w:lvlText w:val="(%2)"/>
      <w:numFmt w:val="lowerRoman"/>
      <w:start w:val="7"/>
    </w:lvl>
  </w:abstractNum>
  <w:abstractNum w:abstractNumId="65">
    <w:nsid w:val="7672BD23"/>
    <w:multiLevelType w:val="hybridMultilevel"/>
    <w:lvl w:ilvl="0">
      <w:lvlJc w:val="left"/>
      <w:lvlText w:val="(%1)"/>
      <w:numFmt w:val="lowerLetter"/>
      <w:start w:val="2"/>
    </w:lvl>
  </w:abstractNum>
  <w:abstractNum w:abstractNumId="66">
    <w:nsid w:val="6FC75AF8"/>
    <w:multiLevelType w:val="hybridMultilevel"/>
    <w:lvl w:ilvl="0">
      <w:lvlJc w:val="left"/>
      <w:lvlText w:val="(%1)"/>
      <w:numFmt w:val="lowerLetter"/>
      <w:start w:val="4"/>
    </w:lvl>
  </w:abstractNum>
  <w:abstractNum w:abstractNumId="67">
    <w:nsid w:val="6A5F7029"/>
    <w:multiLevelType w:val="hybridMultilevel"/>
    <w:lvl w:ilvl="0">
      <w:lvlJc w:val="left"/>
      <w:lvlText w:val="(%1)"/>
      <w:numFmt w:val="lowerLetter"/>
      <w:start w:val="7"/>
    </w:lvl>
  </w:abstractNum>
  <w:abstractNum w:abstractNumId="68">
    <w:nsid w:val="7D5E18F8"/>
    <w:multiLevelType w:val="hybridMultilevel"/>
    <w:lvl w:ilvl="0">
      <w:lvlJc w:val="left"/>
      <w:lvlText w:val="(%1)"/>
      <w:numFmt w:val="lowerLetter"/>
      <w:start w:val="1"/>
    </w:lvl>
  </w:abstractNum>
  <w:abstractNum w:abstractNumId="69">
    <w:nsid w:val="5F3534A4"/>
    <w:multiLevelType w:val="hybridMultilevel"/>
    <w:lvl w:ilvl="0">
      <w:lvlJc w:val="left"/>
      <w:lvlText w:val="(%1)"/>
      <w:numFmt w:val="lowerLetter"/>
      <w:start w:val="2"/>
    </w:lvl>
  </w:abstractNum>
  <w:abstractNum w:abstractNumId="70">
    <w:nsid w:val="73A1821B"/>
    <w:multiLevelType w:val="hybridMultilevel"/>
    <w:lvl w:ilvl="0">
      <w:lvlJc w:val="left"/>
      <w:lvlText w:val="(%1)"/>
      <w:numFmt w:val="lowerLetter"/>
      <w:start w:val="4"/>
    </w:lvl>
  </w:abstractNum>
  <w:abstractNum w:abstractNumId="71">
    <w:nsid w:val="7DE67713"/>
    <w:multiLevelType w:val="hybridMultilevel"/>
    <w:lvl w:ilvl="0">
      <w:lvlJc w:val="left"/>
      <w:lvlText w:val="(%1)"/>
      <w:numFmt w:val="lowerLetter"/>
      <w:start w:val="10"/>
    </w:lvl>
  </w:abstractNum>
  <w:abstractNum w:abstractNumId="72">
    <w:nsid w:val="555C55B5"/>
    <w:multiLevelType w:val="hybridMultilevel"/>
    <w:lvl w:ilvl="0">
      <w:lvlJc w:val="left"/>
      <w:lvlText w:val="(%1)"/>
      <w:numFmt w:val="lowerLetter"/>
      <w:start w:val="16"/>
    </w:lvl>
  </w:abstractNum>
  <w:abstractNum w:abstractNumId="73">
    <w:nsid w:val="3FA62ACA"/>
    <w:multiLevelType w:val="hybridMultilevel"/>
    <w:lvl w:ilvl="0">
      <w:lvlJc w:val="left"/>
      <w:lvlText w:val="(%1)"/>
      <w:numFmt w:val="lowerLetter"/>
      <w:start w:val="1"/>
    </w:lvl>
  </w:abstractNum>
  <w:abstractNum w:abstractNumId="74">
    <w:nsid w:val="14FCE74E"/>
    <w:multiLevelType w:val="hybridMultilevel"/>
    <w:lvl w:ilvl="0">
      <w:lvlJc w:val="left"/>
      <w:lvlText w:val="(%1)"/>
      <w:numFmt w:val="lowerLetter"/>
      <w:start w:val="3"/>
    </w:lvl>
    <w:lvl w:ilvl="1">
      <w:lvlJc w:val="left"/>
      <w:lvlText w:val="(%2)"/>
      <w:numFmt w:val="lowerRoman"/>
      <w:start w:val="1"/>
    </w:lvl>
  </w:abstractNum>
  <w:abstractNum w:abstractNumId="75">
    <w:nsid w:val="6A3DD3E8"/>
    <w:multiLevelType w:val="hybridMultilevel"/>
    <w:lvl w:ilvl="0">
      <w:lvlJc w:val="left"/>
      <w:lvlText w:val="(%1)"/>
      <w:numFmt w:val="lowerLetter"/>
      <w:start w:val="5"/>
    </w:lvl>
  </w:abstractNum>
  <w:abstractNum w:abstractNumId="76">
    <w:nsid w:val="71C91298"/>
    <w:multiLevelType w:val="hybridMultilevel"/>
    <w:lvl w:ilvl="0">
      <w:lvlJc w:val="left"/>
      <w:lvlText w:val="(%1)"/>
      <w:numFmt w:val="lowerLetter"/>
      <w:start w:val="1"/>
    </w:lvl>
    <w:lvl w:ilvl="1">
      <w:lvlJc w:val="left"/>
      <w:lvlText w:val="(%2)"/>
      <w:numFmt w:val="lowerRoman"/>
      <w:start w:val="1"/>
    </w:lvl>
  </w:abstractNum>
  <w:abstractNum w:abstractNumId="77">
    <w:nsid w:val="9DAF632"/>
    <w:multiLevelType w:val="hybridMultilevel"/>
    <w:lvl w:ilvl="0">
      <w:lvlJc w:val="left"/>
      <w:lvlText w:val="%1"/>
      <w:numFmt w:val="lowerLetter"/>
      <w:start w:val="1"/>
    </w:lvl>
    <w:lvl w:ilvl="1">
      <w:lvlJc w:val="left"/>
      <w:lvlText w:val="(%2)"/>
      <w:numFmt w:val="lowerLetter"/>
      <w:start w:val="61"/>
    </w:lvl>
  </w:abstractNum>
  <w:abstractNum w:abstractNumId="78">
    <w:nsid w:val="53299938"/>
    <w:multiLevelType w:val="hybridMultilevel"/>
    <w:lvl w:ilvl="0">
      <w:lvlJc w:val="left"/>
      <w:lvlText w:val="(%1)"/>
      <w:numFmt w:val="lowerLetter"/>
      <w:start w:val="2"/>
    </w:lvl>
    <w:lvl w:ilvl="1">
      <w:lvlJc w:val="left"/>
      <w:lvlText w:val="%2"/>
      <w:numFmt w:val="lowerLetter"/>
      <w:start w:val="1"/>
    </w:lvl>
  </w:abstractNum>
  <w:abstractNum w:abstractNumId="79">
    <w:nsid w:val="1FBFE8E0"/>
    <w:multiLevelType w:val="hybridMultilevel"/>
    <w:lvl w:ilvl="0">
      <w:lvlJc w:val="left"/>
      <w:lvlText w:val="(%1)"/>
      <w:numFmt w:val="lowerLetter"/>
      <w:start w:val="4"/>
    </w:lvl>
  </w:abstractNum>
  <w:abstractNum w:abstractNumId="80">
    <w:nsid w:val="5092CA79"/>
    <w:multiLevelType w:val="hybridMultilevel"/>
    <w:lvl w:ilvl="0">
      <w:lvlJc w:val="left"/>
      <w:lvlText w:val="(%1)"/>
      <w:numFmt w:val="lowerLetter"/>
      <w:start w:val="1"/>
    </w:lvl>
  </w:abstractNum>
  <w:abstractNum w:abstractNumId="81">
    <w:nsid w:val="1D545C4D"/>
    <w:multiLevelType w:val="hybridMultilevel"/>
    <w:lvl w:ilvl="0">
      <w:lvlJc w:val="left"/>
      <w:lvlText w:val="(%1)"/>
      <w:numFmt w:val="lowerLetter"/>
      <w:start w:val="1"/>
    </w:lvl>
  </w:abstractNum>
  <w:abstractNum w:abstractNumId="82">
    <w:nsid w:val="59ADEA3D"/>
    <w:multiLevelType w:val="hybridMultilevel"/>
    <w:lvl w:ilvl="0">
      <w:lvlJc w:val="left"/>
      <w:lvlText w:val="(%1)"/>
      <w:numFmt w:val="lowerLetter"/>
      <w:start w:val="3"/>
    </w:lvl>
  </w:abstractNum>
  <w:abstractNum w:abstractNumId="83">
    <w:nsid w:val="288F1A34"/>
    <w:multiLevelType w:val="hybridMultilevel"/>
    <w:lvl w:ilvl="0">
      <w:lvlJc w:val="left"/>
      <w:lvlText w:val="(%1)"/>
      <w:numFmt w:val="lowerLetter"/>
      <w:start w:val="1"/>
    </w:lvl>
    <w:lvl w:ilvl="1">
      <w:lvlJc w:val="left"/>
      <w:lvlText w:val="(%2)"/>
      <w:numFmt w:val="lowerLetter"/>
      <w:start w:val="9"/>
    </w:lvl>
  </w:abstractNum>
  <w:abstractNum w:abstractNumId="84">
    <w:nsid w:val="2A155DBC"/>
    <w:multiLevelType w:val="hybridMultilevel"/>
    <w:lvl w:ilvl="0">
      <w:lvlJc w:val="left"/>
      <w:lvlText w:val="(%1)"/>
      <w:numFmt w:val="lowerRoman"/>
      <w:start w:val="2"/>
    </w:lvl>
  </w:abstractNum>
  <w:abstractNum w:abstractNumId="85">
    <w:nsid w:val="1D9F6E5F"/>
    <w:multiLevelType w:val="hybridMultilevel"/>
    <w:lvl w:ilvl="0">
      <w:lvlJc w:val="left"/>
      <w:lvlText w:val="(%1)"/>
      <w:numFmt w:val="lowerRoman"/>
      <w:start w:val="5"/>
    </w:lvl>
  </w:abstractNum>
  <w:abstractNum w:abstractNumId="86">
    <w:nsid w:val="97E1B4E"/>
    <w:multiLevelType w:val="hybridMultilevel"/>
    <w:lvl w:ilvl="0">
      <w:lvlJc w:val="left"/>
      <w:lvlText w:val="(%1)"/>
      <w:numFmt w:val="lowerRoman"/>
      <w:start w:val="9"/>
    </w:lvl>
  </w:abstractNum>
  <w:abstractNum w:abstractNumId="87">
    <w:nsid w:val="51088277"/>
    <w:multiLevelType w:val="hybridMultilevel"/>
    <w:lvl w:ilvl="0">
      <w:lvlJc w:val="left"/>
      <w:lvlText w:val="(%1)"/>
      <w:numFmt w:val="lowerRoman"/>
      <w:start w:val="11"/>
    </w:lvl>
  </w:abstractNum>
  <w:abstractNum w:abstractNumId="88">
    <w:nsid w:val="1CA0C5FA"/>
    <w:multiLevelType w:val="hybridMultilevel"/>
    <w:lvl w:ilvl="0">
      <w:lvlJc w:val="left"/>
      <w:lvlText w:val="(%1)"/>
      <w:numFmt w:val="lowerRoman"/>
      <w:start w:val="16"/>
    </w:lvl>
  </w:abstractNum>
  <w:abstractNum w:abstractNumId="89">
    <w:nsid w:val="53584BCB"/>
    <w:multiLevelType w:val="hybridMultilevel"/>
    <w:lvl w:ilvl="0">
      <w:lvlJc w:val="left"/>
      <w:lvlText w:val="(%1)"/>
      <w:numFmt w:val="lowerRoman"/>
      <w:start w:val="20"/>
    </w:lvl>
  </w:abstractNum>
  <w:abstractNum w:abstractNumId="90">
    <w:nsid w:val="415E286C"/>
    <w:multiLevelType w:val="hybridMultilevel"/>
    <w:lvl w:ilvl="0">
      <w:lvlJc w:val="left"/>
      <w:lvlText w:val="(%1)"/>
      <w:numFmt w:val="lowerRoman"/>
      <w:start w:val="24"/>
    </w:lvl>
  </w:abstractNum>
  <w:abstractNum w:abstractNumId="91">
    <w:nsid w:val="7C58FD05"/>
    <w:multiLevelType w:val="hybridMultilevel"/>
    <w:lvl w:ilvl="0">
      <w:lvlJc w:val="left"/>
      <w:lvlText w:val="(%1)"/>
      <w:numFmt w:val="lowerRoman"/>
      <w:start w:val="26"/>
    </w:lvl>
  </w:abstractNum>
  <w:abstractNum w:abstractNumId="92">
    <w:nsid w:val="23D86AAC"/>
    <w:multiLevelType w:val="hybridMultilevel"/>
    <w:lvl w:ilvl="0">
      <w:lvlJc w:val="left"/>
      <w:lvlText w:val="(%1)"/>
      <w:numFmt w:val="lowerRoman"/>
      <w:start w:val="31"/>
    </w:lvl>
  </w:abstractNum>
  <w:abstractNum w:abstractNumId="93">
    <w:nsid w:val="45E6D486"/>
    <w:multiLevelType w:val="hybridMultilevel"/>
    <w:lvl w:ilvl="0">
      <w:lvlJc w:val="left"/>
      <w:lvlText w:val="(%1)"/>
      <w:numFmt w:val="lowerRoman"/>
      <w:start w:val="36"/>
    </w:lvl>
  </w:abstractNum>
  <w:abstractNum w:abstractNumId="94">
    <w:nsid w:val="5C10FE21"/>
    <w:multiLevelType w:val="hybridMultilevel"/>
    <w:lvl w:ilvl="0">
      <w:lvlJc w:val="left"/>
      <w:lvlText w:val="(%1)"/>
      <w:numFmt w:val="lowerLetter"/>
      <w:start w:val="2"/>
    </w:lvl>
    <w:lvl w:ilvl="1">
      <w:lvlJc w:val="left"/>
      <w:lvlText w:val="(%2)"/>
      <w:numFmt w:val="lowerLetter"/>
      <w:start w:val="9"/>
    </w:lvl>
  </w:abstractNum>
  <w:abstractNum w:abstractNumId="95">
    <w:nsid w:val="E7FFA2B"/>
    <w:multiLevelType w:val="hybridMultilevel"/>
    <w:lvl w:ilvl="0">
      <w:lvlJc w:val="left"/>
      <w:lvlText w:val="(%1)"/>
      <w:numFmt w:val="lowerRoman"/>
      <w:start w:val="2"/>
    </w:lvl>
  </w:abstractNum>
  <w:abstractNum w:abstractNumId="96">
    <w:nsid w:val="3C5991AA"/>
    <w:multiLevelType w:val="hybridMultilevel"/>
    <w:lvl w:ilvl="0">
      <w:lvlJc w:val="left"/>
      <w:lvlText w:val="(%1)"/>
      <w:numFmt w:val="lowerRoman"/>
      <w:start w:val="6"/>
    </w:lvl>
  </w:abstractNum>
  <w:abstractNum w:abstractNumId="97">
    <w:nsid w:val="4BD8591A"/>
    <w:multiLevelType w:val="hybridMultilevel"/>
    <w:lvl w:ilvl="0">
      <w:lvlJc w:val="left"/>
      <w:lvlText w:val="(%1)"/>
      <w:numFmt w:val="lowerRoman"/>
      <w:start w:val="9"/>
    </w:lvl>
  </w:abstractNum>
  <w:abstractNum w:abstractNumId="98">
    <w:nsid w:val="78DF6A55"/>
    <w:multiLevelType w:val="hybridMultilevel"/>
    <w:lvl w:ilvl="0">
      <w:lvlJc w:val="left"/>
      <w:lvlText w:val="(%1)"/>
      <w:numFmt w:val="lowerRoman"/>
      <w:start w:val="13"/>
    </w:lvl>
  </w:abstractNum>
  <w:abstractNum w:abstractNumId="99">
    <w:nsid w:val="39B7AAA2"/>
    <w:multiLevelType w:val="hybridMultilevel"/>
    <w:lvl w:ilvl="0">
      <w:lvlJc w:val="left"/>
      <w:lvlText w:val="(%1)"/>
      <w:numFmt w:val="lowerRoman"/>
      <w:start w:val="17"/>
    </w:lvl>
  </w:abstractNum>
  <w:abstractNum w:abstractNumId="100">
    <w:nsid w:val="2B0D8DBE"/>
    <w:multiLevelType w:val="hybridMultilevel"/>
    <w:lvl w:ilvl="0">
      <w:lvlJc w:val="left"/>
      <w:lvlText w:val="(%1)"/>
      <w:numFmt w:val="lowerLetter"/>
      <w:start w:val="3"/>
    </w:lvl>
  </w:abstractNum>
  <w:abstractNum w:abstractNumId="101">
    <w:nsid w:val="6C80EC70"/>
    <w:multiLevelType w:val="hybridMultilevel"/>
    <w:lvl w:ilvl="0">
      <w:lvlJc w:val="left"/>
      <w:lvlText w:val="(%1)"/>
      <w:numFmt w:val="lowerLetter"/>
      <w:start w:val="1"/>
    </w:lvl>
    <w:lvl w:ilvl="1">
      <w:lvlJc w:val="left"/>
      <w:lvlText w:val="(%2)"/>
      <w:numFmt w:val="lowerLetter"/>
      <w:start w:val="9"/>
    </w:lvl>
  </w:abstractNum>
  <w:abstractNum w:abstractNumId="102">
    <w:nsid w:val="379E21B5"/>
    <w:multiLevelType w:val="hybridMultilevel"/>
    <w:lvl w:ilvl="0">
      <w:lvlJc w:val="left"/>
      <w:lvlText w:val="(%1)"/>
      <w:numFmt w:val="upperLetter"/>
      <w:start w:val="1"/>
    </w:lvl>
    <w:lvl w:ilvl="1">
      <w:lvlJc w:val="left"/>
      <w:lvlText w:val="(%2)"/>
      <w:numFmt w:val="lowerRoman"/>
      <w:start w:val="2"/>
    </w:lvl>
  </w:abstractNum>
  <w:abstractNum w:abstractNumId="103">
    <w:nsid w:val="69E373"/>
    <w:multiLevelType w:val="hybridMultilevel"/>
    <w:lvl w:ilvl="0">
      <w:lvlJc w:val="left"/>
      <w:lvlText w:val="%1"/>
      <w:numFmt w:val="upperLetter"/>
      <w:start w:val="1"/>
    </w:lvl>
    <w:lvl w:ilvl="1">
      <w:lvlJc w:val="left"/>
      <w:lvlText w:val="(%2)"/>
      <w:numFmt w:val="lowerRoman"/>
      <w:start w:val="4"/>
    </w:lvl>
  </w:abstractNum>
  <w:abstractNum w:abstractNumId="104">
    <w:nsid w:val="2C27173B"/>
    <w:multiLevelType w:val="hybridMultilevel"/>
    <w:lvl w:ilvl="0">
      <w:lvlJc w:val="left"/>
      <w:lvlText w:val="(%1)"/>
      <w:numFmt w:val="upperLetter"/>
      <w:start w:val="1"/>
    </w:lvl>
    <w:lvl w:ilvl="1">
      <w:lvlJc w:val="left"/>
      <w:lvlText w:val="%2"/>
      <w:numFmt w:val="lowerRoman"/>
      <w:start w:val="1"/>
    </w:lvl>
  </w:abstractNum>
  <w:abstractNum w:abstractNumId="105">
    <w:nsid w:val="4C9B0904"/>
    <w:multiLevelType w:val="hybridMultilevel"/>
    <w:lvl w:ilvl="0">
      <w:lvlJc w:val="left"/>
      <w:lvlText w:val="%1"/>
      <w:numFmt w:val="lowerLetter"/>
      <w:start w:val="1"/>
    </w:lvl>
    <w:lvl w:ilvl="1">
      <w:lvlJc w:val="left"/>
      <w:lvlText w:val="(%2)"/>
      <w:numFmt w:val="lowerRoman"/>
      <w:start w:val="7"/>
    </w:lvl>
  </w:abstractNum>
  <w:abstractNum w:abstractNumId="106">
    <w:nsid w:val="6AA7B75C"/>
    <w:multiLevelType w:val="hybridMultilevel"/>
    <w:lvl w:ilvl="0">
      <w:lvlJc w:val="left"/>
      <w:lvlText w:val="(%1)"/>
      <w:numFmt w:val="lowerLetter"/>
      <w:start w:val="2"/>
    </w:lvl>
    <w:lvl w:ilvl="1">
      <w:lvlJc w:val="left"/>
      <w:lvlText w:val="%2"/>
      <w:numFmt w:val="lowerRoman"/>
      <w:start w:val="1"/>
    </w:lvl>
  </w:abstractNum>
  <w:abstractNum w:abstractNumId="107">
    <w:nsid w:val="1DF029D3"/>
    <w:multiLevelType w:val="hybridMultilevel"/>
    <w:lvl w:ilvl="0">
      <w:lvlJc w:val="left"/>
      <w:lvlText w:val="(%1)"/>
      <w:numFmt w:val="lowerLetter"/>
      <w:start w:val="4"/>
    </w:lvl>
  </w:abstractNum>
  <w:abstractNum w:abstractNumId="108">
    <w:nsid w:val="5675FF36"/>
    <w:multiLevelType w:val="hybridMultilevel"/>
    <w:lvl w:ilvl="0">
      <w:lvlJc w:val="left"/>
      <w:lvlText w:val="(%1)"/>
      <w:numFmt w:val="lowerLetter"/>
      <w:start w:val="7"/>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lowerLetter"/>
      <w:start w:val="4"/>
    </w:lvl>
  </w:abstractNum>
  <w:abstractNum w:abstractNumId="111">
    <w:nsid w:val="2708C9AF"/>
    <w:multiLevelType w:val="hybridMultilevel"/>
    <w:lvl w:ilvl="0">
      <w:lvlJc w:val="left"/>
      <w:lvlText w:val="(%1)"/>
      <w:numFmt w:val="lowerLetter"/>
      <w:start w:val="8"/>
    </w:lvl>
  </w:abstractNum>
  <w:abstractNum w:abstractNumId="112">
    <w:nsid w:val="5B25ACE2"/>
    <w:multiLevelType w:val="hybridMultilevel"/>
    <w:lvl w:ilvl="0">
      <w:lvlJc w:val="left"/>
      <w:lvlText w:val="(%1)"/>
      <w:numFmt w:val="lowerLetter"/>
      <w:start w:val="15"/>
    </w:lvl>
  </w:abstractNum>
  <w:abstractNum w:abstractNumId="113">
    <w:nsid w:val="175DFCF0"/>
    <w:multiLevelType w:val="hybridMultilevel"/>
    <w:lvl w:ilvl="0">
      <w:lvlJc w:val="left"/>
      <w:lvlText w:val="(%1)"/>
      <w:numFmt w:val="lowerLetter"/>
      <w:start w:val="19"/>
    </w:lvl>
  </w:abstractNum>
  <w:abstractNum w:abstractNumId="114">
    <w:nsid w:val="4F97E3E4"/>
    <w:multiLevelType w:val="hybridMultilevel"/>
    <w:lvl w:ilvl="0">
      <w:lvlJc w:val="left"/>
      <w:lvlText w:val="(%1)"/>
      <w:numFmt w:val="lowerLetter"/>
      <w:start w:val="1"/>
    </w:lvl>
    <w:lvl w:ilvl="1">
      <w:lvlJc w:val="left"/>
      <w:lvlText w:val="(%2)"/>
      <w:numFmt w:val="lowerLetter"/>
      <w:start w:val="9"/>
    </w:lvl>
  </w:abstractNum>
  <w:abstractNum w:abstractNumId="115">
    <w:nsid w:val="53B0A9E"/>
    <w:multiLevelType w:val="hybridMultilevel"/>
    <w:lvl w:ilvl="0">
      <w:lvlJc w:val="left"/>
      <w:lvlText w:val="%1"/>
      <w:numFmt w:val="lowerLetter"/>
      <w:start w:val="1"/>
    </w:lvl>
    <w:lvl w:ilvl="1">
      <w:lvlJc w:val="left"/>
      <w:lvlText w:val="(%2)"/>
      <w:numFmt w:val="lowerLetter"/>
      <w:start w:val="35"/>
    </w:lvl>
  </w:abstractNum>
  <w:abstractNum w:abstractNumId="116">
    <w:nsid w:val="34FD6B4F"/>
    <w:multiLevelType w:val="hybridMultilevel"/>
    <w:lvl w:ilvl="0">
      <w:lvlJc w:val="left"/>
      <w:lvlText w:val="(%1)"/>
      <w:numFmt w:val="lowerLetter"/>
      <w:start w:val="5"/>
    </w:lvl>
    <w:lvl w:ilvl="1">
      <w:lvlJc w:val="left"/>
      <w:lvlText w:val="%2"/>
      <w:numFmt w:val="lowerLetter"/>
      <w:start w:val="1"/>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Roman"/>
      <w:start w:val="1"/>
    </w:lvl>
  </w:abstractNum>
  <w:abstractNum w:abstractNumId="119">
    <w:nsid w:val="519E3149"/>
    <w:multiLevelType w:val="hybridMultilevel"/>
    <w:lvl w:ilvl="0">
      <w:lvlJc w:val="left"/>
      <w:lvlText w:val="(%1)"/>
      <w:numFmt w:val="lowerLetter"/>
      <w:start w:val="2"/>
    </w:lvl>
  </w:abstractNum>
  <w:abstractNum w:abstractNumId="120">
    <w:nsid w:val="2C6E4AFD"/>
    <w:multiLevelType w:val="hybridMultilevel"/>
    <w:lvl w:ilvl="0">
      <w:lvlJc w:val="left"/>
      <w:lvlText w:val="(%1)"/>
      <w:numFmt w:val="lowerLetter"/>
      <w:start w:val="3"/>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3"/>
    </w:lvl>
  </w:abstractNum>
  <w:abstractNum w:abstractNumId="123">
    <w:nsid w:val="5046B5A9"/>
    <w:multiLevelType w:val="hybridMultilevel"/>
    <w:lvl w:ilvl="0">
      <w:lvlJc w:val="left"/>
      <w:lvlText w:val="(%1)"/>
      <w:numFmt w:val="lowerLetter"/>
      <w:start w:val="1"/>
    </w:lvl>
  </w:abstractNum>
  <w:abstractNum w:abstractNumId="124">
    <w:nsid w:val="5D888A08"/>
    <w:multiLevelType w:val="hybridMultilevel"/>
    <w:lvl w:ilvl="0">
      <w:lvlJc w:val="left"/>
      <w:lvlText w:val=" "/>
      <w:numFmt w:val="bullet"/>
      <w:start w:val="1"/>
    </w:lvl>
  </w:abstractNum>
  <w:abstractNum w:abstractNumId="125">
    <w:nsid w:val="2A082C70"/>
    <w:multiLevelType w:val="hybridMultilevel"/>
    <w:lvl w:ilvl="0">
      <w:lvlJc w:val="left"/>
      <w:lvlText w:val="%1."/>
      <w:numFmt w:val="decimal"/>
      <w:start w:val="1"/>
    </w:lvl>
  </w:abstractNum>
  <w:abstractNum w:abstractNumId="126">
    <w:nsid w:val="5EC6AFD4"/>
    <w:multiLevelType w:val="hybridMultilevel"/>
    <w:lvl w:ilvl="0">
      <w:lvlJc w:val="left"/>
      <w:lvlText w:val="%1."/>
      <w:numFmt w:val="decimal"/>
      <w:start w:val="3"/>
    </w:lvl>
  </w:abstractNum>
  <w:abstractNum w:abstractNumId="127">
    <w:nsid w:val="19E21BB2"/>
    <w:multiLevelType w:val="hybridMultilevel"/>
    <w:lvl w:ilvl="0">
      <w:lvlJc w:val="left"/>
      <w:lvlText w:val="%1"/>
      <w:numFmt w:val="lowerLetter"/>
      <w:start w:val="1"/>
    </w:lvl>
    <w:lvl w:ilvl="1">
      <w:lvlJc w:val="left"/>
      <w:lvlText w:val="%2."/>
      <w:numFmt w:val="decimal"/>
      <w:start w:val="6"/>
    </w:lvl>
  </w:abstractNum>
  <w:abstractNum w:abstractNumId="128">
    <w:nsid w:val="75E0858A"/>
    <w:multiLevelType w:val="hybridMultilevel"/>
    <w:lvl w:ilvl="0">
      <w:lvlJc w:val="left"/>
      <w:lvlText w:val="(%1)"/>
      <w:numFmt w:val="lowerLetter"/>
      <w:start w:val="1"/>
    </w:lvl>
    <w:lvl w:ilvl="1">
      <w:lvlJc w:val="left"/>
      <w:lvlText w:val="%2."/>
      <w:numFmt w:val="decimal"/>
      <w:start w:val="7"/>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4"/>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2024-07-18T15:23:34Z</dcterms:created>
  <dcterms:modified xsi:type="dcterms:W3CDTF">2024-07-18T15:23:34Z</dcterms:modified>
</cp:coreProperties>
</file>