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DECEMBER 31, 2016</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560"/>
        <w:spacing w:after="0"/>
        <w:tabs>
          <w:tab w:leader="none" w:pos="67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3974465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4"/>
          <w:szCs w:val="24"/>
          <w:color w:val="auto"/>
        </w:rPr>
      </w:pPr>
    </w:p>
    <w:tbl>
      <w:tblPr>
        <w:tblLayout w:type="fixed"/>
        <w:tblInd w:w="1340" w:type="dxa"/>
        <w:tblCellMar>
          <w:top w:w="0" w:type="dxa"/>
          <w:left w:w="0" w:type="dxa"/>
          <w:bottom w:w="0" w:type="dxa"/>
          <w:right w:w="0" w:type="dxa"/>
        </w:tblCellMar>
      </w:tblPr>
      <w:tr>
        <w:trPr>
          <w:trHeight w:val="16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4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4"/>
          <w:szCs w:val="24"/>
          <w:color w:val="auto"/>
        </w:rPr>
      </w:pPr>
    </w:p>
    <w:p>
      <w:pPr>
        <w:ind w:right="80" w:firstLine="33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400" w:firstLine="33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firstLine="33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48" w:lineRule="exact"/>
        <w:rPr>
          <w:sz w:val="24"/>
          <w:szCs w:val="24"/>
          <w:color w:val="auto"/>
        </w:rPr>
      </w:pPr>
    </w:p>
    <w:p>
      <w:pPr>
        <w:sectPr>
          <w:pgSz w:w="11900" w:h="16838" w:orient="portrait"/>
          <w:cols w:equalWidth="0" w:num="5">
            <w:col w:w="6880" w:space="140"/>
            <w:col w:w="200" w:space="80"/>
            <w:col w:w="120" w:space="160"/>
            <w:col w:w="180" w:space="60"/>
            <w:col w:w="3420"/>
          </w:cols>
          <w:pgMar w:left="320" w:top="230" w:right="339" w:bottom="1440" w:gutter="0" w:footer="0" w:header="0"/>
          <w:type w:val="continuous"/>
        </w:sectPr>
      </w:pPr>
    </w:p>
    <w:p>
      <w:pPr>
        <w:spacing w:after="0" w:line="17"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February 9, 2017 was 26,730,074.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DECEMBER 31, 2016</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40" w:type="dxa"/>
            <w:vAlign w:val="bottom"/>
          </w:tcPr>
          <w:p>
            <w:pPr>
              <w:spacing w:after="0"/>
              <w:rPr>
                <w:sz w:val="16"/>
                <w:szCs w:val="16"/>
                <w:color w:val="auto"/>
              </w:rPr>
            </w:pPr>
          </w:p>
        </w:tc>
      </w:tr>
      <w:tr>
        <w:trPr>
          <w:trHeight w:val="256"/>
        </w:trPr>
        <w:tc>
          <w:tcPr>
            <w:tcW w:w="91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40" w:type="dxa"/>
            <w:vAlign w:val="bottom"/>
          </w:tcPr>
          <w:p>
            <w:pPr>
              <w:spacing w:after="0"/>
              <w:rPr>
                <w:sz w:val="22"/>
                <w:szCs w:val="22"/>
                <w:color w:val="auto"/>
              </w:rPr>
            </w:pPr>
          </w:p>
        </w:tc>
      </w:tr>
      <w:tr>
        <w:trPr>
          <w:trHeight w:val="257"/>
        </w:trPr>
        <w:tc>
          <w:tcPr>
            <w:tcW w:w="912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2016 (unaudited) and September 30, 2016</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912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2016 and 2015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912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2016 and 2015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912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2016 and 2015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912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2016 (unaudited) and September 30, 2016</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9120" w:type="dxa"/>
            <w:vAlign w:val="bottom"/>
          </w:tcPr>
          <w:p>
            <w:pPr>
              <w:ind w:left="30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7"/>
        </w:trPr>
        <w:tc>
          <w:tcPr>
            <w:tcW w:w="9120" w:type="dxa"/>
            <w:vAlign w:val="bottom"/>
          </w:tcPr>
          <w:p>
            <w:pPr>
              <w:ind w:left="30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6"/>
        </w:trPr>
        <w:tc>
          <w:tcPr>
            <w:tcW w:w="912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Controls and Procedures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20" w:type="dxa"/>
            <w:vAlign w:val="bottom"/>
          </w:tcPr>
          <w:p>
            <w:pPr>
              <w:ind w:left="428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 OTHER INFORMATION</w:t>
              </w:r>
            </w:hyperlink>
          </w:p>
        </w:tc>
        <w:tc>
          <w:tcPr>
            <w:tcW w:w="2040" w:type="dxa"/>
            <w:vAlign w:val="bottom"/>
          </w:tcPr>
          <w:p>
            <w:pPr>
              <w:spacing w:after="0"/>
              <w:rPr>
                <w:sz w:val="22"/>
                <w:szCs w:val="22"/>
                <w:color w:val="auto"/>
              </w:rPr>
            </w:pP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 Legal Proceedings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6"/>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1A. Risk Factors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2. Unregistered Sales of Equity Securities and Use of Proceeds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Defaults Upon Senior Securities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Mine Safety Disclosures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5. Other Information</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6. Exhibits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6"/>
        </w:trPr>
        <w:tc>
          <w:tcPr>
            <w:tcW w:w="912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SIGNATURES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97"/>
        </w:trPr>
        <w:tc>
          <w:tcPr>
            <w:tcW w:w="9120" w:type="dxa"/>
            <w:vAlign w:val="bottom"/>
          </w:tcPr>
          <w:p>
            <w:pPr>
              <w:ind w:left="5580"/>
              <w:spacing w:after="0"/>
              <w:rPr>
                <w:sz w:val="20"/>
                <w:szCs w:val="20"/>
                <w:color w:val="auto"/>
              </w:rPr>
            </w:pPr>
            <w:r>
              <w:rPr>
                <w:rFonts w:ascii="Arial" w:cs="Arial" w:eastAsia="Arial" w:hAnsi="Arial"/>
                <w:sz w:val="14"/>
                <w:szCs w:val="14"/>
                <w:color w:val="auto"/>
              </w:rPr>
              <w:t>2</w:t>
            </w:r>
          </w:p>
        </w:tc>
        <w:tc>
          <w:tcPr>
            <w:tcW w:w="20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8"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We are filing this Quarterly Report on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multi-currency, senior secured revolving credit facility, as amended and restated, or the Credit Facility, and our business include investments we make through our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60"/>
          </w:cols>
          <w:pgMar w:left="32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660" w:type="dxa"/>
            <w:vAlign w:val="bottom"/>
          </w:tcPr>
          <w:p>
            <w:pPr>
              <w:ind w:left="280"/>
              <w:spacing w:after="0"/>
              <w:rPr>
                <w:sz w:val="20"/>
                <w:szCs w:val="20"/>
                <w:color w:val="auto"/>
              </w:rPr>
            </w:pPr>
            <w:r>
              <w:rPr>
                <w:rFonts w:ascii="Arial" w:cs="Arial" w:eastAsia="Arial" w:hAnsi="Arial"/>
                <w:sz w:val="14"/>
                <w:szCs w:val="14"/>
                <w:b w:val="1"/>
                <w:bCs w:val="1"/>
                <w:color w:val="auto"/>
              </w:rPr>
              <w:t>Consolidated Financial Statements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520" w:type="dxa"/>
            <w:vAlign w:val="bottom"/>
          </w:tcPr>
          <w:p>
            <w:pPr>
              <w:spacing w:after="0"/>
              <w:rPr>
                <w:sz w:val="24"/>
                <w:szCs w:val="24"/>
                <w:color w:val="auto"/>
              </w:rPr>
            </w:pPr>
          </w:p>
        </w:tc>
        <w:tc>
          <w:tcPr>
            <w:tcW w:w="7660" w:type="dxa"/>
            <w:vAlign w:val="bottom"/>
          </w:tcPr>
          <w:p>
            <w:pPr>
              <w:ind w:left="274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766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5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2016</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6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(cost—$653,340,297 and $597,910,267, respectively)</w:t>
            </w: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656,868,887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598,887,525</w:t>
            </w:r>
          </w:p>
        </w:tc>
        <w:tc>
          <w:tcPr>
            <w:tcW w:w="0" w:type="dxa"/>
            <w:vAlign w:val="bottom"/>
          </w:tcPr>
          <w:p>
            <w:pPr>
              <w:spacing w:after="0"/>
              <w:rPr>
                <w:sz w:val="1"/>
                <w:szCs w:val="1"/>
                <w:color w:val="auto"/>
              </w:rPr>
            </w:pPr>
          </w:p>
        </w:tc>
      </w:tr>
      <w:tr>
        <w:trPr>
          <w:trHeight w:val="148"/>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(cost—$24,201,258 and $28,903,359, respectively)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24,203,565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28,910,973</w:t>
            </w: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3,088,719</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2,480,406</w:t>
            </w:r>
          </w:p>
        </w:tc>
        <w:tc>
          <w:tcPr>
            <w:tcW w:w="0" w:type="dxa"/>
            <w:vAlign w:val="bottom"/>
          </w:tcPr>
          <w:p>
            <w:pPr>
              <w:spacing w:after="0"/>
              <w:rPr>
                <w:sz w:val="1"/>
                <w:szCs w:val="1"/>
                <w:color w:val="auto"/>
              </w:rPr>
            </w:pPr>
          </w:p>
        </w:tc>
      </w:tr>
      <w:tr>
        <w:trPr>
          <w:trHeight w:val="148"/>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11,357,601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1,088,475</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1,141,191</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76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696,607,247</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631,420,095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2,539,357</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2,539,357</w:t>
            </w: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11,827,362</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14,935,970</w:t>
            </w:r>
          </w:p>
        </w:tc>
        <w:tc>
          <w:tcPr>
            <w:tcW w:w="0" w:type="dxa"/>
            <w:vAlign w:val="bottom"/>
          </w:tcPr>
          <w:p>
            <w:pPr>
              <w:spacing w:after="0"/>
              <w:rPr>
                <w:sz w:val="1"/>
                <w:szCs w:val="1"/>
                <w:color w:val="auto"/>
              </w:rPr>
            </w:pPr>
          </w:p>
        </w:tc>
      </w:tr>
      <w:tr>
        <w:trPr>
          <w:trHeight w:val="148"/>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Credit Facility payable (cost—$299,309,500 and $232,907,500, respectively) (See Notes 5 and 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299,859,712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232,389,498</w:t>
            </w: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672,625</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531,926</w:t>
            </w:r>
          </w:p>
        </w:tc>
        <w:tc>
          <w:tcPr>
            <w:tcW w:w="0" w:type="dxa"/>
            <w:vAlign w:val="bottom"/>
          </w:tcPr>
          <w:p>
            <w:pPr>
              <w:spacing w:after="0"/>
              <w:rPr>
                <w:sz w:val="1"/>
                <w:szCs w:val="1"/>
                <w:color w:val="auto"/>
              </w:rPr>
            </w:pPr>
          </w:p>
        </w:tc>
      </w:tr>
      <w:tr>
        <w:trPr>
          <w:trHeight w:val="149"/>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1,595,726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1,458,625</w:t>
            </w: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2,602,140</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3,454,914</w:t>
            </w:r>
          </w:p>
        </w:tc>
        <w:tc>
          <w:tcPr>
            <w:tcW w:w="0" w:type="dxa"/>
            <w:vAlign w:val="bottom"/>
          </w:tcPr>
          <w:p>
            <w:pPr>
              <w:spacing w:after="0"/>
              <w:rPr>
                <w:sz w:val="1"/>
                <w:szCs w:val="1"/>
                <w:color w:val="auto"/>
              </w:rPr>
            </w:pPr>
          </w:p>
        </w:tc>
      </w:tr>
      <w:tr>
        <w:trPr>
          <w:trHeight w:val="148"/>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Accrued other expenses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372,659</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202,977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20" w:type="dxa"/>
            <w:vAlign w:val="bottom"/>
            <w:shd w:val="clear" w:color="auto" w:fill="CCEEFF"/>
          </w:tcPr>
          <w:p>
            <w:pPr>
              <w:spacing w:after="0"/>
              <w:rPr>
                <w:sz w:val="12"/>
                <w:szCs w:val="12"/>
                <w:color w:val="auto"/>
              </w:rPr>
            </w:pPr>
          </w:p>
        </w:tc>
        <w:tc>
          <w:tcPr>
            <w:tcW w:w="7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319,469,581</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255,513,267</w:t>
            </w:r>
          </w:p>
        </w:tc>
        <w:tc>
          <w:tcPr>
            <w:tcW w:w="0" w:type="dxa"/>
            <w:vAlign w:val="bottom"/>
          </w:tcPr>
          <w:p>
            <w:pPr>
              <w:spacing w:after="0"/>
              <w:rPr>
                <w:sz w:val="1"/>
                <w:szCs w:val="1"/>
                <w:color w:val="auto"/>
              </w:rPr>
            </w:pPr>
          </w:p>
        </w:tc>
      </w:tr>
      <w:tr>
        <w:trPr>
          <w:trHeight w:val="155"/>
        </w:trPr>
        <w:tc>
          <w:tcPr>
            <w:tcW w:w="818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10)</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180" w:type="dxa"/>
            <w:vAlign w:val="bottom"/>
            <w:gridSpan w:val="2"/>
          </w:tcPr>
          <w:p>
            <w:pPr>
              <w:spacing w:after="0" w:line="130" w:lineRule="exact"/>
              <w:rPr>
                <w:sz w:val="20"/>
                <w:szCs w:val="20"/>
                <w:color w:val="auto"/>
              </w:rPr>
            </w:pPr>
            <w:r>
              <w:rPr>
                <w:rFonts w:ascii="Arial" w:cs="Arial" w:eastAsia="Arial" w:hAnsi="Arial"/>
                <w:sz w:val="14"/>
                <w:szCs w:val="14"/>
                <w:color w:val="auto"/>
              </w:rPr>
              <w:t>Common stock, 26,730,074 shares issued and outstanding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26,730</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26,730</w:t>
            </w: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371,194,366</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371,194,366</w:t>
            </w:r>
          </w:p>
        </w:tc>
        <w:tc>
          <w:tcPr>
            <w:tcW w:w="0" w:type="dxa"/>
            <w:vAlign w:val="bottom"/>
          </w:tcPr>
          <w:p>
            <w:pPr>
              <w:spacing w:after="0"/>
              <w:rPr>
                <w:sz w:val="1"/>
                <w:szCs w:val="1"/>
                <w:color w:val="auto"/>
              </w:rPr>
            </w:pPr>
          </w:p>
        </w:tc>
      </w:tr>
      <w:tr>
        <w:trPr>
          <w:trHeight w:val="148"/>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3,763,272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4,559,646</w:t>
            </w:r>
          </w:p>
        </w:tc>
        <w:tc>
          <w:tcPr>
            <w:tcW w:w="0" w:type="dxa"/>
            <w:vAlign w:val="bottom"/>
          </w:tcPr>
          <w:p>
            <w:pPr>
              <w:spacing w:after="0"/>
              <w:rPr>
                <w:sz w:val="1"/>
                <w:szCs w:val="1"/>
                <w:color w:val="auto"/>
              </w:rPr>
            </w:pPr>
          </w:p>
        </w:tc>
      </w:tr>
      <w:tr>
        <w:trPr>
          <w:trHeight w:val="148"/>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(827,387)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(1,376,788)</w:t>
            </w:r>
          </w:p>
        </w:tc>
        <w:tc>
          <w:tcPr>
            <w:tcW w:w="0" w:type="dxa"/>
            <w:vAlign w:val="bottom"/>
          </w:tcPr>
          <w:p>
            <w:pPr>
              <w:spacing w:after="0"/>
              <w:rPr>
                <w:sz w:val="1"/>
                <w:szCs w:val="1"/>
                <w:color w:val="auto"/>
              </w:rPr>
            </w:pPr>
          </w:p>
        </w:tc>
      </w:tr>
      <w:tr>
        <w:trPr>
          <w:trHeight w:val="148"/>
        </w:trPr>
        <w:tc>
          <w:tcPr>
            <w:tcW w:w="818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3,530,897</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984,872</w:t>
            </w:r>
          </w:p>
        </w:tc>
        <w:tc>
          <w:tcPr>
            <w:tcW w:w="0" w:type="dxa"/>
            <w:vAlign w:val="bottom"/>
          </w:tcPr>
          <w:p>
            <w:pPr>
              <w:spacing w:after="0"/>
              <w:rPr>
                <w:sz w:val="1"/>
                <w:szCs w:val="1"/>
                <w:color w:val="auto"/>
              </w:rPr>
            </w:pPr>
          </w:p>
        </w:tc>
      </w:tr>
      <w:tr>
        <w:trPr>
          <w:trHeight w:val="149"/>
        </w:trPr>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Credit Facility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(550,212)</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518,002</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76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377,137,666</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375,906,828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shd w:val="clear" w:color="auto" w:fill="CCEEFF"/>
          </w:tcPr>
          <w:p>
            <w:pPr>
              <w:spacing w:after="0"/>
              <w:rPr>
                <w:sz w:val="12"/>
                <w:szCs w:val="12"/>
                <w:color w:val="auto"/>
              </w:rPr>
            </w:pPr>
          </w:p>
        </w:tc>
        <w:tc>
          <w:tcPr>
            <w:tcW w:w="7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696,607,247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631,420,095</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14.11</w:t>
            </w:r>
          </w:p>
        </w:tc>
        <w:tc>
          <w:tcPr>
            <w:tcW w:w="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7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280" w:type="dxa"/>
            <w:vAlign w:val="bottom"/>
            <w:gridSpan w:val="2"/>
            <w:shd w:val="clear" w:color="auto" w:fill="CCEEFF"/>
          </w:tcPr>
          <w:p>
            <w:pPr>
              <w:jc w:val="right"/>
              <w:ind w:right="19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11,951,835</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8,612,862</w:t>
            </w:r>
          </w:p>
        </w:tc>
        <w:tc>
          <w:tcPr>
            <w:tcW w:w="0" w:type="dxa"/>
            <w:vAlign w:val="bottom"/>
          </w:tcPr>
          <w:p>
            <w:pPr>
              <w:spacing w:after="0"/>
              <w:rPr>
                <w:sz w:val="1"/>
                <w:szCs w:val="1"/>
                <w:color w:val="auto"/>
              </w:rPr>
            </w:pPr>
          </w:p>
        </w:tc>
      </w:tr>
      <w:tr>
        <w:trPr>
          <w:trHeight w:val="148"/>
        </w:trPr>
        <w:tc>
          <w:tcPr>
            <w:tcW w:w="77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679,433</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102,685</w:t>
            </w: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3"/>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40,933</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12,631,268</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8,756,480</w:t>
            </w: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1,595,727</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1,077,741</w:t>
            </w:r>
          </w:p>
        </w:tc>
        <w:tc>
          <w:tcPr>
            <w:tcW w:w="0" w:type="dxa"/>
            <w:vAlign w:val="bottom"/>
          </w:tcPr>
          <w:p>
            <w:pPr>
              <w:spacing w:after="0"/>
              <w:rPr>
                <w:sz w:val="1"/>
                <w:szCs w:val="1"/>
                <w:color w:val="auto"/>
              </w:rPr>
            </w:pPr>
          </w:p>
        </w:tc>
      </w:tr>
      <w:tr>
        <w:trPr>
          <w:trHeight w:val="148"/>
        </w:trPr>
        <w:tc>
          <w:tcPr>
            <w:tcW w:w="772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1,469,369</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Credit Facility (See Note 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1,800,725</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939,682</w:t>
            </w:r>
          </w:p>
        </w:tc>
        <w:tc>
          <w:tcPr>
            <w:tcW w:w="0" w:type="dxa"/>
            <w:vAlign w:val="bottom"/>
          </w:tcPr>
          <w:p>
            <w:pPr>
              <w:spacing w:after="0"/>
              <w:rPr>
                <w:sz w:val="1"/>
                <w:szCs w:val="1"/>
                <w:color w:val="auto"/>
              </w:rPr>
            </w:pPr>
          </w:p>
        </w:tc>
      </w:tr>
      <w:tr>
        <w:trPr>
          <w:trHeight w:val="149"/>
        </w:trPr>
        <w:tc>
          <w:tcPr>
            <w:tcW w:w="772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561,250</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357,500</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548,313</w:t>
            </w:r>
          </w:p>
        </w:tc>
        <w:tc>
          <w:tcPr>
            <w:tcW w:w="0" w:type="dxa"/>
            <w:vAlign w:val="bottom"/>
          </w:tcPr>
          <w:p>
            <w:pPr>
              <w:spacing w:after="0"/>
              <w:rPr>
                <w:sz w:val="1"/>
                <w:szCs w:val="1"/>
                <w:color w:val="auto"/>
              </w:rPr>
            </w:pPr>
          </w:p>
        </w:tc>
      </w:tr>
      <w:tr>
        <w:trPr>
          <w:trHeight w:val="155"/>
        </w:trPr>
        <w:tc>
          <w:tcPr>
            <w:tcW w:w="77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5,784,571</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2,762,800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3"/>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907,722</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5,809,571</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3,670,522</w:t>
            </w:r>
          </w:p>
        </w:tc>
        <w:tc>
          <w:tcPr>
            <w:tcW w:w="0" w:type="dxa"/>
            <w:vAlign w:val="bottom"/>
          </w:tcPr>
          <w:p>
            <w:pPr>
              <w:spacing w:after="0"/>
              <w:rPr>
                <w:sz w:val="1"/>
                <w:szCs w:val="1"/>
                <w:color w:val="auto"/>
              </w:rPr>
            </w:pPr>
          </w:p>
        </w:tc>
      </w:tr>
      <w:tr>
        <w:trPr>
          <w:trHeight w:val="163"/>
        </w:trPr>
        <w:tc>
          <w:tcPr>
            <w:tcW w:w="77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6,821,697</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5,085,958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549,401</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(3,232,008)</w:t>
            </w: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2,546,025</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(708,946)</w:t>
            </w: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(appreciation) depreciation (See Notes 5 and 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(1,068,214)</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601,875</w:t>
            </w:r>
          </w:p>
        </w:tc>
        <w:tc>
          <w:tcPr>
            <w:tcW w:w="0" w:type="dxa"/>
            <w:vAlign w:val="bottom"/>
          </w:tcPr>
          <w:p>
            <w:pPr>
              <w:spacing w:after="0"/>
              <w:rPr>
                <w:sz w:val="1"/>
                <w:szCs w:val="1"/>
                <w:color w:val="auto"/>
              </w:rPr>
            </w:pPr>
          </w:p>
        </w:tc>
      </w:tr>
      <w:tr>
        <w:trPr>
          <w:trHeight w:val="163"/>
        </w:trPr>
        <w:tc>
          <w:tcPr>
            <w:tcW w:w="77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1,477,811</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2,027,212</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(3,339,079)</w:t>
            </w: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8,848,909</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1,746,879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280" w:type="dxa"/>
            <w:vAlign w:val="bottom"/>
            <w:gridSpan w:val="2"/>
            <w:shd w:val="clear" w:color="auto" w:fill="CCEEFF"/>
          </w:tcPr>
          <w:p>
            <w:pPr>
              <w:jc w:val="right"/>
              <w:ind w:right="19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0.33</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0.26</w:t>
            </w:r>
          </w:p>
        </w:tc>
        <w:tc>
          <w:tcPr>
            <w:tcW w:w="2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3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2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80" w:type="dxa"/>
            <w:vAlign w:val="bottom"/>
            <w:gridSpan w:val="2"/>
          </w:tcPr>
          <w:p>
            <w:pPr>
              <w:jc w:val="right"/>
              <w:ind w:right="94"/>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6,821,697</w:t>
            </w:r>
          </w:p>
        </w:tc>
        <w:tc>
          <w:tcPr>
            <w:tcW w:w="280" w:type="dxa"/>
            <w:vAlign w:val="bottom"/>
          </w:tcPr>
          <w:p>
            <w:pPr>
              <w:spacing w:after="0"/>
              <w:rPr>
                <w:sz w:val="12"/>
                <w:szCs w:val="12"/>
                <w:color w:val="auto"/>
              </w:rPr>
            </w:pPr>
          </w:p>
        </w:tc>
        <w:tc>
          <w:tcPr>
            <w:tcW w:w="5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5,085,958</w:t>
            </w:r>
          </w:p>
        </w:tc>
        <w:tc>
          <w:tcPr>
            <w:tcW w:w="0" w:type="dxa"/>
            <w:vAlign w:val="bottom"/>
          </w:tcPr>
          <w:p>
            <w:pPr>
              <w:spacing w:after="0"/>
              <w:rPr>
                <w:sz w:val="1"/>
                <w:szCs w:val="1"/>
                <w:color w:val="auto"/>
              </w:rPr>
            </w:pPr>
          </w:p>
        </w:tc>
      </w:tr>
      <w:tr>
        <w:trPr>
          <w:trHeight w:val="148"/>
        </w:trPr>
        <w:tc>
          <w:tcPr>
            <w:tcW w:w="8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(loss) on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549,401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(3,232,008)</w:t>
            </w:r>
          </w:p>
        </w:tc>
        <w:tc>
          <w:tcPr>
            <w:tcW w:w="0" w:type="dxa"/>
            <w:vAlign w:val="bottom"/>
          </w:tcPr>
          <w:p>
            <w:pPr>
              <w:spacing w:after="0"/>
              <w:rPr>
                <w:sz w:val="1"/>
                <w:szCs w:val="1"/>
                <w:color w:val="auto"/>
              </w:rPr>
            </w:pPr>
          </w:p>
        </w:tc>
      </w:tr>
      <w:tr>
        <w:trPr>
          <w:trHeight w:val="148"/>
        </w:trPr>
        <w:tc>
          <w:tcPr>
            <w:tcW w:w="832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2,546,025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(708,946)</w:t>
            </w:r>
          </w:p>
        </w:tc>
        <w:tc>
          <w:tcPr>
            <w:tcW w:w="0" w:type="dxa"/>
            <w:vAlign w:val="bottom"/>
          </w:tcPr>
          <w:p>
            <w:pPr>
              <w:spacing w:after="0"/>
              <w:rPr>
                <w:sz w:val="1"/>
                <w:szCs w:val="1"/>
                <w:color w:val="auto"/>
              </w:rPr>
            </w:pPr>
          </w:p>
        </w:tc>
      </w:tr>
      <w:tr>
        <w:trPr>
          <w:trHeight w:val="149"/>
        </w:trPr>
        <w:tc>
          <w:tcPr>
            <w:tcW w:w="8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(1,068,214)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601,875</w:t>
            </w:r>
          </w:p>
        </w:tc>
        <w:tc>
          <w:tcPr>
            <w:tcW w:w="0" w:type="dxa"/>
            <w:vAlign w:val="bottom"/>
          </w:tcPr>
          <w:p>
            <w:pPr>
              <w:spacing w:after="0"/>
              <w:rPr>
                <w:sz w:val="1"/>
                <w:szCs w:val="1"/>
                <w:color w:val="auto"/>
              </w:rPr>
            </w:pPr>
          </w:p>
        </w:tc>
      </w:tr>
      <w:tr>
        <w:trPr>
          <w:trHeight w:val="163"/>
        </w:trPr>
        <w:tc>
          <w:tcPr>
            <w:tcW w:w="83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8,848,909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1,746,879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(7,618,071)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(7,618,071)</w:t>
            </w:r>
          </w:p>
        </w:tc>
        <w:tc>
          <w:tcPr>
            <w:tcW w:w="0" w:type="dxa"/>
            <w:vAlign w:val="bottom"/>
          </w:tcPr>
          <w:p>
            <w:pPr>
              <w:spacing w:after="0"/>
              <w:rPr>
                <w:sz w:val="1"/>
                <w:szCs w:val="1"/>
                <w:color w:val="auto"/>
              </w:rPr>
            </w:pPr>
          </w:p>
        </w:tc>
      </w:tr>
      <w:tr>
        <w:trPr>
          <w:trHeight w:val="163"/>
        </w:trPr>
        <w:tc>
          <w:tcPr>
            <w:tcW w:w="83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1,230,838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(5,871,192)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375,906,828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372,890,449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377,137,666</w:t>
            </w: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367,019,257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00"/>
              <w:spacing w:after="0"/>
              <w:rPr>
                <w:sz w:val="20"/>
                <w:szCs w:val="20"/>
                <w:color w:val="auto"/>
              </w:rPr>
            </w:pPr>
            <w:r>
              <w:rPr>
                <w:rFonts w:ascii="Arial" w:cs="Arial" w:eastAsia="Arial" w:hAnsi="Arial"/>
                <w:sz w:val="14"/>
                <w:szCs w:val="14"/>
                <w:color w:val="auto"/>
              </w:rPr>
              <w:t>Undistributed net investment income, end of period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2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3,763,272</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4,459,360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 December 31,</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3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6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2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8,848,909</w:t>
            </w:r>
          </w:p>
        </w:tc>
        <w:tc>
          <w:tcPr>
            <w:tcW w:w="5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1,746,879</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used in operating activities: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(2,546,025)</w:t>
            </w: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708,946</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1,068,214</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(601,875)</w:t>
            </w:r>
          </w:p>
        </w:tc>
        <w:tc>
          <w:tcPr>
            <w:tcW w:w="0" w:type="dxa"/>
            <w:vAlign w:val="bottom"/>
          </w:tcPr>
          <w:p>
            <w:pPr>
              <w:spacing w:after="0"/>
              <w:rPr>
                <w:sz w:val="1"/>
                <w:szCs w:val="1"/>
                <w:color w:val="auto"/>
              </w:rPr>
            </w:pPr>
          </w:p>
        </w:tc>
      </w:tr>
      <w:tr>
        <w:trPr>
          <w:trHeight w:val="148"/>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Net realized (gain) loss on investments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(549,401)</w:t>
            </w: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3,232,008</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(425,722)</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(337,666)</w:t>
            </w:r>
          </w:p>
        </w:tc>
        <w:tc>
          <w:tcPr>
            <w:tcW w:w="0" w:type="dxa"/>
            <w:vAlign w:val="bottom"/>
          </w:tcPr>
          <w:p>
            <w:pPr>
              <w:spacing w:after="0"/>
              <w:rPr>
                <w:sz w:val="1"/>
                <w:szCs w:val="1"/>
                <w:color w:val="auto"/>
              </w:rPr>
            </w:pPr>
          </w:p>
        </w:tc>
      </w:tr>
      <w:tr>
        <w:trPr>
          <w:trHeight w:val="148"/>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(124,826,238)</w:t>
            </w:r>
          </w:p>
        </w:tc>
        <w:tc>
          <w:tcPr>
            <w:tcW w:w="2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(99,199,653)</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interest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(39,085)</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(18,135)</w:t>
            </w:r>
          </w:p>
        </w:tc>
        <w:tc>
          <w:tcPr>
            <w:tcW w:w="0" w:type="dxa"/>
            <w:vAlign w:val="bottom"/>
          </w:tcPr>
          <w:p>
            <w:pPr>
              <w:spacing w:after="0"/>
              <w:rPr>
                <w:sz w:val="1"/>
                <w:szCs w:val="1"/>
                <w:color w:val="auto"/>
              </w:rPr>
            </w:pPr>
          </w:p>
        </w:tc>
      </w:tr>
      <w:tr>
        <w:trPr>
          <w:trHeight w:val="149"/>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70,405,217</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26,860,815</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interest receivable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(608,313)</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(314,572)</w:t>
            </w:r>
          </w:p>
        </w:tc>
        <w:tc>
          <w:tcPr>
            <w:tcW w:w="0" w:type="dxa"/>
            <w:vAlign w:val="bottom"/>
          </w:tcPr>
          <w:p>
            <w:pPr>
              <w:spacing w:after="0"/>
              <w:rPr>
                <w:sz w:val="1"/>
                <w:szCs w:val="1"/>
                <w:color w:val="auto"/>
              </w:rPr>
            </w:pPr>
          </w:p>
        </w:tc>
      </w:tr>
      <w:tr>
        <w:trPr>
          <w:trHeight w:val="148"/>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Increase in receivable for investments sold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(11,357,601)</w:t>
            </w: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52,716</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(59,486)</w:t>
            </w:r>
          </w:p>
        </w:tc>
        <w:tc>
          <w:tcPr>
            <w:tcW w:w="0" w:type="dxa"/>
            <w:vAlign w:val="bottom"/>
          </w:tcPr>
          <w:p>
            <w:pPr>
              <w:spacing w:after="0"/>
              <w:rPr>
                <w:sz w:val="1"/>
                <w:szCs w:val="1"/>
                <w:color w:val="auto"/>
              </w:rPr>
            </w:pPr>
          </w:p>
        </w:tc>
      </w:tr>
      <w:tr>
        <w:trPr>
          <w:trHeight w:val="148"/>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(3,108,608)</w:t>
            </w: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1,435,162</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140,699</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115,221</w:t>
            </w:r>
          </w:p>
        </w:tc>
        <w:tc>
          <w:tcPr>
            <w:tcW w:w="0" w:type="dxa"/>
            <w:vAlign w:val="bottom"/>
          </w:tcPr>
          <w:p>
            <w:pPr>
              <w:spacing w:after="0"/>
              <w:rPr>
                <w:sz w:val="1"/>
                <w:szCs w:val="1"/>
                <w:color w:val="auto"/>
              </w:rPr>
            </w:pPr>
          </w:p>
        </w:tc>
      </w:tr>
      <w:tr>
        <w:trPr>
          <w:trHeight w:val="148"/>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Increase in management fee payable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137,101</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121,626</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performance-based incentive fee payable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(852,774)</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48"/>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accrued other expenses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169,682</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(160,831)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3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in operating activities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(63,491,229)</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(66,474,497)</w:t>
            </w:r>
          </w:p>
        </w:tc>
        <w:tc>
          <w:tcPr>
            <w:tcW w:w="0" w:type="dxa"/>
            <w:vAlign w:val="bottom"/>
          </w:tcPr>
          <w:p>
            <w:pPr>
              <w:spacing w:after="0"/>
              <w:rPr>
                <w:sz w:val="1"/>
                <w:szCs w:val="1"/>
                <w:color w:val="auto"/>
              </w:rPr>
            </w:pPr>
          </w:p>
        </w:tc>
      </w:tr>
      <w:tr>
        <w:trPr>
          <w:trHeight w:val="155"/>
        </w:trPr>
        <w:tc>
          <w:tcPr>
            <w:tcW w:w="83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(7,618,071)</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(7,618,071)</w:t>
            </w:r>
          </w:p>
        </w:tc>
        <w:tc>
          <w:tcPr>
            <w:tcW w:w="0" w:type="dxa"/>
            <w:vAlign w:val="bottom"/>
          </w:tcPr>
          <w:p>
            <w:pPr>
              <w:spacing w:after="0"/>
              <w:rPr>
                <w:sz w:val="1"/>
                <w:szCs w:val="1"/>
                <w:color w:val="auto"/>
              </w:rPr>
            </w:pPr>
          </w:p>
        </w:tc>
      </w:tr>
      <w:tr>
        <w:trPr>
          <w:trHeight w:val="149"/>
        </w:trPr>
        <w:tc>
          <w:tcPr>
            <w:tcW w:w="8360" w:type="dxa"/>
            <w:vAlign w:val="bottom"/>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91,902,000</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69,300,000</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(25,500,000)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(2,600,000)</w:t>
            </w:r>
          </w:p>
        </w:tc>
        <w:tc>
          <w:tcPr>
            <w:tcW w:w="0" w:type="dxa"/>
            <w:vAlign w:val="bottom"/>
          </w:tcPr>
          <w:p>
            <w:pPr>
              <w:spacing w:after="0"/>
              <w:rPr>
                <w:sz w:val="1"/>
                <w:szCs w:val="1"/>
                <w:color w:val="auto"/>
              </w:rPr>
            </w:pPr>
          </w:p>
        </w:tc>
      </w:tr>
      <w:tr>
        <w:trPr>
          <w:trHeight w:val="163"/>
        </w:trPr>
        <w:tc>
          <w:tcPr>
            <w:tcW w:w="836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58,783,929</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59,081,929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equivalents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(4,707,300)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(7,392,568)</w:t>
            </w:r>
          </w:p>
        </w:tc>
        <w:tc>
          <w:tcPr>
            <w:tcW w:w="0" w:type="dxa"/>
            <w:vAlign w:val="bottom"/>
          </w:tcPr>
          <w:p>
            <w:pPr>
              <w:spacing w:after="0"/>
              <w:rPr>
                <w:sz w:val="1"/>
                <w:szCs w:val="1"/>
                <w:color w:val="auto"/>
              </w:rPr>
            </w:pPr>
          </w:p>
        </w:tc>
      </w:tr>
      <w:tr>
        <w:trPr>
          <w:trHeight w:val="148"/>
        </w:trPr>
        <w:tc>
          <w:tcPr>
            <w:tcW w:w="836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(108)</w:t>
            </w: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28,910,973</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21,428,514</w:t>
            </w:r>
          </w:p>
        </w:tc>
        <w:tc>
          <w:tcPr>
            <w:tcW w:w="0" w:type="dxa"/>
            <w:vAlign w:val="bottom"/>
          </w:tcPr>
          <w:p>
            <w:pPr>
              <w:spacing w:after="0"/>
              <w:rPr>
                <w:sz w:val="1"/>
                <w:szCs w:val="1"/>
                <w:color w:val="auto"/>
              </w:rPr>
            </w:pPr>
          </w:p>
        </w:tc>
      </w:tr>
      <w:tr>
        <w:trPr>
          <w:trHeight w:val="156"/>
        </w:trPr>
        <w:tc>
          <w:tcPr>
            <w:tcW w:w="836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24,203,565</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14,035,946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tcPr>
          <w:p>
            <w:pPr>
              <w:ind w:left="300"/>
              <w:spacing w:after="0" w:line="149" w:lineRule="exact"/>
              <w:rPr>
                <w:sz w:val="20"/>
                <w:szCs w:val="20"/>
                <w:color w:val="auto"/>
              </w:rPr>
            </w:pPr>
            <w:r>
              <w:rPr>
                <w:rFonts w:ascii="Arial" w:cs="Arial" w:eastAsia="Arial" w:hAnsi="Arial"/>
                <w:sz w:val="14"/>
                <w:szCs w:val="14"/>
                <w:color w:val="auto"/>
              </w:rPr>
              <w:t>Interest paid</w:t>
            </w:r>
          </w:p>
        </w:tc>
        <w:tc>
          <w:tcPr>
            <w:tcW w:w="2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1,660,026</w:t>
            </w:r>
          </w:p>
        </w:tc>
        <w:tc>
          <w:tcPr>
            <w:tcW w:w="5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824,461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Taxes paid</w:t>
            </w:r>
          </w:p>
        </w:tc>
        <w:tc>
          <w:tcPr>
            <w:tcW w:w="200" w:type="dxa"/>
            <w:vAlign w:val="bottom"/>
            <w:gridSpan w:val="2"/>
            <w:shd w:val="clear" w:color="auto" w:fill="CCEEFF"/>
          </w:tcPr>
          <w:p>
            <w:pPr>
              <w:jc w:val="right"/>
              <w:ind w:right="69"/>
              <w:spacing w:after="0" w:line="143" w:lineRule="exact"/>
              <w:rPr>
                <w:sz w:val="20"/>
                <w:szCs w:val="20"/>
                <w:color w:val="auto"/>
              </w:rPr>
            </w:pPr>
            <w:r>
              <w:rPr>
                <w:rFonts w:ascii="Arial" w:cs="Arial" w:eastAsia="Arial" w:hAnsi="Arial"/>
                <w:sz w:val="14"/>
                <w:szCs w:val="14"/>
                <w:color w:val="auto"/>
                <w:w w:val="76"/>
              </w:rPr>
              <w:t>$</w:t>
            </w:r>
          </w:p>
        </w:tc>
        <w:tc>
          <w:tcPr>
            <w:tcW w:w="1500" w:type="dxa"/>
            <w:vAlign w:val="bottom"/>
            <w:gridSpan w:val="3"/>
            <w:shd w:val="clear" w:color="auto" w:fill="CCEEFF"/>
          </w:tcPr>
          <w:p>
            <w:pPr>
              <w:jc w:val="right"/>
              <w:ind w:right="54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00"/>
              <w:spacing w:after="0"/>
              <w:rPr>
                <w:sz w:val="20"/>
                <w:szCs w:val="20"/>
                <w:color w:val="auto"/>
              </w:rPr>
            </w:pPr>
            <w:r>
              <w:rPr>
                <w:rFonts w:ascii="Arial" w:cs="Arial" w:eastAsia="Arial" w:hAnsi="Arial"/>
                <w:sz w:val="14"/>
                <w:szCs w:val="14"/>
                <w:color w:val="auto"/>
              </w:rPr>
              <w:t>Non-cash exchanges and conversions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709,685</w:t>
            </w:r>
          </w:p>
        </w:tc>
        <w:tc>
          <w:tcPr>
            <w:tcW w:w="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4,547,934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Current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Par /</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vMerge w:val="continue"/>
          </w:tcPr>
          <w:p>
            <w:pPr>
              <w:spacing w:after="0"/>
              <w:rPr>
                <w:sz w:val="13"/>
                <w:szCs w:val="13"/>
                <w:color w:val="auto"/>
              </w:rPr>
            </w:pPr>
          </w:p>
        </w:tc>
        <w:tc>
          <w:tcPr>
            <w:tcW w:w="1220" w:type="dxa"/>
            <w:vAlign w:val="bottom"/>
          </w:tcPr>
          <w:p>
            <w:pPr>
              <w:jc w:val="center"/>
              <w:ind w:left="477"/>
              <w:spacing w:after="0"/>
              <w:rPr>
                <w:sz w:val="20"/>
                <w:szCs w:val="20"/>
                <w:color w:val="auto"/>
              </w:rPr>
            </w:pPr>
            <w:r>
              <w:rPr>
                <w:rFonts w:ascii="Arial" w:cs="Arial" w:eastAsia="Arial" w:hAnsi="Arial"/>
                <w:sz w:val="13"/>
                <w:szCs w:val="13"/>
                <w:b w:val="1"/>
                <w:bCs w:val="1"/>
                <w:color w:val="auto"/>
                <w:w w:val="94"/>
              </w:rPr>
              <w:t>Maturity</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Coupon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47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Non-Affiliated Portfolio Companies—174.2% </w:t>
            </w:r>
            <w:r>
              <w:rPr>
                <w:rFonts w:ascii="Arial" w:cs="Arial" w:eastAsia="Arial" w:hAnsi="Arial"/>
                <w:sz w:val="10"/>
                <w:szCs w:val="10"/>
                <w:b w:val="1"/>
                <w:bCs w:val="1"/>
                <w:color w:val="auto"/>
                <w:w w:val="93"/>
              </w:rPr>
              <w:t>(3), (4)</w:t>
            </w:r>
          </w:p>
        </w:tc>
        <w:tc>
          <w:tcPr>
            <w:tcW w:w="20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Debt—159.1%</w:t>
            </w:r>
          </w:p>
        </w:tc>
        <w:tc>
          <w:tcPr>
            <w:tcW w:w="12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08/09/2021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12,468,750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12,236,628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12,344,063</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(8), (10)</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08/09/2021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Alera Group Holdings, Inc.</w:t>
            </w:r>
          </w:p>
        </w:tc>
        <w:tc>
          <w:tcPr>
            <w:tcW w:w="1220" w:type="dxa"/>
            <w:vAlign w:val="bottom"/>
            <w:shd w:val="clear" w:color="auto" w:fill="CCEEFF"/>
          </w:tcPr>
          <w:p>
            <w:pPr>
              <w:jc w:val="center"/>
              <w:ind w:left="477"/>
              <w:spacing w:after="0" w:line="121" w:lineRule="exact"/>
              <w:rPr>
                <w:sz w:val="20"/>
                <w:szCs w:val="20"/>
                <w:color w:val="auto"/>
              </w:rPr>
            </w:pPr>
            <w:r>
              <w:rPr>
                <w:rFonts w:ascii="Arial" w:cs="Arial" w:eastAsia="Arial" w:hAnsi="Arial"/>
                <w:sz w:val="13"/>
                <w:szCs w:val="13"/>
                <w:color w:val="auto"/>
                <w:w w:val="86"/>
              </w:rPr>
              <w:t>12/30/2022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8.25%</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P+450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8,696,374</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8,609,642</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8,609,410</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 xml:space="preserve">Alera Group Holdings, Inc. (Revolver) </w:t>
            </w:r>
            <w:r>
              <w:rPr>
                <w:rFonts w:ascii="Arial" w:cs="Arial" w:eastAsia="Arial" w:hAnsi="Arial"/>
                <w:sz w:val="10"/>
                <w:szCs w:val="10"/>
                <w:color w:val="auto"/>
              </w:rPr>
              <w:t>(10)</w:t>
            </w:r>
          </w:p>
        </w:tc>
        <w:tc>
          <w:tcPr>
            <w:tcW w:w="1220" w:type="dxa"/>
            <w:vAlign w:val="bottom"/>
          </w:tcPr>
          <w:p>
            <w:pPr>
              <w:jc w:val="center"/>
              <w:ind w:left="477"/>
              <w:spacing w:after="0" w:line="121" w:lineRule="exact"/>
              <w:rPr>
                <w:sz w:val="20"/>
                <w:szCs w:val="20"/>
                <w:color w:val="auto"/>
              </w:rPr>
            </w:pPr>
            <w:r>
              <w:rPr>
                <w:rFonts w:ascii="Arial" w:cs="Arial" w:eastAsia="Arial" w:hAnsi="Arial"/>
                <w:sz w:val="13"/>
                <w:szCs w:val="13"/>
                <w:color w:val="auto"/>
                <w:w w:val="86"/>
              </w:rPr>
              <w:t>12/30/2021</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1,771,962</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Alera Group Holdings, Inc. </w:t>
            </w:r>
            <w:r>
              <w:rPr>
                <w:rFonts w:ascii="Arial" w:cs="Arial" w:eastAsia="Arial" w:hAnsi="Arial"/>
                <w:sz w:val="10"/>
                <w:szCs w:val="10"/>
                <w:color w:val="auto"/>
              </w:rPr>
              <w:t>(10)</w:t>
            </w:r>
          </w:p>
        </w:tc>
        <w:tc>
          <w:tcPr>
            <w:tcW w:w="1220" w:type="dxa"/>
            <w:vAlign w:val="bottom"/>
            <w:shd w:val="clear" w:color="auto" w:fill="CCEEFF"/>
          </w:tcPr>
          <w:p>
            <w:pPr>
              <w:jc w:val="center"/>
              <w:ind w:left="477"/>
              <w:spacing w:after="0" w:line="121" w:lineRule="exact"/>
              <w:rPr>
                <w:sz w:val="20"/>
                <w:szCs w:val="20"/>
                <w:color w:val="auto"/>
              </w:rPr>
            </w:pPr>
            <w:r>
              <w:rPr>
                <w:rFonts w:ascii="Arial" w:cs="Arial" w:eastAsia="Arial" w:hAnsi="Arial"/>
                <w:sz w:val="13"/>
                <w:szCs w:val="13"/>
                <w:color w:val="auto"/>
                <w:w w:val="86"/>
              </w:rPr>
              <w:t>12/30/2022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3,510,000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Estate</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02/28/2019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12,064,454</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12,041,216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12,064,454</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04/04/2022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3,890,867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3,873,800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3,754,686</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American Auto Auction Group,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11/30/2021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Transportation: Consumer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10,838,502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10,835,000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10/02/2023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2,992,500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2,963,304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2,988,759</w:t>
            </w: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(8)</w:t>
            </w:r>
          </w:p>
        </w:tc>
        <w:tc>
          <w:tcPr>
            <w:tcW w:w="1220" w:type="dxa"/>
            <w:vAlign w:val="bottom"/>
          </w:tcPr>
          <w:p>
            <w:pPr>
              <w:jc w:val="center"/>
              <w:ind w:left="477"/>
              <w:spacing w:after="0" w:line="121" w:lineRule="exact"/>
              <w:rPr>
                <w:sz w:val="20"/>
                <w:szCs w:val="20"/>
                <w:color w:val="auto"/>
              </w:rPr>
            </w:pPr>
            <w:r>
              <w:rPr>
                <w:rFonts w:ascii="Arial" w:cs="Arial" w:eastAsia="Arial" w:hAnsi="Arial"/>
                <w:sz w:val="13"/>
                <w:szCs w:val="13"/>
                <w:color w:val="auto"/>
                <w:w w:val="86"/>
              </w:rPr>
              <w:t>12/31/2021</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Metals and Mining</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15.00%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128,248</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124,139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128,248</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w w:val="99"/>
              </w:rPr>
              <w:t>(PIK 5.00%)</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American Scaffold</w:t>
            </w:r>
          </w:p>
        </w:tc>
        <w:tc>
          <w:tcPr>
            <w:tcW w:w="1220" w:type="dxa"/>
            <w:vAlign w:val="bottom"/>
            <w:shd w:val="clear" w:color="auto" w:fill="CCEEFF"/>
          </w:tcPr>
          <w:p>
            <w:pPr>
              <w:jc w:val="center"/>
              <w:ind w:left="477"/>
              <w:spacing w:after="0" w:line="136" w:lineRule="exact"/>
              <w:rPr>
                <w:sz w:val="20"/>
                <w:szCs w:val="20"/>
                <w:color w:val="auto"/>
              </w:rPr>
            </w:pPr>
            <w:r>
              <w:rPr>
                <w:rFonts w:ascii="Arial" w:cs="Arial" w:eastAsia="Arial" w:hAnsi="Arial"/>
                <w:sz w:val="13"/>
                <w:szCs w:val="13"/>
                <w:color w:val="auto"/>
                <w:w w:val="86"/>
              </w:rPr>
              <w:t>03/31/2022</w:t>
            </w:r>
          </w:p>
        </w:tc>
        <w:tc>
          <w:tcPr>
            <w:tcW w:w="20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4,906,250</w:t>
            </w:r>
          </w:p>
        </w:tc>
        <w:tc>
          <w:tcPr>
            <w:tcW w:w="94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4,838,361</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4,857,188</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American Teleconferencing Services, Ltd.</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12/08/2021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6,997,280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6,787,362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6,809,263</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09/19/2023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14,962,500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14,818,503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14,915,817</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Anesthesia Consulting &amp; Management, LP</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10/31/2022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3,960,604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3,970,000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Anesthesia Consulting &amp; Management, LP </w:t>
            </w:r>
            <w:r>
              <w:rPr>
                <w:rFonts w:ascii="Arial" w:cs="Arial" w:eastAsia="Arial" w:hAnsi="Arial"/>
                <w:sz w:val="10"/>
                <w:szCs w:val="10"/>
                <w:color w:val="auto"/>
              </w:rPr>
              <w:t>(8), (10)</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10/31/2022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6,518,078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6,444,893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6,474,603</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04/22/2022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9,770,591</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9,800,750</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06/03/2021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2,384,579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2,425,000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06/03/2021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L+1,225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2,407,862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2,450,000</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06/30/2021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2,442,994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2,364,000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Cardenas Markets LLC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11/29/2023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Beverage, Food and Tobacco</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7,425,830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7,500,000</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07/02/2020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4,921,411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07/21/2023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12,468,750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12,158,895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12,531,094</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12/24/2019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3,916,040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3,474,900</w:t>
            </w:r>
          </w:p>
        </w:tc>
        <w:tc>
          <w:tcPr>
            <w:tcW w:w="0" w:type="dxa"/>
            <w:vAlign w:val="bottom"/>
          </w:tcPr>
          <w:p>
            <w:pPr>
              <w:spacing w:after="0"/>
              <w:rPr>
                <w:sz w:val="1"/>
                <w:szCs w:val="1"/>
                <w:color w:val="auto"/>
              </w:rPr>
            </w:pP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220" w:type="dxa"/>
            <w:vAlign w:val="bottom"/>
            <w:shd w:val="clear" w:color="auto" w:fill="CCEEFF"/>
          </w:tcPr>
          <w:p>
            <w:pPr>
              <w:jc w:val="center"/>
              <w:ind w:left="477"/>
              <w:spacing w:after="0" w:line="121" w:lineRule="exact"/>
              <w:rPr>
                <w:sz w:val="20"/>
                <w:szCs w:val="20"/>
                <w:color w:val="auto"/>
              </w:rPr>
            </w:pPr>
            <w:r>
              <w:rPr>
                <w:rFonts w:ascii="Arial" w:cs="Arial" w:eastAsia="Arial" w:hAnsi="Arial"/>
                <w:sz w:val="13"/>
                <w:szCs w:val="13"/>
                <w:color w:val="auto"/>
                <w:w w:val="86"/>
              </w:rPr>
              <w:t>01/08/2019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7.50%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L+625</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4,757,143</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4,732,576</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4,566,857</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11/25/2020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6,256,800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6,153,773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6,256,800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 (10)</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11/25/2020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9,712,731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9,642,729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9,688,450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02/07/2022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1,949,694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1,974,825</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08/02/2021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9,975,000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9,879,526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9,975,000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03/19/2018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L+725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1,971,104</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1,962,737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1,971,104</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12/09/2020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4,912,500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4,878,704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4,863,375</w:t>
            </w:r>
          </w:p>
        </w:tc>
        <w:tc>
          <w:tcPr>
            <w:tcW w:w="0" w:type="dxa"/>
            <w:vAlign w:val="bottom"/>
          </w:tcPr>
          <w:p>
            <w:pPr>
              <w:spacing w:after="0"/>
              <w:rPr>
                <w:sz w:val="1"/>
                <w:szCs w:val="1"/>
                <w:color w:val="auto"/>
              </w:rPr>
            </w:pP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Digital Room LLC</w:t>
            </w:r>
          </w:p>
        </w:tc>
        <w:tc>
          <w:tcPr>
            <w:tcW w:w="1220" w:type="dxa"/>
            <w:vAlign w:val="bottom"/>
            <w:shd w:val="clear" w:color="auto" w:fill="CCEEFF"/>
          </w:tcPr>
          <w:p>
            <w:pPr>
              <w:jc w:val="center"/>
              <w:ind w:left="477"/>
              <w:spacing w:after="0" w:line="121" w:lineRule="exact"/>
              <w:rPr>
                <w:sz w:val="20"/>
                <w:szCs w:val="20"/>
                <w:color w:val="auto"/>
              </w:rPr>
            </w:pPr>
            <w:r>
              <w:rPr>
                <w:rFonts w:ascii="Arial" w:cs="Arial" w:eastAsia="Arial" w:hAnsi="Arial"/>
                <w:sz w:val="13"/>
                <w:szCs w:val="13"/>
                <w:color w:val="auto"/>
                <w:w w:val="86"/>
              </w:rPr>
              <w:t>11/21/2022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6,861,733</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6,860,000</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06/30/2020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4,625,000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4,598,277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4,625,000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09/10/2020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8,437,500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8,403,778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8,437,500</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09/10/2020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05/06/2021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8,586,957</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8,546,784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8,544,021</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(8), (10)</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1,304,348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06/15/2022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7.75%</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10,548,335</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10,449,705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10,548,336</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07/01/2021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4,866,496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4,801,875</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12/23/2021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2,917,576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2,894,365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2,830,049</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6,618,092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6,577,992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6,551,911</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GTCR Valor Companies,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06/16/2023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7,462,500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7,182,715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7,376,234</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Highline Aftermarket Acquisition, LLC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04/01/2022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7,218,750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7,154,171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7,236,797</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10/21/2020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1,153,558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12/13/2019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2,587,871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2,573,570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2,208,572</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08/05/2019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6,125,000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6,093,462</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5,512,500</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L+625</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6,208,320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6,121,045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6,208,320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04/09/2021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7,922,492</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7,305,337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7,902,685</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05/01/2019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8,321,542</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8,268,965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7,988,680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IGM RFE1 B.V. </w:t>
            </w:r>
            <w:r>
              <w:rPr>
                <w:rFonts w:ascii="Arial" w:cs="Arial" w:eastAsia="Arial" w:hAnsi="Arial"/>
                <w:sz w:val="10"/>
                <w:szCs w:val="10"/>
                <w:color w:val="auto"/>
              </w:rPr>
              <w:t>(6), (11), (12)</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10/12/2021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E+000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6"/>
              </w:rPr>
              <w:t>€17,390,625</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18,075,816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18,342,797</w:t>
            </w: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Imagine! Print Solutions, LLC</w:t>
            </w:r>
          </w:p>
        </w:tc>
        <w:tc>
          <w:tcPr>
            <w:tcW w:w="1220" w:type="dxa"/>
            <w:vAlign w:val="bottom"/>
          </w:tcPr>
          <w:p>
            <w:pPr>
              <w:jc w:val="center"/>
              <w:ind w:left="477"/>
              <w:spacing w:after="0" w:line="121" w:lineRule="exact"/>
              <w:rPr>
                <w:sz w:val="20"/>
                <w:szCs w:val="20"/>
                <w:color w:val="auto"/>
              </w:rPr>
            </w:pPr>
            <w:r>
              <w:rPr>
                <w:rFonts w:ascii="Arial" w:cs="Arial" w:eastAsia="Arial" w:hAnsi="Arial"/>
                <w:sz w:val="13"/>
                <w:szCs w:val="13"/>
                <w:color w:val="auto"/>
                <w:w w:val="86"/>
              </w:rPr>
              <w:t>03/30/2022</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5,959,975</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5,902,236</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6,049,375</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Impact Sales, LLC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12/30/2021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11,250,000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11,250,000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11,250,000</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Impact Sales, LLC </w:t>
            </w:r>
            <w:r>
              <w:rPr>
                <w:rFonts w:ascii="Arial" w:cs="Arial" w:eastAsia="Arial" w:hAnsi="Arial"/>
                <w:sz w:val="10"/>
                <w:szCs w:val="10"/>
                <w:color w:val="auto"/>
              </w:rPr>
              <w:t>(10)</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12/31/2018</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220" w:type="dxa"/>
            <w:vAlign w:val="bottom"/>
            <w:shd w:val="clear" w:color="auto" w:fill="CCEEFF"/>
          </w:tcPr>
          <w:p>
            <w:pPr>
              <w:jc w:val="center"/>
              <w:ind w:left="477"/>
              <w:spacing w:after="0" w:line="121" w:lineRule="exact"/>
              <w:rPr>
                <w:sz w:val="20"/>
                <w:szCs w:val="20"/>
                <w:color w:val="auto"/>
              </w:rPr>
            </w:pPr>
            <w:r>
              <w:rPr>
                <w:rFonts w:ascii="Arial" w:cs="Arial" w:eastAsia="Arial" w:hAnsi="Arial"/>
                <w:sz w:val="13"/>
                <w:szCs w:val="13"/>
                <w:color w:val="auto"/>
                <w:w w:val="86"/>
              </w:rPr>
              <w:t>03/28/2019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2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5,256,439</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5,218,146</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5,256,439</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220" w:type="dxa"/>
            <w:vAlign w:val="bottom"/>
          </w:tcPr>
          <w:p>
            <w:pPr>
              <w:jc w:val="center"/>
              <w:ind w:left="477"/>
              <w:spacing w:after="0" w:line="121" w:lineRule="exact"/>
              <w:rPr>
                <w:sz w:val="20"/>
                <w:szCs w:val="20"/>
                <w:color w:val="auto"/>
              </w:rPr>
            </w:pPr>
            <w:r>
              <w:rPr>
                <w:rFonts w:ascii="Arial" w:cs="Arial" w:eastAsia="Arial" w:hAnsi="Arial"/>
                <w:sz w:val="13"/>
                <w:szCs w:val="13"/>
                <w:color w:val="auto"/>
                <w:w w:val="86"/>
              </w:rPr>
              <w:t>03/28/2019</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12.00%</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L+1,100</w:t>
            </w:r>
          </w:p>
        </w:tc>
        <w:tc>
          <w:tcPr>
            <w:tcW w:w="8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4,464,349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06/30/2020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6,628,398</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6,579,255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6,628,398</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Inventus Power, Inc.</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04/30/2020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4,849,446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4,638,153</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07/30/2020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4,825,770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4,697,875</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220" w:type="dxa"/>
            <w:vAlign w:val="bottom"/>
          </w:tcPr>
          <w:p>
            <w:pPr>
              <w:jc w:val="center"/>
              <w:ind w:left="477"/>
              <w:spacing w:after="0" w:line="135" w:lineRule="exact"/>
              <w:rPr>
                <w:sz w:val="20"/>
                <w:szCs w:val="20"/>
                <w:color w:val="auto"/>
              </w:rPr>
            </w:pPr>
            <w:r>
              <w:rPr>
                <w:rFonts w:ascii="Arial" w:cs="Arial" w:eastAsia="Arial" w:hAnsi="Arial"/>
                <w:sz w:val="13"/>
                <w:szCs w:val="13"/>
                <w:color w:val="auto"/>
                <w:w w:val="86"/>
              </w:rPr>
              <w:t>02/19/2021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L+900</w:t>
            </w: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3,934,894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3,927,550</w:t>
            </w:r>
          </w:p>
        </w:tc>
        <w:tc>
          <w:tcPr>
            <w:tcW w:w="0" w:type="dxa"/>
            <w:vAlign w:val="bottom"/>
          </w:tcPr>
          <w:p>
            <w:pPr>
              <w:spacing w:after="0"/>
              <w:rPr>
                <w:sz w:val="1"/>
                <w:szCs w:val="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1220" w:type="dxa"/>
            <w:vAlign w:val="bottom"/>
            <w:shd w:val="clear" w:color="auto" w:fill="CCEEFF"/>
          </w:tcPr>
          <w:p>
            <w:pPr>
              <w:jc w:val="center"/>
              <w:ind w:left="477"/>
              <w:spacing w:after="0" w:line="135" w:lineRule="exact"/>
              <w:rPr>
                <w:sz w:val="20"/>
                <w:szCs w:val="20"/>
                <w:color w:val="auto"/>
              </w:rPr>
            </w:pPr>
            <w:r>
              <w:rPr>
                <w:rFonts w:ascii="Arial" w:cs="Arial" w:eastAsia="Arial" w:hAnsi="Arial"/>
                <w:sz w:val="13"/>
                <w:szCs w:val="13"/>
                <w:color w:val="auto"/>
                <w:w w:val="86"/>
              </w:rPr>
              <w:t>07/17/2020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2,812,500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2,791,567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2,784,375</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KHC Holdings, Inc.</w:t>
            </w:r>
          </w:p>
        </w:tc>
        <w:tc>
          <w:tcPr>
            <w:tcW w:w="1220" w:type="dxa"/>
            <w:vAlign w:val="bottom"/>
          </w:tcPr>
          <w:p>
            <w:pPr>
              <w:jc w:val="center"/>
              <w:ind w:left="477"/>
              <w:spacing w:after="0"/>
              <w:rPr>
                <w:sz w:val="20"/>
                <w:szCs w:val="20"/>
                <w:color w:val="auto"/>
              </w:rPr>
            </w:pPr>
            <w:r>
              <w:rPr>
                <w:rFonts w:ascii="Arial" w:cs="Arial" w:eastAsia="Arial" w:hAnsi="Arial"/>
                <w:sz w:val="13"/>
                <w:szCs w:val="13"/>
                <w:color w:val="auto"/>
                <w:w w:val="86"/>
              </w:rPr>
              <w:t>10/31/2022</w:t>
            </w:r>
          </w:p>
        </w:tc>
        <w:tc>
          <w:tcPr>
            <w:tcW w:w="2080" w:type="dxa"/>
            <w:vAlign w:val="bottom"/>
          </w:tcPr>
          <w:p>
            <w:pPr>
              <w:jc w:val="center"/>
              <w:spacing w:after="0"/>
              <w:rPr>
                <w:sz w:val="20"/>
                <w:szCs w:val="20"/>
                <w:color w:val="auto"/>
              </w:rPr>
            </w:pPr>
            <w:r>
              <w:rPr>
                <w:rFonts w:ascii="Arial" w:cs="Arial" w:eastAsia="Arial" w:hAnsi="Arial"/>
                <w:sz w:val="13"/>
                <w:szCs w:val="13"/>
                <w:color w:val="auto"/>
                <w:w w:val="88"/>
              </w:rPr>
              <w:t>Wholesale</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L+600</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12,375,000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12,186,813</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12,375,000</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Basis Point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Current</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20" w:type="dxa"/>
            <w:vAlign w:val="bottom"/>
            <w:gridSpan w:val="2"/>
            <w:vMerge w:val="continue"/>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2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10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34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6"/>
              </w:rPr>
              <w:t>10/30/2020</w:t>
            </w:r>
          </w:p>
        </w:tc>
        <w:tc>
          <w:tcPr>
            <w:tcW w:w="18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Wholesale</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1,209,677</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Lago Resort &amp; Casino, LLC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03/07/2022</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Hotel, Gaming and Leisure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10,200,000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5"/>
              </w:rPr>
              <w:t>10,017,217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10,200,000</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11/30/2018</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L+525</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5,392,148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5,356,439</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5,203,422</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Lombart Brothers, Inc.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L+650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5,970,000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5,889,619</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5,970,000</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1,238,938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Long’s Drugs Incorporated</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08/19/2021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L+525</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4,987,500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4,941,570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01/15/2021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Retail</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9,420,054</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9,301,704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9,420,054</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Marketplace Events LLC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01/27/2021</w:t>
            </w:r>
          </w:p>
        </w:tc>
        <w:tc>
          <w:tcPr>
            <w:tcW w:w="180" w:type="dxa"/>
            <w:vAlign w:val="bottom"/>
          </w:tcPr>
          <w:p>
            <w:pPr>
              <w:spacing w:after="0"/>
              <w:rPr>
                <w:sz w:val="11"/>
                <w:szCs w:val="11"/>
                <w:color w:val="auto"/>
              </w:rPr>
            </w:pPr>
          </w:p>
        </w:tc>
        <w:tc>
          <w:tcPr>
            <w:tcW w:w="21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L+525</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3,402,920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3,353,135</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3,385,905</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01/27/2021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P+275</w:t>
            </w:r>
          </w:p>
        </w:tc>
        <w:tc>
          <w:tcPr>
            <w:tcW w:w="1060" w:type="dxa"/>
            <w:vAlign w:val="bottom"/>
            <w:gridSpan w:val="3"/>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C$17,200,829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12,043,641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12,762,251</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01/27/2021</w:t>
            </w:r>
          </w:p>
        </w:tc>
        <w:tc>
          <w:tcPr>
            <w:tcW w:w="180" w:type="dxa"/>
            <w:vAlign w:val="bottom"/>
          </w:tcPr>
          <w:p>
            <w:pPr>
              <w:spacing w:after="0"/>
              <w:rPr>
                <w:sz w:val="11"/>
                <w:szCs w:val="11"/>
                <w:color w:val="auto"/>
              </w:rPr>
            </w:pPr>
          </w:p>
        </w:tc>
        <w:tc>
          <w:tcPr>
            <w:tcW w:w="21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1,703,163</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09/28/2022</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4,106,316</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4,067,156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4,072,029</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09/28/2021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883,392</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(11,793)</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07/31/2019</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L+575</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8,792,647</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8,748,099</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7,895,797</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08/19/2022</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L+500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6,463,433</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6,402,888</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6,463,433</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08/19/2022</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3,520,896</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Polycom, Inc.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09/27/2023</w:t>
            </w:r>
          </w:p>
        </w:tc>
        <w:tc>
          <w:tcPr>
            <w:tcW w:w="180" w:type="dxa"/>
            <w:vAlign w:val="bottom"/>
          </w:tcPr>
          <w:p>
            <w:pPr>
              <w:spacing w:after="0"/>
              <w:rPr>
                <w:sz w:val="11"/>
                <w:szCs w:val="11"/>
                <w:color w:val="auto"/>
              </w:rPr>
            </w:pPr>
          </w:p>
        </w:tc>
        <w:tc>
          <w:tcPr>
            <w:tcW w:w="21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L+650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5,802,500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5,575,908</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5,824,259</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Precyse Acquisition Corp.</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10/20/2022</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L+550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4,977,494</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4,910,610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5,033,491</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Premier Dental Services, Inc.</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11/01/2018</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Services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L+650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7,528,230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7,474,965</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7,471,768</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05/20/2021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L+475</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7,234,631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7,178,888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7,234,631</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05/20/2020</w:t>
            </w:r>
          </w:p>
        </w:tc>
        <w:tc>
          <w:tcPr>
            <w:tcW w:w="180" w:type="dxa"/>
            <w:vAlign w:val="bottom"/>
          </w:tcPr>
          <w:p>
            <w:pPr>
              <w:spacing w:after="0"/>
              <w:rPr>
                <w:sz w:val="11"/>
                <w:szCs w:val="11"/>
                <w:color w:val="auto"/>
              </w:rPr>
            </w:pPr>
          </w:p>
        </w:tc>
        <w:tc>
          <w:tcPr>
            <w:tcW w:w="21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2,459,016</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PT Network,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11/30/2021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L+650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7,800,000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7,723,967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7,722,000</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PT Network, LLC </w:t>
            </w:r>
            <w:r>
              <w:rPr>
                <w:rFonts w:ascii="Arial" w:cs="Arial" w:eastAsia="Arial" w:hAnsi="Arial"/>
                <w:sz w:val="10"/>
                <w:szCs w:val="10"/>
                <w:color w:val="auto"/>
              </w:rPr>
              <w:t>(8), (10)</w:t>
            </w:r>
          </w:p>
        </w:tc>
        <w:tc>
          <w:tcPr>
            <w:tcW w:w="580" w:type="dxa"/>
            <w:vAlign w:val="bottom"/>
          </w:tcPr>
          <w:p>
            <w:pPr>
              <w:ind w:left="20"/>
              <w:spacing w:after="0" w:line="135" w:lineRule="exact"/>
              <w:rPr>
                <w:sz w:val="20"/>
                <w:szCs w:val="20"/>
                <w:color w:val="auto"/>
              </w:rPr>
            </w:pPr>
            <w:r>
              <w:rPr>
                <w:rFonts w:ascii="Arial" w:cs="Arial" w:eastAsia="Arial" w:hAnsi="Arial"/>
                <w:sz w:val="13"/>
                <w:szCs w:val="13"/>
                <w:color w:val="auto"/>
                <w:w w:val="82"/>
              </w:rPr>
              <w:t>11/30/2021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08/23/2021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L+475</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9,858,256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9,950,000</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03/18/2021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L+450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6,877,500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6,851,967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6,774,338</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06/18/2019</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4,245,684</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4,228,328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4,189,615</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08/07/2020</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6.75%</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L+575</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4,162,500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4,114,022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4,123,497</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Snak Club, LLC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07/19/2021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4,937,495</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4,868,948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4,912,808</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07/19/2021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L+500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350,000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350,000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350,000</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 (10)</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07/19/2021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Beverage, Food and Tobacco</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620" w:type="dxa"/>
            <w:vAlign w:val="bottom"/>
            <w:gridSpan w:val="2"/>
          </w:tcPr>
          <w:p>
            <w:pPr>
              <w:spacing w:after="0" w:line="121" w:lineRule="exact"/>
              <w:rPr>
                <w:sz w:val="20"/>
                <w:szCs w:val="20"/>
                <w:color w:val="auto"/>
              </w:rPr>
            </w:pPr>
            <w:r>
              <w:rPr>
                <w:rFonts w:ascii="Arial" w:cs="Arial" w:eastAsia="Arial" w:hAnsi="Arial"/>
                <w:sz w:val="13"/>
                <w:szCs w:val="13"/>
                <w:color w:val="auto"/>
              </w:rPr>
              <w:t>Softvision, LLC (f/k/a Software Paradigms International Group,</w:t>
            </w:r>
          </w:p>
        </w:tc>
        <w:tc>
          <w:tcPr>
            <w:tcW w:w="580" w:type="dxa"/>
            <w:vAlign w:val="bottom"/>
          </w:tcPr>
          <w:p>
            <w:pPr>
              <w:spacing w:after="0" w:line="121" w:lineRule="exact"/>
              <w:rPr>
                <w:sz w:val="20"/>
                <w:szCs w:val="20"/>
                <w:color w:val="auto"/>
              </w:rPr>
            </w:pPr>
            <w:r>
              <w:rPr>
                <w:rFonts w:ascii="Arial" w:cs="Arial" w:eastAsia="Arial" w:hAnsi="Arial"/>
                <w:sz w:val="13"/>
                <w:szCs w:val="13"/>
                <w:color w:val="auto"/>
                <w:w w:val="86"/>
              </w:rPr>
              <w:t>05/21/2021</w:t>
            </w:r>
          </w:p>
        </w:tc>
        <w:tc>
          <w:tcPr>
            <w:tcW w:w="180" w:type="dxa"/>
            <w:vAlign w:val="bottom"/>
          </w:tcPr>
          <w:p>
            <w:pPr>
              <w:spacing w:after="0"/>
              <w:rPr>
                <w:sz w:val="10"/>
                <w:szCs w:val="10"/>
                <w:color w:val="auto"/>
              </w:rPr>
            </w:pPr>
          </w:p>
        </w:tc>
        <w:tc>
          <w:tcPr>
            <w:tcW w:w="212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6.50%</w:t>
            </w:r>
          </w:p>
        </w:tc>
        <w:tc>
          <w:tcPr>
            <w:tcW w:w="10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L+550</w:t>
            </w:r>
          </w:p>
        </w:tc>
        <w:tc>
          <w:tcPr>
            <w:tcW w:w="1060" w:type="dxa"/>
            <w:vAlign w:val="bottom"/>
            <w:gridSpan w:val="3"/>
          </w:tcPr>
          <w:p>
            <w:pPr>
              <w:jc w:val="right"/>
              <w:ind w:right="240"/>
              <w:spacing w:after="0" w:line="121" w:lineRule="exact"/>
              <w:rPr>
                <w:sz w:val="20"/>
                <w:szCs w:val="20"/>
                <w:color w:val="auto"/>
              </w:rPr>
            </w:pPr>
            <w:r>
              <w:rPr>
                <w:rFonts w:ascii="Arial" w:cs="Arial" w:eastAsia="Arial" w:hAnsi="Arial"/>
                <w:sz w:val="13"/>
                <w:szCs w:val="13"/>
                <w:color w:val="auto"/>
              </w:rPr>
              <w:t>9,750,000</w:t>
            </w: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9,661,870</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9,701,250</w:t>
            </w:r>
          </w:p>
        </w:tc>
        <w:tc>
          <w:tcPr>
            <w:tcW w:w="0" w:type="dxa"/>
            <w:vAlign w:val="bottom"/>
          </w:tcPr>
          <w:p>
            <w:pPr>
              <w:spacing w:after="0"/>
              <w:rPr>
                <w:sz w:val="1"/>
                <w:szCs w:val="1"/>
                <w:color w:val="auto"/>
              </w:rPr>
            </w:pPr>
          </w:p>
        </w:tc>
      </w:tr>
      <w:tr>
        <w:trPr>
          <w:trHeight w:val="149"/>
        </w:trPr>
        <w:tc>
          <w:tcPr>
            <w:tcW w:w="3620" w:type="dxa"/>
            <w:vAlign w:val="bottom"/>
            <w:gridSpan w:val="2"/>
          </w:tcPr>
          <w:p>
            <w:pPr>
              <w:ind w:left="140"/>
              <w:spacing w:after="0"/>
              <w:rPr>
                <w:sz w:val="20"/>
                <w:szCs w:val="20"/>
                <w:color w:val="auto"/>
              </w:rPr>
            </w:pPr>
            <w:r>
              <w:rPr>
                <w:rFonts w:ascii="Arial" w:cs="Arial" w:eastAsia="Arial" w:hAnsi="Arial"/>
                <w:sz w:val="13"/>
                <w:szCs w:val="13"/>
                <w:color w:val="auto"/>
              </w:rPr>
              <w:t>LLC)</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04/21/2017</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5,668,843</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5,639,737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5,527,122</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10/19/2021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7.25%</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L+625</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7,218,750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7,112,700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7,290,938</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12/16/2020</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7,427,655</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7,379,369</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7,390,517</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Tensar Corporation</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07/09/2021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L+475</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4,822,723</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4,788,808</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4,340,451</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The Infosoft Group, LLC</w:t>
            </w:r>
          </w:p>
        </w:tc>
        <w:tc>
          <w:tcPr>
            <w:tcW w:w="28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6"/>
              </w:rPr>
              <w:t>12/02/2021   Media: Broadcasting and Subscription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L+525</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15,000,000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14,853,374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14,850,000</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3,084,564</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3,056,154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3,084,564</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5,971,037</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5,916,117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5,971,037</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1,418,484</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5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11/02/2020</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Consumer Goods: Non-Durable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L+550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1,965,000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1,828,667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1,434,450</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12/28/2020</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12.02%</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L+1,125</w:t>
            </w:r>
            <w:r>
              <w:rPr>
                <w:rFonts w:ascii="Arial" w:cs="Arial" w:eastAsia="Arial" w:hAnsi="Arial"/>
                <w:sz w:val="10"/>
                <w:szCs w:val="10"/>
                <w:color w:val="auto"/>
              </w:rPr>
              <w:t>(9)</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9,655,810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9,493,124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9,655,810</w:t>
            </w:r>
          </w:p>
        </w:tc>
        <w:tc>
          <w:tcPr>
            <w:tcW w:w="0" w:type="dxa"/>
            <w:vAlign w:val="bottom"/>
          </w:tcPr>
          <w:p>
            <w:pPr>
              <w:spacing w:after="0"/>
              <w:rPr>
                <w:sz w:val="1"/>
                <w:szCs w:val="1"/>
                <w:color w:val="auto"/>
              </w:rPr>
            </w:pPr>
          </w:p>
        </w:tc>
      </w:tr>
      <w:tr>
        <w:trPr>
          <w:trHeight w:val="121"/>
        </w:trPr>
        <w:tc>
          <w:tcPr>
            <w:tcW w:w="36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6"/>
              </w:rPr>
              <w:t>01/14/2019</w:t>
            </w:r>
          </w:p>
        </w:tc>
        <w:tc>
          <w:tcPr>
            <w:tcW w:w="18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9.50%</w:t>
            </w:r>
          </w:p>
        </w:tc>
        <w:tc>
          <w:tcPr>
            <w:tcW w:w="10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L+850</w:t>
            </w:r>
          </w:p>
        </w:tc>
        <w:tc>
          <w:tcPr>
            <w:tcW w:w="1060" w:type="dxa"/>
            <w:vAlign w:val="bottom"/>
            <w:gridSpan w:val="3"/>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257,621</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257,621</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257,621</w:t>
            </w: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1.00%)</w:t>
            </w: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01/14/2019</w:t>
            </w:r>
          </w:p>
        </w:tc>
        <w:tc>
          <w:tcPr>
            <w:tcW w:w="180" w:type="dxa"/>
            <w:vAlign w:val="bottom"/>
          </w:tcPr>
          <w:p>
            <w:pPr>
              <w:spacing w:after="0"/>
              <w:rPr>
                <w:sz w:val="11"/>
                <w:szCs w:val="11"/>
                <w:color w:val="auto"/>
              </w:rPr>
            </w:pPr>
          </w:p>
        </w:tc>
        <w:tc>
          <w:tcPr>
            <w:tcW w:w="21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L+750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599,702</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566,344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599,702</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01/14/2019</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151,090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10/04/2021</w:t>
            </w:r>
          </w:p>
        </w:tc>
        <w:tc>
          <w:tcPr>
            <w:tcW w:w="180" w:type="dxa"/>
            <w:vAlign w:val="bottom"/>
          </w:tcPr>
          <w:p>
            <w:pPr>
              <w:spacing w:after="0"/>
              <w:rPr>
                <w:sz w:val="11"/>
                <w:szCs w:val="11"/>
                <w:color w:val="auto"/>
              </w:rPr>
            </w:pPr>
          </w:p>
        </w:tc>
        <w:tc>
          <w:tcPr>
            <w:tcW w:w="21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8,939,921</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8,889,413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8,939,921</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12/31/2019</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12,368,750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12,268,500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12,306,906</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08/13/2021</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3,082,031</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3,082,031</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3,082,031</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Vistage Worldwide, Inc.</w:t>
            </w:r>
          </w:p>
        </w:tc>
        <w:tc>
          <w:tcPr>
            <w:tcW w:w="28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6"/>
              </w:rPr>
              <w:t>08/19/2021   Media: Broadcasting and Subscription</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L+550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5,092,831</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5,051,051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5,105,563</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06/30/2022</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L+650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7,754,100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7,686,604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7,817,225</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(8), (10)</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06/30/2022</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9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708,333</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5,767</w:t>
            </w:r>
          </w:p>
        </w:tc>
        <w:tc>
          <w:tcPr>
            <w:tcW w:w="0" w:type="dxa"/>
            <w:vAlign w:val="bottom"/>
          </w:tcPr>
          <w:p>
            <w:pPr>
              <w:spacing w:after="0"/>
              <w:rPr>
                <w:sz w:val="1"/>
                <w:szCs w:val="1"/>
                <w:color w:val="auto"/>
              </w:rPr>
            </w:pPr>
          </w:p>
        </w:tc>
      </w:tr>
      <w:tr>
        <w:trPr>
          <w:trHeight w:val="121"/>
        </w:trPr>
        <w:tc>
          <w:tcPr>
            <w:tcW w:w="362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580" w:type="dxa"/>
            <w:vAlign w:val="bottom"/>
          </w:tcPr>
          <w:p>
            <w:pPr>
              <w:spacing w:after="0" w:line="121" w:lineRule="exact"/>
              <w:rPr>
                <w:sz w:val="20"/>
                <w:szCs w:val="20"/>
                <w:color w:val="auto"/>
              </w:rPr>
            </w:pPr>
            <w:r>
              <w:rPr>
                <w:rFonts w:ascii="Arial" w:cs="Arial" w:eastAsia="Arial" w:hAnsi="Arial"/>
                <w:sz w:val="13"/>
                <w:szCs w:val="13"/>
                <w:color w:val="auto"/>
                <w:w w:val="86"/>
              </w:rPr>
              <w:t>10/30/2020</w:t>
            </w:r>
          </w:p>
        </w:tc>
        <w:tc>
          <w:tcPr>
            <w:tcW w:w="180" w:type="dxa"/>
            <w:vAlign w:val="bottom"/>
          </w:tcPr>
          <w:p>
            <w:pPr>
              <w:spacing w:after="0"/>
              <w:rPr>
                <w:sz w:val="10"/>
                <w:szCs w:val="10"/>
                <w:color w:val="auto"/>
              </w:rPr>
            </w:pPr>
          </w:p>
        </w:tc>
        <w:tc>
          <w:tcPr>
            <w:tcW w:w="212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Banking, Finance, Insurance and</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9.00%</w:t>
            </w:r>
          </w:p>
        </w:tc>
        <w:tc>
          <w:tcPr>
            <w:tcW w:w="10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L+800</w:t>
            </w:r>
          </w:p>
        </w:tc>
        <w:tc>
          <w:tcPr>
            <w:tcW w:w="1060" w:type="dxa"/>
            <w:vAlign w:val="bottom"/>
            <w:gridSpan w:val="3"/>
          </w:tcPr>
          <w:p>
            <w:pPr>
              <w:jc w:val="right"/>
              <w:ind w:right="240"/>
              <w:spacing w:after="0" w:line="121" w:lineRule="exact"/>
              <w:rPr>
                <w:sz w:val="20"/>
                <w:szCs w:val="20"/>
                <w:color w:val="auto"/>
              </w:rPr>
            </w:pPr>
            <w:r>
              <w:rPr>
                <w:rFonts w:ascii="Arial" w:cs="Arial" w:eastAsia="Arial" w:hAnsi="Arial"/>
                <w:sz w:val="13"/>
                <w:szCs w:val="13"/>
                <w:color w:val="auto"/>
              </w:rPr>
              <w:t>7,297,877</w:t>
            </w: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7,243,917</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7,115,431</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3"/>
                <w:szCs w:val="13"/>
                <w:color w:val="auto"/>
                <w:w w:val="86"/>
              </w:rPr>
              <w:t>Real Estate</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5"/>
              </w:rPr>
              <w:t>599,327,868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600,052,593</w:t>
            </w:r>
          </w:p>
        </w:tc>
        <w:tc>
          <w:tcPr>
            <w:tcW w:w="0" w:type="dxa"/>
            <w:vAlign w:val="bottom"/>
          </w:tcPr>
          <w:p>
            <w:pPr>
              <w:spacing w:after="0"/>
              <w:rPr>
                <w:sz w:val="1"/>
                <w:szCs w:val="1"/>
                <w:color w:val="auto"/>
              </w:rPr>
            </w:pPr>
          </w:p>
        </w:tc>
      </w:tr>
      <w:tr>
        <w:trPr>
          <w:trHeight w:val="142"/>
        </w:trPr>
        <w:tc>
          <w:tcPr>
            <w:tcW w:w="36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Debt—9.8%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10/31/2018</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L+700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948,800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969,000</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12/31/2020</w:t>
            </w:r>
          </w:p>
        </w:tc>
        <w:tc>
          <w:tcPr>
            <w:tcW w:w="180" w:type="dxa"/>
            <w:vAlign w:val="bottom"/>
          </w:tcPr>
          <w:p>
            <w:pPr>
              <w:spacing w:after="0"/>
              <w:rPr>
                <w:sz w:val="11"/>
                <w:szCs w:val="11"/>
                <w:color w:val="auto"/>
              </w:rPr>
            </w:pPr>
          </w:p>
        </w:tc>
        <w:tc>
          <w:tcPr>
            <w:tcW w:w="21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11.34%</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1,972,437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09/30/2020</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Wholesale</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11.00%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11,000,000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10,537,088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9,790,000</w:t>
            </w:r>
          </w:p>
        </w:tc>
        <w:tc>
          <w:tcPr>
            <w:tcW w:w="0" w:type="dxa"/>
            <w:vAlign w:val="bottom"/>
          </w:tcPr>
          <w:p>
            <w:pPr>
              <w:spacing w:after="0"/>
              <w:rPr>
                <w:sz w:val="1"/>
                <w:szCs w:val="1"/>
                <w:color w:val="auto"/>
              </w:rPr>
            </w:pPr>
          </w:p>
        </w:tc>
      </w:tr>
      <w:tr>
        <w:trPr>
          <w:trHeight w:val="121"/>
        </w:trPr>
        <w:tc>
          <w:tcPr>
            <w:tcW w:w="3620" w:type="dxa"/>
            <w:vAlign w:val="bottom"/>
            <w:gridSpan w:val="2"/>
          </w:tcPr>
          <w:p>
            <w:pPr>
              <w:spacing w:after="0" w:line="121" w:lineRule="exact"/>
              <w:rPr>
                <w:sz w:val="20"/>
                <w:szCs w:val="20"/>
                <w:color w:val="auto"/>
              </w:rPr>
            </w:pPr>
            <w:r>
              <w:rPr>
                <w:rFonts w:ascii="Arial" w:cs="Arial" w:eastAsia="Arial" w:hAnsi="Arial"/>
                <w:sz w:val="13"/>
                <w:szCs w:val="13"/>
                <w:color w:val="auto"/>
              </w:rPr>
              <w:t>MailSouth, Inc.</w:t>
            </w:r>
          </w:p>
        </w:tc>
        <w:tc>
          <w:tcPr>
            <w:tcW w:w="580" w:type="dxa"/>
            <w:vAlign w:val="bottom"/>
          </w:tcPr>
          <w:p>
            <w:pPr>
              <w:spacing w:after="0" w:line="121" w:lineRule="exact"/>
              <w:rPr>
                <w:sz w:val="20"/>
                <w:szCs w:val="20"/>
                <w:color w:val="auto"/>
              </w:rPr>
            </w:pPr>
            <w:r>
              <w:rPr>
                <w:rFonts w:ascii="Arial" w:cs="Arial" w:eastAsia="Arial" w:hAnsi="Arial"/>
                <w:sz w:val="13"/>
                <w:szCs w:val="13"/>
                <w:color w:val="auto"/>
                <w:w w:val="86"/>
              </w:rPr>
              <w:t>10/22/2021</w:t>
            </w:r>
          </w:p>
        </w:tc>
        <w:tc>
          <w:tcPr>
            <w:tcW w:w="180" w:type="dxa"/>
            <w:vAlign w:val="bottom"/>
          </w:tcPr>
          <w:p>
            <w:pPr>
              <w:spacing w:after="0"/>
              <w:rPr>
                <w:sz w:val="10"/>
                <w:szCs w:val="10"/>
                <w:color w:val="auto"/>
              </w:rPr>
            </w:pPr>
          </w:p>
        </w:tc>
        <w:tc>
          <w:tcPr>
            <w:tcW w:w="212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11.50%</w:t>
            </w:r>
          </w:p>
        </w:tc>
        <w:tc>
          <w:tcPr>
            <w:tcW w:w="10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L+1,050</w:t>
            </w:r>
          </w:p>
        </w:tc>
        <w:tc>
          <w:tcPr>
            <w:tcW w:w="1060" w:type="dxa"/>
            <w:vAlign w:val="bottom"/>
            <w:gridSpan w:val="3"/>
          </w:tcPr>
          <w:p>
            <w:pPr>
              <w:jc w:val="right"/>
              <w:ind w:right="240"/>
              <w:spacing w:after="0" w:line="121" w:lineRule="exact"/>
              <w:rPr>
                <w:sz w:val="20"/>
                <w:szCs w:val="20"/>
                <w:color w:val="auto"/>
              </w:rPr>
            </w:pPr>
            <w:r>
              <w:rPr>
                <w:rFonts w:ascii="Arial" w:cs="Arial" w:eastAsia="Arial" w:hAnsi="Arial"/>
                <w:sz w:val="13"/>
                <w:szCs w:val="13"/>
                <w:color w:val="auto"/>
              </w:rPr>
              <w:t>3,775,000</w:t>
            </w: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3,706,653</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3,775,000</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07/07/2021</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12.25%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L+1,100</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11,900,000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11,763,956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11,900,000</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08/01/2017</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Energy: Oil and Gas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2,772,451</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1,575,000</w:t>
            </w:r>
          </w:p>
        </w:tc>
        <w:tc>
          <w:tcPr>
            <w:tcW w:w="0" w:type="dxa"/>
            <w:vAlign w:val="bottom"/>
          </w:tcPr>
          <w:p>
            <w:pPr>
              <w:spacing w:after="0"/>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01/30/2023</w:t>
            </w:r>
          </w:p>
        </w:tc>
        <w:tc>
          <w:tcPr>
            <w:tcW w:w="18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10.75%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L+975</w:t>
            </w:r>
          </w:p>
        </w:tc>
        <w:tc>
          <w:tcPr>
            <w:tcW w:w="10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1,837,500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1,778,941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1,837,500</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WD Wolverine Holdings, LLC </w:t>
            </w:r>
            <w:r>
              <w:rPr>
                <w:rFonts w:ascii="Arial" w:cs="Arial" w:eastAsia="Arial" w:hAnsi="Arial"/>
                <w:sz w:val="10"/>
                <w:szCs w:val="10"/>
                <w:color w:val="auto"/>
              </w:rPr>
              <w:t>(8)</w:t>
            </w:r>
          </w:p>
        </w:tc>
        <w:tc>
          <w:tcPr>
            <w:tcW w:w="580" w:type="dxa"/>
            <w:vAlign w:val="bottom"/>
          </w:tcPr>
          <w:p>
            <w:pPr>
              <w:spacing w:after="0" w:line="135" w:lineRule="exact"/>
              <w:rPr>
                <w:sz w:val="20"/>
                <w:szCs w:val="20"/>
                <w:color w:val="auto"/>
              </w:rPr>
            </w:pPr>
            <w:r>
              <w:rPr>
                <w:rFonts w:ascii="Arial" w:cs="Arial" w:eastAsia="Arial" w:hAnsi="Arial"/>
                <w:sz w:val="13"/>
                <w:szCs w:val="13"/>
                <w:color w:val="auto"/>
                <w:w w:val="86"/>
              </w:rPr>
              <w:t>10/17/2024</w:t>
            </w:r>
          </w:p>
        </w:tc>
        <w:tc>
          <w:tcPr>
            <w:tcW w:w="18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10.50%</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L+950</w:t>
            </w:r>
          </w:p>
        </w:tc>
        <w:tc>
          <w:tcPr>
            <w:tcW w:w="10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5,250,000</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5,040,000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5,046,563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5"/>
              </w:rPr>
              <w:t>38,520,326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36,913,063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2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ind w:left="420"/>
              <w:spacing w:after="0" w:line="135" w:lineRule="exact"/>
              <w:rPr>
                <w:sz w:val="20"/>
                <w:szCs w:val="20"/>
                <w:color w:val="auto"/>
              </w:rPr>
            </w:pPr>
            <w:r>
              <w:rPr>
                <w:rFonts w:ascii="Arial" w:cs="Arial" w:eastAsia="Arial" w:hAnsi="Arial"/>
                <w:sz w:val="13"/>
                <w:szCs w:val="13"/>
                <w:b w:val="1"/>
                <w:bCs w:val="1"/>
                <w:color w:val="auto"/>
              </w:rPr>
              <w:t>Current</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Par /</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vMerge w:val="continue"/>
          </w:tcPr>
          <w:p>
            <w:pPr>
              <w:spacing w:after="0"/>
              <w:rPr>
                <w:sz w:val="13"/>
                <w:szCs w:val="13"/>
                <w:color w:val="auto"/>
              </w:rPr>
            </w:pPr>
          </w:p>
        </w:tc>
        <w:tc>
          <w:tcPr>
            <w:tcW w:w="2680" w:type="dxa"/>
            <w:vAlign w:val="bottom"/>
          </w:tcPr>
          <w:p>
            <w:pPr>
              <w:ind w:left="1820"/>
              <w:spacing w:after="0"/>
              <w:rPr>
                <w:sz w:val="20"/>
                <w:szCs w:val="20"/>
                <w:color w:val="auto"/>
              </w:rPr>
            </w:pPr>
            <w:r>
              <w:rPr>
                <w:rFonts w:ascii="Arial" w:cs="Arial" w:eastAsia="Arial" w:hAnsi="Arial"/>
                <w:sz w:val="13"/>
                <w:szCs w:val="13"/>
                <w:b w:val="1"/>
                <w:bCs w:val="1"/>
                <w:color w:val="auto"/>
              </w:rPr>
              <w:t>Maturity</w:t>
            </w:r>
          </w:p>
        </w:tc>
        <w:tc>
          <w:tcPr>
            <w:tcW w:w="1260" w:type="dxa"/>
            <w:vAlign w:val="bottom"/>
          </w:tcPr>
          <w:p>
            <w:pPr>
              <w:ind w:left="380"/>
              <w:spacing w:after="0"/>
              <w:rPr>
                <w:sz w:val="20"/>
                <w:szCs w:val="20"/>
                <w:color w:val="auto"/>
              </w:rPr>
            </w:pPr>
            <w:r>
              <w:rPr>
                <w:rFonts w:ascii="Arial" w:cs="Arial" w:eastAsia="Arial" w:hAnsi="Arial"/>
                <w:sz w:val="13"/>
                <w:szCs w:val="13"/>
                <w:b w:val="1"/>
                <w:bCs w:val="1"/>
                <w:color w:val="auto"/>
              </w:rPr>
              <w:t>Industry</w:t>
            </w:r>
          </w:p>
        </w:tc>
        <w:tc>
          <w:tcPr>
            <w:tcW w:w="1080" w:type="dxa"/>
            <w:vAlign w:val="bottom"/>
          </w:tcPr>
          <w:p>
            <w:pPr>
              <w:ind w:left="440"/>
              <w:spacing w:after="0"/>
              <w:rPr>
                <w:sz w:val="20"/>
                <w:szCs w:val="20"/>
                <w:color w:val="auto"/>
              </w:rPr>
            </w:pPr>
            <w:r>
              <w:rPr>
                <w:rFonts w:ascii="Arial" w:cs="Arial" w:eastAsia="Arial" w:hAnsi="Arial"/>
                <w:sz w:val="13"/>
                <w:szCs w:val="13"/>
                <w:b w:val="1"/>
                <w:bCs w:val="1"/>
                <w:color w:val="auto"/>
              </w:rPr>
              <w:t>Coupon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Shares</w:t>
            </w:r>
          </w:p>
        </w:tc>
        <w:tc>
          <w:tcPr>
            <w:tcW w:w="760" w:type="dxa"/>
            <w:vAlign w:val="bottom"/>
          </w:tcPr>
          <w:p>
            <w:pPr>
              <w:ind w:left="280"/>
              <w:spacing w:after="0"/>
              <w:rPr>
                <w:sz w:val="20"/>
                <w:szCs w:val="20"/>
                <w:color w:val="auto"/>
              </w:rPr>
            </w:pPr>
            <w:r>
              <w:rPr>
                <w:rFonts w:ascii="Arial" w:cs="Arial" w:eastAsia="Arial" w:hAnsi="Arial"/>
                <w:sz w:val="13"/>
                <w:szCs w:val="13"/>
                <w:b w:val="1"/>
                <w:bCs w:val="1"/>
                <w:color w:val="auto"/>
              </w:rPr>
              <w:t>Cost</w:t>
            </w:r>
          </w:p>
        </w:tc>
        <w:tc>
          <w:tcPr>
            <w:tcW w:w="940" w:type="dxa"/>
            <w:vAlign w:val="bottom"/>
          </w:tcPr>
          <w:p>
            <w:pPr>
              <w:ind w:left="220"/>
              <w:spacing w:after="0"/>
              <w:rPr>
                <w:sz w:val="20"/>
                <w:szCs w:val="20"/>
                <w:color w:val="auto"/>
              </w:rPr>
            </w:pPr>
            <w:r>
              <w:rPr>
                <w:rFonts w:ascii="Arial" w:cs="Arial" w:eastAsia="Arial" w:hAnsi="Arial"/>
                <w:sz w:val="13"/>
                <w:szCs w:val="13"/>
                <w:b w:val="1"/>
                <w:bCs w:val="1"/>
                <w:u w:val="single" w:color="auto"/>
                <w:color w:val="auto"/>
                <w:w w:val="89"/>
              </w:rPr>
              <w:t xml:space="preserve">Fair Value </w:t>
            </w:r>
            <w:r>
              <w:rPr>
                <w:rFonts w:ascii="Arial" w:cs="Arial" w:eastAsia="Arial" w:hAnsi="Arial"/>
                <w:sz w:val="10"/>
                <w:szCs w:val="10"/>
                <w:b w:val="1"/>
                <w:bCs w:val="1"/>
                <w:u w:val="single" w:color="auto"/>
                <w:color w:val="auto"/>
                <w:w w:val="8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4"/>
          <w:szCs w:val="14"/>
          <w:b w:val="1"/>
          <w:bCs w:val="1"/>
          <w:color w:val="auto"/>
        </w:rPr>
        <w:t xml:space="preserve">Subordinated Debt/Corporate Notes—2.2% </w:t>
      </w:r>
      <w:r>
        <w:rPr>
          <w:rFonts w:ascii="Arial" w:cs="Arial" w:eastAsia="Arial" w:hAnsi="Arial"/>
          <w:sz w:val="12"/>
          <w:szCs w:val="12"/>
          <w:b w:val="1"/>
          <w:bCs w:val="1"/>
          <w:color w:val="auto"/>
        </w:rPr>
        <w:t>(8)</w:t>
      </w:r>
    </w:p>
    <w:tbl>
      <w:tblPr>
        <w:tblLayout w:type="fixed"/>
        <w:tblInd w:w="0" w:type="dxa"/>
        <w:tblCellMar>
          <w:top w:w="0" w:type="dxa"/>
          <w:left w:w="0" w:type="dxa"/>
          <w:bottom w:w="0" w:type="dxa"/>
          <w:right w:w="0" w:type="dxa"/>
        </w:tblCellMar>
      </w:tblPr>
      <w:tr>
        <w:trPr>
          <w:trHeight w:val="125"/>
        </w:trPr>
        <w:tc>
          <w:tcPr>
            <w:tcW w:w="4120" w:type="dxa"/>
            <w:vAlign w:val="bottom"/>
          </w:tcPr>
          <w:p>
            <w:pPr>
              <w:spacing w:after="0" w:line="125"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880" w:type="dxa"/>
            <w:vAlign w:val="bottom"/>
          </w:tcPr>
          <w:p>
            <w:pPr>
              <w:jc w:val="center"/>
              <w:spacing w:after="0" w:line="125" w:lineRule="exact"/>
              <w:rPr>
                <w:sz w:val="20"/>
                <w:szCs w:val="20"/>
                <w:color w:val="auto"/>
              </w:rPr>
            </w:pPr>
            <w:r>
              <w:rPr>
                <w:rFonts w:ascii="Arial" w:cs="Arial" w:eastAsia="Arial" w:hAnsi="Arial"/>
                <w:sz w:val="13"/>
                <w:szCs w:val="13"/>
                <w:color w:val="auto"/>
                <w:w w:val="86"/>
              </w:rPr>
              <w:t>07/30/2018</w:t>
            </w:r>
          </w:p>
        </w:tc>
        <w:tc>
          <w:tcPr>
            <w:tcW w:w="1660" w:type="dxa"/>
            <w:vAlign w:val="bottom"/>
          </w:tcPr>
          <w:p>
            <w:pPr>
              <w:jc w:val="center"/>
              <w:spacing w:after="0" w:line="125" w:lineRule="exact"/>
              <w:rPr>
                <w:sz w:val="20"/>
                <w:szCs w:val="20"/>
                <w:color w:val="auto"/>
              </w:rPr>
            </w:pPr>
            <w:r>
              <w:rPr>
                <w:rFonts w:ascii="Arial" w:cs="Arial" w:eastAsia="Arial" w:hAnsi="Arial"/>
                <w:sz w:val="13"/>
                <w:szCs w:val="13"/>
                <w:color w:val="auto"/>
                <w:w w:val="86"/>
              </w:rPr>
              <w:t>Consumer Goods: Durable</w:t>
            </w:r>
          </w:p>
        </w:tc>
        <w:tc>
          <w:tcPr>
            <w:tcW w:w="1280" w:type="dxa"/>
            <w:vAlign w:val="bottom"/>
          </w:tcPr>
          <w:p>
            <w:pPr>
              <w:jc w:val="right"/>
              <w:ind w:right="377"/>
              <w:spacing w:after="0" w:line="125" w:lineRule="exact"/>
              <w:rPr>
                <w:sz w:val="20"/>
                <w:szCs w:val="20"/>
                <w:color w:val="auto"/>
              </w:rPr>
            </w:pPr>
            <w:r>
              <w:rPr>
                <w:rFonts w:ascii="Arial" w:cs="Arial" w:eastAsia="Arial" w:hAnsi="Arial"/>
                <w:sz w:val="13"/>
                <w:szCs w:val="13"/>
                <w:color w:val="auto"/>
              </w:rPr>
              <w:t>7.50%</w:t>
            </w:r>
          </w:p>
        </w:tc>
        <w:tc>
          <w:tcPr>
            <w:tcW w:w="680" w:type="dxa"/>
            <w:vAlign w:val="bottom"/>
          </w:tcPr>
          <w:p>
            <w:pPr>
              <w:ind w:left="420"/>
              <w:spacing w:after="0" w:line="12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5" w:lineRule="exact"/>
              <w:rPr>
                <w:sz w:val="20"/>
                <w:szCs w:val="20"/>
                <w:color w:val="auto"/>
              </w:rPr>
            </w:pPr>
            <w:r>
              <w:rPr>
                <w:rFonts w:ascii="Arial" w:cs="Arial" w:eastAsia="Arial" w:hAnsi="Arial"/>
                <w:sz w:val="13"/>
                <w:szCs w:val="13"/>
                <w:color w:val="auto"/>
              </w:rPr>
              <w:t>1,157,978</w:t>
            </w:r>
          </w:p>
        </w:tc>
        <w:tc>
          <w:tcPr>
            <w:tcW w:w="200" w:type="dxa"/>
            <w:vAlign w:val="bottom"/>
            <w:gridSpan w:val="2"/>
          </w:tcPr>
          <w:p>
            <w:pPr>
              <w:jc w:val="right"/>
              <w:ind w:right="20"/>
              <w:spacing w:after="0" w:line="12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5" w:lineRule="exact"/>
              <w:rPr>
                <w:sz w:val="20"/>
                <w:szCs w:val="20"/>
                <w:color w:val="auto"/>
              </w:rPr>
            </w:pPr>
            <w:r>
              <w:rPr>
                <w:rFonts w:ascii="Arial" w:cs="Arial" w:eastAsia="Arial" w:hAnsi="Arial"/>
                <w:sz w:val="13"/>
                <w:szCs w:val="13"/>
                <w:color w:val="auto"/>
              </w:rPr>
              <w:t>1,067,044</w:t>
            </w:r>
          </w:p>
        </w:tc>
        <w:tc>
          <w:tcPr>
            <w:tcW w:w="180" w:type="dxa"/>
            <w:vAlign w:val="bottom"/>
          </w:tcPr>
          <w:p>
            <w:pPr>
              <w:jc w:val="right"/>
              <w:spacing w:after="0" w:line="12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1,111,659</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4.00%)</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12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88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12/31/2021</w:t>
            </w:r>
          </w:p>
        </w:tc>
        <w:tc>
          <w:tcPr>
            <w:tcW w:w="1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0"/>
              </w:rPr>
              <w:t>Metals and Mining</w:t>
            </w:r>
          </w:p>
        </w:tc>
        <w:tc>
          <w:tcPr>
            <w:tcW w:w="1280" w:type="dxa"/>
            <w:vAlign w:val="bottom"/>
            <w:shd w:val="clear" w:color="auto" w:fill="CCEEFF"/>
          </w:tcPr>
          <w:p>
            <w:pPr>
              <w:jc w:val="right"/>
              <w:ind w:right="377"/>
              <w:spacing w:after="0" w:line="122" w:lineRule="exact"/>
              <w:rPr>
                <w:sz w:val="20"/>
                <w:szCs w:val="20"/>
                <w:color w:val="auto"/>
              </w:rPr>
            </w:pPr>
            <w:r>
              <w:rPr>
                <w:rFonts w:ascii="Arial" w:cs="Arial" w:eastAsia="Arial" w:hAnsi="Arial"/>
                <w:sz w:val="13"/>
                <w:szCs w:val="13"/>
                <w:color w:val="auto"/>
              </w:rPr>
              <w:t>17.00%</w:t>
            </w:r>
          </w:p>
        </w:tc>
        <w:tc>
          <w:tcPr>
            <w:tcW w:w="68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2" w:lineRule="exact"/>
              <w:rPr>
                <w:sz w:val="20"/>
                <w:szCs w:val="20"/>
                <w:color w:val="auto"/>
              </w:rPr>
            </w:pPr>
            <w:r>
              <w:rPr>
                <w:rFonts w:ascii="Arial" w:cs="Arial" w:eastAsia="Arial" w:hAnsi="Arial"/>
                <w:sz w:val="13"/>
                <w:szCs w:val="13"/>
                <w:color w:val="auto"/>
              </w:rPr>
              <w:t>370,370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370,370</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370,370</w:t>
            </w:r>
          </w:p>
        </w:tc>
        <w:tc>
          <w:tcPr>
            <w:tcW w:w="0" w:type="dxa"/>
            <w:vAlign w:val="bottom"/>
          </w:tcPr>
          <w:p>
            <w:pPr>
              <w:spacing w:after="0"/>
              <w:rPr>
                <w:sz w:val="1"/>
                <w:szCs w:val="1"/>
                <w:color w:val="auto"/>
              </w:rPr>
            </w:pPr>
          </w:p>
        </w:tc>
      </w:tr>
      <w:tr>
        <w:trPr>
          <w:trHeight w:val="163"/>
        </w:trPr>
        <w:tc>
          <w:tcPr>
            <w:tcW w:w="4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(PIK 17.00%)</w:t>
            </w: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12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6"/>
              </w:rPr>
              <w:t>10/26/2018</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8"/>
              </w:rPr>
              <w:t>High Tech Industries</w:t>
            </w:r>
          </w:p>
        </w:tc>
        <w:tc>
          <w:tcPr>
            <w:tcW w:w="128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13.25%</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2,079,296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2,039,546</w:t>
            </w:r>
          </w:p>
        </w:tc>
        <w:tc>
          <w:tcPr>
            <w:tcW w:w="1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2,023,013</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2.00%)</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1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Sonny’s Enterprises, LLC</w:t>
            </w:r>
          </w:p>
        </w:tc>
        <w:tc>
          <w:tcPr>
            <w:tcW w:w="8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06/01/2023</w:t>
            </w:r>
          </w:p>
        </w:tc>
        <w:tc>
          <w:tcPr>
            <w:tcW w:w="16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Capital Equipment</w:t>
            </w:r>
          </w:p>
        </w:tc>
        <w:tc>
          <w:tcPr>
            <w:tcW w:w="1280" w:type="dxa"/>
            <w:vAlign w:val="bottom"/>
            <w:shd w:val="clear" w:color="auto" w:fill="CCEEFF"/>
          </w:tcPr>
          <w:p>
            <w:pPr>
              <w:jc w:val="right"/>
              <w:ind w:right="377"/>
              <w:spacing w:after="0" w:line="136" w:lineRule="exact"/>
              <w:rPr>
                <w:sz w:val="20"/>
                <w:szCs w:val="20"/>
                <w:color w:val="auto"/>
              </w:rPr>
            </w:pPr>
            <w:r>
              <w:rPr>
                <w:rFonts w:ascii="Arial" w:cs="Arial" w:eastAsia="Arial" w:hAnsi="Arial"/>
                <w:sz w:val="13"/>
                <w:szCs w:val="13"/>
                <w:color w:val="auto"/>
              </w:rPr>
              <w:t>11.00%</w:t>
            </w:r>
          </w:p>
        </w:tc>
        <w:tc>
          <w:tcPr>
            <w:tcW w:w="68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4,750,000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4,656,141</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4,655,000</w:t>
            </w:r>
          </w:p>
        </w:tc>
        <w:tc>
          <w:tcPr>
            <w:tcW w:w="0" w:type="dxa"/>
            <w:vAlign w:val="bottom"/>
          </w:tcPr>
          <w:p>
            <w:pPr>
              <w:spacing w:after="0"/>
              <w:rPr>
                <w:sz w:val="1"/>
                <w:szCs w:val="1"/>
                <w:color w:val="auto"/>
              </w:rPr>
            </w:pPr>
          </w:p>
        </w:tc>
      </w:tr>
      <w:tr>
        <w:trPr>
          <w:trHeight w:val="121"/>
        </w:trPr>
        <w:tc>
          <w:tcPr>
            <w:tcW w:w="4120" w:type="dxa"/>
            <w:vAlign w:val="bottom"/>
          </w:tcPr>
          <w:p>
            <w:pPr>
              <w:spacing w:after="0" w:line="121" w:lineRule="exact"/>
              <w:rPr>
                <w:sz w:val="20"/>
                <w:szCs w:val="20"/>
                <w:color w:val="auto"/>
              </w:rPr>
            </w:pPr>
            <w:r>
              <w:rPr>
                <w:rFonts w:ascii="Arial" w:cs="Arial" w:eastAsia="Arial" w:hAnsi="Arial"/>
                <w:sz w:val="13"/>
                <w:szCs w:val="13"/>
                <w:color w:val="auto"/>
              </w:rPr>
              <w:t>UniTek Global Services, Inc.</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86"/>
              </w:rPr>
              <w:t>07/15/2019</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8"/>
              </w:rPr>
              <w:t>Telecommunications</w:t>
            </w:r>
          </w:p>
        </w:tc>
        <w:tc>
          <w:tcPr>
            <w:tcW w:w="1280" w:type="dxa"/>
            <w:vAlign w:val="bottom"/>
          </w:tcPr>
          <w:p>
            <w:pPr>
              <w:jc w:val="right"/>
              <w:ind w:right="377"/>
              <w:spacing w:after="0" w:line="121" w:lineRule="exact"/>
              <w:rPr>
                <w:sz w:val="20"/>
                <w:szCs w:val="20"/>
                <w:color w:val="auto"/>
              </w:rPr>
            </w:pPr>
            <w:r>
              <w:rPr>
                <w:rFonts w:ascii="Arial" w:cs="Arial" w:eastAsia="Arial" w:hAnsi="Arial"/>
                <w:sz w:val="13"/>
                <w:szCs w:val="13"/>
                <w:color w:val="auto"/>
              </w:rPr>
              <w:t>15.00%</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152,509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152,509</w:t>
            </w:r>
          </w:p>
        </w:tc>
        <w:tc>
          <w:tcPr>
            <w:tcW w:w="1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154,797</w:t>
            </w:r>
          </w:p>
        </w:tc>
        <w:tc>
          <w:tcPr>
            <w:tcW w:w="0" w:type="dxa"/>
            <w:vAlign w:val="bottom"/>
          </w:tcPr>
          <w:p>
            <w:pPr>
              <w:spacing w:after="0"/>
              <w:rPr>
                <w:sz w:val="1"/>
                <w:szCs w:val="1"/>
                <w:color w:val="auto"/>
              </w:rPr>
            </w:pPr>
          </w:p>
        </w:tc>
      </w:tr>
      <w:tr>
        <w:trPr>
          <w:trHeight w:val="170"/>
        </w:trPr>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jc w:val="right"/>
              <w:ind w:right="337"/>
              <w:spacing w:after="0"/>
              <w:rPr>
                <w:sz w:val="20"/>
                <w:szCs w:val="20"/>
                <w:color w:val="auto"/>
              </w:rPr>
            </w:pPr>
            <w:r>
              <w:rPr>
                <w:rFonts w:ascii="Arial" w:cs="Arial" w:eastAsia="Arial" w:hAnsi="Arial"/>
                <w:sz w:val="13"/>
                <w:szCs w:val="13"/>
                <w:color w:val="auto"/>
              </w:rPr>
              <w:t>(PIK 15.00%)</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8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8,285,610</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8,314,839</w:t>
            </w:r>
          </w:p>
        </w:tc>
        <w:tc>
          <w:tcPr>
            <w:tcW w:w="0" w:type="dxa"/>
            <w:vAlign w:val="bottom"/>
          </w:tcPr>
          <w:p>
            <w:pPr>
              <w:spacing w:after="0"/>
              <w:rPr>
                <w:sz w:val="1"/>
                <w:szCs w:val="1"/>
                <w:color w:val="auto"/>
              </w:rPr>
            </w:pP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128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13.50%</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1,047,317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670,283</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1,364,841</w:t>
            </w:r>
          </w:p>
        </w:tc>
        <w:tc>
          <w:tcPr>
            <w:tcW w:w="0" w:type="dxa"/>
            <w:vAlign w:val="bottom"/>
          </w:tcPr>
          <w:p>
            <w:pPr>
              <w:spacing w:after="0"/>
              <w:rPr>
                <w:sz w:val="1"/>
                <w:szCs w:val="1"/>
                <w:color w:val="auto"/>
              </w:rPr>
            </w:pP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Equity/Warrants—2.7% </w:t>
            </w:r>
            <w:r>
              <w:rPr>
                <w:rFonts w:ascii="Arial" w:cs="Arial" w:eastAsia="Arial" w:hAnsi="Arial"/>
                <w:sz w:val="10"/>
                <w:szCs w:val="10"/>
                <w:b w:val="1"/>
                <w:bCs w:val="1"/>
                <w:color w:val="auto"/>
              </w:rPr>
              <w:t>(7), (8)</w:t>
            </w: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99,029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3,514,572</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3,889,552</w:t>
            </w:r>
          </w:p>
        </w:tc>
        <w:tc>
          <w:tcPr>
            <w:tcW w:w="0" w:type="dxa"/>
            <w:vAlign w:val="bottom"/>
          </w:tcPr>
          <w:p>
            <w:pPr>
              <w:spacing w:after="0"/>
              <w:rPr>
                <w:sz w:val="1"/>
                <w:szCs w:val="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4,298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1,186,649</w:t>
            </w:r>
          </w:p>
        </w:tc>
        <w:tc>
          <w:tcPr>
            <w:tcW w:w="1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28,641</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Gilsonite Company</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Metals and Mining</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215,182</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215,182</w:t>
            </w:r>
          </w:p>
        </w:tc>
        <w:tc>
          <w:tcPr>
            <w:tcW w:w="0" w:type="dxa"/>
            <w:vAlign w:val="bottom"/>
          </w:tcPr>
          <w:p>
            <w:pPr>
              <w:spacing w:after="0"/>
              <w:rPr>
                <w:sz w:val="1"/>
                <w:szCs w:val="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300,000</w:t>
            </w:r>
          </w:p>
        </w:tc>
        <w:tc>
          <w:tcPr>
            <w:tcW w:w="1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694,987</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1280" w:type="dxa"/>
            <w:vAlign w:val="bottom"/>
            <w:shd w:val="clear" w:color="auto" w:fill="CCEEFF"/>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110,399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295,670</w:t>
            </w:r>
          </w:p>
        </w:tc>
        <w:tc>
          <w:tcPr>
            <w:tcW w:w="1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3,102,473</w:t>
            </w:r>
          </w:p>
        </w:tc>
        <w:tc>
          <w:tcPr>
            <w:tcW w:w="0" w:type="dxa"/>
            <w:vAlign w:val="bottom"/>
          </w:tcPr>
          <w:p>
            <w:pPr>
              <w:spacing w:after="0"/>
              <w:rPr>
                <w:sz w:val="1"/>
                <w:szCs w:val="1"/>
                <w:color w:val="auto"/>
              </w:rPr>
            </w:pPr>
          </w:p>
        </w:tc>
      </w:tr>
      <w:tr>
        <w:trPr>
          <w:trHeight w:val="121"/>
        </w:trPr>
        <w:tc>
          <w:tcPr>
            <w:tcW w:w="4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Construction and Building</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1,141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58,044</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110,766</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(Interior Specialists, Inc.)</w:t>
            </w:r>
          </w:p>
        </w:tc>
        <w:tc>
          <w:tcPr>
            <w:tcW w:w="8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tcPr>
          <w:p>
            <w:pPr>
              <w:spacing w:after="0" w:line="121" w:lineRule="exact"/>
              <w:rPr>
                <w:sz w:val="20"/>
                <w:szCs w:val="20"/>
                <w:color w:val="auto"/>
              </w:rPr>
            </w:pPr>
            <w:r>
              <w:rPr>
                <w:rFonts w:ascii="Arial" w:cs="Arial" w:eastAsia="Arial" w:hAnsi="Arial"/>
                <w:sz w:val="13"/>
                <w:szCs w:val="13"/>
                <w:color w:val="auto"/>
              </w:rPr>
              <w:t>Gauge InfosoftCoInvest, LLC</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1280" w:type="dxa"/>
            <w:vAlign w:val="bottom"/>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500,000</w:t>
            </w:r>
          </w:p>
        </w:tc>
        <w:tc>
          <w:tcPr>
            <w:tcW w:w="1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49"/>
        </w:trPr>
        <w:tc>
          <w:tcPr>
            <w:tcW w:w="4120" w:type="dxa"/>
            <w:vAlign w:val="bottom"/>
          </w:tcPr>
          <w:p>
            <w:pPr>
              <w:ind w:left="140"/>
              <w:spacing w:after="0"/>
              <w:rPr>
                <w:sz w:val="20"/>
                <w:szCs w:val="20"/>
                <w:color w:val="auto"/>
              </w:rPr>
            </w:pPr>
            <w:r>
              <w:rPr>
                <w:rFonts w:ascii="Arial" w:cs="Arial" w:eastAsia="Arial" w:hAnsi="Arial"/>
                <w:sz w:val="13"/>
                <w:szCs w:val="13"/>
                <w:color w:val="auto"/>
              </w:rPr>
              <w:t>(The Infosoft Group, LLC)</w:t>
            </w:r>
          </w:p>
        </w:tc>
        <w:tc>
          <w:tcPr>
            <w:tcW w:w="88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Banking, Finance,</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11,867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27,995</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55,182</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Insurance and Real Estate</w:t>
            </w: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tcPr>
          <w:p>
            <w:pPr>
              <w:spacing w:after="0" w:line="121" w:lineRule="exact"/>
              <w:rPr>
                <w:sz w:val="20"/>
                <w:szCs w:val="20"/>
                <w:color w:val="auto"/>
              </w:rPr>
            </w:pPr>
            <w:r>
              <w:rPr>
                <w:rFonts w:ascii="Arial" w:cs="Arial" w:eastAsia="Arial" w:hAnsi="Arial"/>
                <w:sz w:val="13"/>
                <w:szCs w:val="13"/>
                <w:color w:val="auto"/>
              </w:rPr>
              <w:t>TPC Broadband Investors, LP</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21" w:lineRule="exact"/>
              <w:rPr>
                <w:sz w:val="20"/>
                <w:szCs w:val="20"/>
                <w:color w:val="auto"/>
              </w:rPr>
            </w:pPr>
            <w:r>
              <w:rPr>
                <w:rFonts w:ascii="Arial" w:cs="Arial" w:eastAsia="Arial" w:hAnsi="Arial"/>
                <w:sz w:val="13"/>
                <w:szCs w:val="13"/>
                <w:color w:val="auto"/>
                <w:w w:val="88"/>
              </w:rPr>
              <w:t>Telecommunications</w:t>
            </w:r>
          </w:p>
        </w:tc>
        <w:tc>
          <w:tcPr>
            <w:tcW w:w="1280" w:type="dxa"/>
            <w:vAlign w:val="bottom"/>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438,098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438,098</w:t>
            </w:r>
          </w:p>
        </w:tc>
        <w:tc>
          <w:tcPr>
            <w:tcW w:w="18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438,098</w:t>
            </w:r>
          </w:p>
        </w:tc>
        <w:tc>
          <w:tcPr>
            <w:tcW w:w="0" w:type="dxa"/>
            <w:vAlign w:val="bottom"/>
          </w:tcPr>
          <w:p>
            <w:pPr>
              <w:spacing w:after="0"/>
              <w:rPr>
                <w:sz w:val="1"/>
                <w:szCs w:val="1"/>
                <w:color w:val="auto"/>
              </w:rPr>
            </w:pPr>
          </w:p>
        </w:tc>
      </w:tr>
      <w:tr>
        <w:trPr>
          <w:trHeight w:val="149"/>
        </w:trPr>
        <w:tc>
          <w:tcPr>
            <w:tcW w:w="4120" w:type="dxa"/>
            <w:vAlign w:val="bottom"/>
          </w:tcPr>
          <w:p>
            <w:pPr>
              <w:ind w:left="14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(13)</w:t>
            </w: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Telecommunications</w:t>
            </w:r>
          </w:p>
        </w:tc>
        <w:tc>
          <w:tcPr>
            <w:tcW w:w="1280" w:type="dxa"/>
            <w:vAlign w:val="bottom"/>
            <w:shd w:val="clear" w:color="auto" w:fill="CCEEFF"/>
          </w:tcPr>
          <w:p>
            <w:pPr>
              <w:jc w:val="right"/>
              <w:ind w:right="477"/>
              <w:spacing w:after="0" w:line="121"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561,902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 (13)</w:t>
            </w:r>
          </w:p>
        </w:tc>
        <w:tc>
          <w:tcPr>
            <w:tcW w:w="8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UniTek Global Services, Inc.</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1280" w:type="dxa"/>
            <w:vAlign w:val="bottom"/>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149,617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1,188,670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8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6,536,210</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10,223,551</w:t>
            </w:r>
          </w:p>
        </w:tc>
        <w:tc>
          <w:tcPr>
            <w:tcW w:w="0" w:type="dxa"/>
            <w:vAlign w:val="bottom"/>
          </w:tcPr>
          <w:p>
            <w:pPr>
              <w:spacing w:after="0"/>
              <w:rPr>
                <w:sz w:val="1"/>
                <w:szCs w:val="1"/>
                <w:color w:val="auto"/>
              </w:rPr>
            </w:pPr>
          </w:p>
        </w:tc>
      </w:tr>
      <w:tr>
        <w:trPr>
          <w:trHeight w:val="149"/>
        </w:trPr>
        <w:tc>
          <w:tcPr>
            <w:tcW w:w="4120" w:type="dxa"/>
            <w:vAlign w:val="bottom"/>
          </w:tcPr>
          <w:p>
            <w:pPr>
              <w:spacing w:after="0" w:line="142" w:lineRule="exact"/>
              <w:rPr>
                <w:sz w:val="20"/>
                <w:szCs w:val="20"/>
                <w:color w:val="auto"/>
              </w:rPr>
            </w:pPr>
            <w:r>
              <w:rPr>
                <w:rFonts w:ascii="Arial" w:cs="Arial" w:eastAsia="Arial" w:hAnsi="Arial"/>
                <w:sz w:val="13"/>
                <w:szCs w:val="13"/>
                <w:b w:val="1"/>
                <w:bCs w:val="1"/>
                <w:color w:val="auto"/>
                <w:w w:val="91"/>
              </w:rPr>
              <w:t>Total Investments in Non-Controlled, Non-Affiliated Portfolio Companies</w:t>
            </w: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653,340,297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656,868,887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Equivalents—6.4%</w:t>
            </w:r>
          </w:p>
        </w:tc>
        <w:tc>
          <w:tcPr>
            <w:tcW w:w="8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3"/>
                <w:szCs w:val="13"/>
                <w:color w:val="auto"/>
              </w:rPr>
              <w:t>BlackRock Federal FD Instl 30</w:t>
            </w:r>
          </w:p>
        </w:tc>
        <w:tc>
          <w:tcPr>
            <w:tcW w:w="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22,526,563</w:t>
            </w:r>
          </w:p>
        </w:tc>
        <w:tc>
          <w:tcPr>
            <w:tcW w:w="1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22,526,563</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w:t>
            </w:r>
          </w:p>
        </w:tc>
        <w:tc>
          <w:tcPr>
            <w:tcW w:w="8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1,674,695</w:t>
            </w:r>
          </w:p>
        </w:tc>
        <w:tc>
          <w:tcPr>
            <w:tcW w:w="1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1,677,002</w:t>
            </w:r>
          </w:p>
        </w:tc>
        <w:tc>
          <w:tcPr>
            <w:tcW w:w="0" w:type="dxa"/>
            <w:vAlign w:val="bottom"/>
          </w:tcPr>
          <w:p>
            <w:pPr>
              <w:spacing w:after="0"/>
              <w:rPr>
                <w:sz w:val="1"/>
                <w:szCs w:val="1"/>
                <w:color w:val="auto"/>
              </w:rPr>
            </w:pPr>
          </w:p>
        </w:tc>
      </w:tr>
      <w:tr>
        <w:trPr>
          <w:trHeight w:val="149"/>
        </w:trPr>
        <w:tc>
          <w:tcPr>
            <w:tcW w:w="412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24,201,258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24,203,565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Equivalents—180.6%</w:t>
            </w:r>
          </w:p>
        </w:tc>
        <w:tc>
          <w:tcPr>
            <w:tcW w:w="8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5"/>
              </w:rPr>
              <w:t>677,541,555</w:t>
            </w:r>
          </w:p>
        </w:tc>
        <w:tc>
          <w:tcPr>
            <w:tcW w:w="1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681,072,452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Assets—(80.6)%</w:t>
            </w: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(303,934,786)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8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377,137,666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22"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700" w:hanging="452"/>
        <w:spacing w:after="0" w:line="281" w:lineRule="auto"/>
        <w:tabs>
          <w:tab w:leader="none" w:pos="460" w:val="left"/>
        </w:tabs>
        <w:numPr>
          <w:ilvl w:val="0"/>
          <w:numId w:val="3"/>
        </w:numPr>
        <w:rPr>
          <w:rFonts w:ascii="Arial" w:cs="Arial" w:eastAsia="Arial" w:hAnsi="Arial"/>
          <w:sz w:val="10"/>
          <w:szCs w:val="10"/>
          <w:color w:val="auto"/>
        </w:rPr>
      </w:pPr>
      <w:r>
        <w:rPr>
          <w:rFonts w:ascii="Arial" w:cs="Arial" w:eastAsia="Arial" w:hAnsi="Arial"/>
          <w:sz w:val="10"/>
          <w:szCs w:val="10"/>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400" w:hanging="452"/>
        <w:spacing w:after="0" w:line="234"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right="8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44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30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Par amount is denominated in Canadian Dollars (C$) or in Euros (€) as denoted.</w:t>
      </w: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our Taxable Subsidiary (See Note 1).</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Current</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76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1360" w:type="dxa"/>
            <w:vAlign w:val="bottom"/>
          </w:tcPr>
          <w:p>
            <w:pPr>
              <w:jc w:val="right"/>
              <w:ind w:right="97"/>
              <w:spacing w:after="0"/>
              <w:rPr>
                <w:sz w:val="20"/>
                <w:szCs w:val="20"/>
                <w:color w:val="auto"/>
              </w:rPr>
            </w:pPr>
            <w:r>
              <w:rPr>
                <w:rFonts w:ascii="Arial" w:cs="Arial" w:eastAsia="Arial" w:hAnsi="Arial"/>
                <w:sz w:val="13"/>
                <w:szCs w:val="13"/>
                <w:b w:val="1"/>
                <w:bCs w:val="1"/>
                <w:color w:val="auto"/>
              </w:rPr>
              <w:t>Maturity</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680" w:type="dxa"/>
            <w:vAlign w:val="bottom"/>
          </w:tcPr>
          <w:p>
            <w:pPr>
              <w:jc w:val="right"/>
              <w:ind w:right="117"/>
              <w:spacing w:after="0"/>
              <w:rPr>
                <w:sz w:val="20"/>
                <w:szCs w:val="20"/>
                <w:color w:val="auto"/>
              </w:rPr>
            </w:pPr>
            <w:r>
              <w:rPr>
                <w:rFonts w:ascii="Arial" w:cs="Arial" w:eastAsia="Arial" w:hAnsi="Arial"/>
                <w:sz w:val="13"/>
                <w:szCs w:val="13"/>
                <w:b w:val="1"/>
                <w:bCs w:val="1"/>
                <w:color w:val="auto"/>
                <w:w w:val="97"/>
              </w:rPr>
              <w:t>Coupon</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49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7"/>
              </w:rPr>
              <w:t xml:space="preserve">Investments in Non-Controlled, Non-Affiliated Portfolio Companies—159.3% </w:t>
            </w:r>
            <w:r>
              <w:rPr>
                <w:rFonts w:ascii="Arial" w:cs="Arial" w:eastAsia="Arial" w:hAnsi="Arial"/>
                <w:sz w:val="10"/>
                <w:szCs w:val="10"/>
                <w:b w:val="1"/>
                <w:bCs w:val="1"/>
                <w:color w:val="auto"/>
                <w:w w:val="97"/>
              </w:rPr>
              <w:t>(3), (4)</w:t>
            </w:r>
          </w:p>
        </w:tc>
        <w:tc>
          <w:tcPr>
            <w:tcW w:w="20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Debt—145.9%</w:t>
            </w:r>
          </w:p>
        </w:tc>
        <w:tc>
          <w:tcPr>
            <w:tcW w:w="13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12,255,990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12,250,000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02/28/2019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12,064,454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12,037,105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12,064,454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04/04/2022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3,943,925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3,925,777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3,946,410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10/02/2023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2,970,000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2,992,500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American Scaffold</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03/31/2022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4,866,801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4,888,125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09/19/2023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14,850,608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14,931,300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6,534,878</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6,462,308</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6,220,419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04/22/2022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9,975,000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9,787,810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9,825,375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11/15/2018</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5,125,684</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5,042,414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4,228,689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06/29/2020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3,498,670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3,462,806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3,498,670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2,397,229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2,422,820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2,460,000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2,415,653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2,442,679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2,468,750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2,448,157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2,370,000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07/08/2021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4,847,215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4,863,375</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07/02/2020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4,962,500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4,930,912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4,850,844</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07/21/2023</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12,179,928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12,343,750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12/24/2019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4,098,750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4,061,551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3,750,357</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3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01/08/2019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7.50%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L+625</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4,828,571</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4,801,254</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4,732,000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6,272,600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6,163,749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6,272,600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12/21/2020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10,531,671</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10,451,145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10,505,342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1,953,997</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1,970,000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08/02/2021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9,900,163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03/19/2018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2,237,139</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2,225,615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2,237,139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12/09/2020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4,889,096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4,875,750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4,687,500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4,659,016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4,687,500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8,550,000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8,513,835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8,507,250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6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8,641,304</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8,599,431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8,598,098</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 (Revolver)</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434,783</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(10)</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869,565</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06/15/2022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10,972,500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10,864,398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10,972,500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07/01/2021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4,875,844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4,702,969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12/23/2021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4,884,041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4,798,821</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05/31/2019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3,890,000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3,867,640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3,880,275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6,807,500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6,765,938</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6,620,294</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GTCR Valor Companies,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06/16/2023</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7,481,250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7,191,975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7,116,539</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Harbortouch Payments, LLC</w:t>
            </w:r>
          </w:p>
        </w:tc>
        <w:tc>
          <w:tcPr>
            <w:tcW w:w="13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05/31/2022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6,956,250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6,889,369</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7,025,812</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Real Estate</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Highline Aftermarket Acquisition, LLC (f/k/a DYK</w:t>
            </w:r>
          </w:p>
        </w:tc>
        <w:tc>
          <w:tcPr>
            <w:tcW w:w="13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04/01/2022</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88"/>
              </w:rPr>
              <w:t>Wholesale</w:t>
            </w:r>
          </w:p>
        </w:tc>
        <w:tc>
          <w:tcPr>
            <w:tcW w:w="6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5.75%</w:t>
            </w:r>
          </w:p>
        </w:tc>
        <w:tc>
          <w:tcPr>
            <w:tcW w:w="9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7,312,500</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7,244,146</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7,275,937</w:t>
            </w:r>
          </w:p>
        </w:tc>
        <w:tc>
          <w:tcPr>
            <w:tcW w:w="0" w:type="dxa"/>
            <w:vAlign w:val="bottom"/>
          </w:tcPr>
          <w:p>
            <w:pPr>
              <w:spacing w:after="0"/>
              <w:rPr>
                <w:sz w:val="1"/>
                <w:szCs w:val="1"/>
                <w:color w:val="auto"/>
              </w:rPr>
            </w:pPr>
          </w:p>
        </w:tc>
      </w:tr>
      <w:tr>
        <w:trPr>
          <w:trHeight w:val="149"/>
        </w:trPr>
        <w:tc>
          <w:tcPr>
            <w:tcW w:w="3560" w:type="dxa"/>
            <w:vAlign w:val="bottom"/>
          </w:tcPr>
          <w:p>
            <w:pPr>
              <w:ind w:left="140"/>
              <w:spacing w:after="0"/>
              <w:rPr>
                <w:sz w:val="20"/>
                <w:szCs w:val="20"/>
                <w:color w:val="auto"/>
              </w:rPr>
            </w:pPr>
            <w:r>
              <w:rPr>
                <w:rFonts w:ascii="Arial" w:cs="Arial" w:eastAsia="Arial" w:hAnsi="Arial"/>
                <w:sz w:val="13"/>
                <w:szCs w:val="13"/>
                <w:color w:val="auto"/>
              </w:rPr>
              <w:t>Prime Acquisition, LLC)</w:t>
            </w:r>
          </w:p>
        </w:tc>
        <w:tc>
          <w:tcPr>
            <w:tcW w:w="1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10/21/2020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1,153,016</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12/13/2019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2,624,730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2,610,592</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2,183,890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08/05/2019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6,256,250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6,218,559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5,505,500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6,225,820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6,133,990</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6,225,820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04/09/2021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7,942,494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7,293,179</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7,684,363</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05/01/2019</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8,676,097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8,614,521</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8,242,292</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13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03/30/2022</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5,974,987</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5,914,562</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6,027,269</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3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03/28/2019</w:t>
            </w:r>
          </w:p>
        </w:tc>
        <w:tc>
          <w:tcPr>
            <w:tcW w:w="20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5,277,938</w:t>
            </w:r>
          </w:p>
        </w:tc>
        <w:tc>
          <w:tcPr>
            <w:tcW w:w="9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5,235,239</w:t>
            </w: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5,277,938</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3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03/28/2019</w:t>
            </w:r>
          </w:p>
        </w:tc>
        <w:tc>
          <w:tcPr>
            <w:tcW w:w="20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6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L+1,100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4,460,571</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6,662,719</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6,609,864</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6,662,719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Inventus Power, Inc. (f/k/a ICC-Nexergy,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04/30/2020</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4,846,935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4,686,976</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Jackson Hewitt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4,820,995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4,753,000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02/19/2021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3,932,760</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3,925,841</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07/17/2020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2,850,000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2,827,307</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2,821,500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10/31/2022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12,406,250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12,210,683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12,344,219</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10/30/2020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Wholesale</w:t>
            </w: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1,209,677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03/07/2022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10,174,500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9,984,965</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9,971,010</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11/13/2020</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1,945,020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1,940,066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1,930,432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11/30/2018</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5,407,864</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5,371,524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5,272,668</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05/10/2021</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2,186,607</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2,177,539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2,186,607</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05/10/2021</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282,143</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280,973</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282,143</w:t>
            </w:r>
          </w:p>
        </w:tc>
        <w:tc>
          <w:tcPr>
            <w:tcW w:w="0" w:type="dxa"/>
            <w:vAlign w:val="bottom"/>
          </w:tcPr>
          <w:p>
            <w:pPr>
              <w:spacing w:after="0"/>
              <w:rPr>
                <w:sz w:val="1"/>
                <w:szCs w:val="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Lombart Brothers, Inc.</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04/13/2022</w:t>
            </w:r>
          </w:p>
        </w:tc>
        <w:tc>
          <w:tcPr>
            <w:tcW w:w="2080" w:type="dxa"/>
            <w:vAlign w:val="bottom"/>
          </w:tcPr>
          <w:p>
            <w:pPr>
              <w:jc w:val="center"/>
              <w:spacing w:after="0" w:line="135" w:lineRule="exact"/>
              <w:rPr>
                <w:sz w:val="20"/>
                <w:szCs w:val="20"/>
                <w:color w:val="auto"/>
              </w:rPr>
            </w:pPr>
            <w:r>
              <w:rPr>
                <w:rFonts w:ascii="Arial" w:cs="Arial" w:eastAsia="Arial" w:hAnsi="Arial"/>
                <w:sz w:val="13"/>
                <w:szCs w:val="13"/>
                <w:color w:val="auto"/>
                <w:w w:val="88"/>
              </w:rPr>
              <w:t>Capital Equipment</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5,985,000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5,901,046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6,014,925</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w:t>
            </w:r>
          </w:p>
        </w:tc>
        <w:tc>
          <w:tcPr>
            <w:tcW w:w="13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04/13/2022</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Capital Equipment</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9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176,991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80" w:type="dxa"/>
            <w:vAlign w:val="bottom"/>
            <w:gridSpan w:val="2"/>
            <w:vMerge w:val="continue"/>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Maturity</w:t>
            </w:r>
          </w:p>
        </w:tc>
        <w:tc>
          <w:tcPr>
            <w:tcW w:w="2200" w:type="dxa"/>
            <w:vAlign w:val="bottom"/>
            <w:gridSpan w:val="2"/>
          </w:tcPr>
          <w:p>
            <w:pPr>
              <w:ind w:left="760"/>
              <w:spacing w:after="0"/>
              <w:rPr>
                <w:sz w:val="20"/>
                <w:szCs w:val="20"/>
                <w:color w:val="auto"/>
              </w:rPr>
            </w:pPr>
            <w:r>
              <w:rPr>
                <w:rFonts w:ascii="Arial" w:cs="Arial" w:eastAsia="Arial" w:hAnsi="Arial"/>
                <w:sz w:val="13"/>
                <w:szCs w:val="13"/>
                <w:b w:val="1"/>
                <w:bCs w:val="1"/>
                <w:color w:val="auto"/>
              </w:rPr>
              <w:t>Industry</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Coupon</w:t>
            </w: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82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3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04/13/2022</w:t>
            </w:r>
          </w:p>
        </w:tc>
        <w:tc>
          <w:tcPr>
            <w:tcW w:w="20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Capital Equipment</w:t>
            </w: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1,061,947</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Long’s Drugs Incorporated</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08/19/2021</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L+525</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4,951,874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01/15/2021</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L+900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9,542,392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9,417,467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9,542,392</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LTI Holdings,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04/18/2022</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L+425</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5,431,250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4,973,326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5,254,734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Marketplace Events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L+525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1,362,530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1,342,162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1,342,092</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P+275</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8"/>
              </w:rPr>
              <w:t>C$17,244,188</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12,065,652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13,078,215</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6.25%</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P+275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1,090,024</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1,090,024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1,090,024</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01/27/2021</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613,139</w:t>
            </w:r>
          </w:p>
        </w:tc>
        <w:tc>
          <w:tcPr>
            <w:tcW w:w="80" w:type="dxa"/>
            <w:vAlign w:val="bottom"/>
          </w:tcPr>
          <w:p>
            <w:pPr>
              <w:spacing w:after="0"/>
              <w:rPr>
                <w:sz w:val="11"/>
                <w:szCs w:val="11"/>
                <w:color w:val="auto"/>
              </w:rPr>
            </w:pPr>
          </w:p>
        </w:tc>
        <w:tc>
          <w:tcPr>
            <w:tcW w:w="820" w:type="dxa"/>
            <w:vAlign w:val="bottom"/>
            <w:gridSpan w:val="3"/>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09/28/2022</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L+500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4,116,608</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4,075,499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4,075,442</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09/28/2021</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883,392</w:t>
            </w:r>
          </w:p>
        </w:tc>
        <w:tc>
          <w:tcPr>
            <w:tcW w:w="80" w:type="dxa"/>
            <w:vAlign w:val="bottom"/>
          </w:tcPr>
          <w:p>
            <w:pPr>
              <w:spacing w:after="0"/>
              <w:rPr>
                <w:sz w:val="11"/>
                <w:szCs w:val="11"/>
                <w:color w:val="auto"/>
              </w:rPr>
            </w:pPr>
          </w:p>
        </w:tc>
        <w:tc>
          <w:tcPr>
            <w:tcW w:w="820" w:type="dxa"/>
            <w:vAlign w:val="bottom"/>
            <w:gridSpan w:val="3"/>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07/31/2019</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L+525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8,817,647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8,767,669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8,288,588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08/19/2022</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L+500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6,268,657</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6,205,970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6,205,970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08/19/2022</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3,731,343</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Polycom,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09/27/2023</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L+650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6,000,000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5,760,000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5,775,000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Precyse Acquisition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10/20/2022</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L+550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3,990,000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3,932,956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4,014,938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Premier Dental Services,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11/01/2018</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L+650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7,528,230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7,473,587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7,490,588</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05/20/2021</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L+475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7,281,762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7,222,561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7,281,762</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05/20/2020</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2,459,016</w:t>
            </w:r>
          </w:p>
        </w:tc>
        <w:tc>
          <w:tcPr>
            <w:tcW w:w="80" w:type="dxa"/>
            <w:vAlign w:val="bottom"/>
          </w:tcPr>
          <w:p>
            <w:pPr>
              <w:spacing w:after="0"/>
              <w:rPr>
                <w:sz w:val="11"/>
                <w:szCs w:val="11"/>
                <w:color w:val="auto"/>
              </w:rPr>
            </w:pPr>
          </w:p>
        </w:tc>
        <w:tc>
          <w:tcPr>
            <w:tcW w:w="820" w:type="dxa"/>
            <w:vAlign w:val="bottom"/>
            <w:gridSpan w:val="3"/>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08/23/2021</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L+475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9,852,456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03/18/2021</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L+450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6,895,000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6,867,800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6,688,150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06/18/2019</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L+700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4,252,830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4,233,671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4,258,699</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08/07/2020</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L+575</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4,218,750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4,166,413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4,163,400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Sensus USA,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04/05/2023</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Utilities: Water</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L+550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9,975,000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9,692,511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9,999,938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Snak Club,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07/19/2021</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L+500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4,968,748</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4,896,623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4,919,060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07/19/2021</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Beverage, Food and Tobacco</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Software Paradigms International Group,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05/21/2021</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9,875,000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9,781,596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9,825,625</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04/21/2017</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Aerospace and Defense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L+750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5,668,843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5,614,696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5,640,499</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10/19/2021</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L+625</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7,312,500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7,200,786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7,312,500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12/16/2020</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L+500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7,446,562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7,395,200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7,409,329</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10/18/2019</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L+400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5,850,000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5,834,217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5,733,000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07/09/2021</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5.75%</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L+475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4,822,723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4,786,985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4,071,198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3,092,295</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3,062,366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3,061,372</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L+500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5,986,002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5,928,120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5,926,142</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07/20/2021</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1,418,484</w:t>
            </w:r>
          </w:p>
        </w:tc>
        <w:tc>
          <w:tcPr>
            <w:tcW w:w="80" w:type="dxa"/>
            <w:vAlign w:val="bottom"/>
          </w:tcPr>
          <w:p>
            <w:pPr>
              <w:spacing w:after="0"/>
              <w:rPr>
                <w:sz w:val="11"/>
                <w:szCs w:val="11"/>
                <w:color w:val="auto"/>
              </w:rPr>
            </w:pPr>
          </w:p>
        </w:tc>
        <w:tc>
          <w:tcPr>
            <w:tcW w:w="820" w:type="dxa"/>
            <w:vAlign w:val="bottom"/>
            <w:gridSpan w:val="3"/>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(7,092)</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11/02/2020</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L+550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1,970,000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1,825,559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1,576,000</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12/28/2020</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11.27%</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(9)</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10,306,936</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10,124,477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10,306,936</w:t>
            </w:r>
          </w:p>
        </w:tc>
        <w:tc>
          <w:tcPr>
            <w:tcW w:w="0" w:type="dxa"/>
            <w:vAlign w:val="bottom"/>
          </w:tcPr>
          <w:p>
            <w:pPr>
              <w:spacing w:after="0"/>
              <w:rPr>
                <w:sz w:val="1"/>
                <w:szCs w:val="1"/>
                <w:color w:val="auto"/>
              </w:rPr>
            </w:pPr>
          </w:p>
        </w:tc>
      </w:tr>
      <w:tr>
        <w:trPr>
          <w:trHeight w:val="121"/>
        </w:trPr>
        <w:tc>
          <w:tcPr>
            <w:tcW w:w="36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2"/>
              </w:rPr>
              <w:t>01/14/2019</w:t>
            </w:r>
          </w:p>
        </w:tc>
        <w:tc>
          <w:tcPr>
            <w:tcW w:w="220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Telecommunications</w:t>
            </w: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9.50%</w:t>
            </w:r>
          </w:p>
        </w:tc>
        <w:tc>
          <w:tcPr>
            <w:tcW w:w="9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L+850</w:t>
            </w:r>
          </w:p>
        </w:tc>
        <w:tc>
          <w:tcPr>
            <w:tcW w:w="100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256,971</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256,971</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256,971</w:t>
            </w:r>
          </w:p>
        </w:tc>
        <w:tc>
          <w:tcPr>
            <w:tcW w:w="0" w:type="dxa"/>
            <w:vAlign w:val="bottom"/>
          </w:tcPr>
          <w:p>
            <w:pPr>
              <w:spacing w:after="0"/>
              <w:rPr>
                <w:sz w:val="1"/>
                <w:szCs w:val="1"/>
                <w:color w:val="auto"/>
              </w:rPr>
            </w:pPr>
          </w:p>
        </w:tc>
      </w:tr>
      <w:tr>
        <w:trPr>
          <w:trHeight w:val="163"/>
        </w:trPr>
        <w:tc>
          <w:tcPr>
            <w:tcW w:w="3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1.00%)</w:t>
            </w: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01/14/2019</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L+750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599,702</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562,432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590,706</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01/14/2019</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151,090</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10/04/2021</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4,962,500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4,919,423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4,937,688</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12/31/2019</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L+500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9,900,000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9,818,407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9,850,500</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08/13/2021</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L+900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3,089,844</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3,089,844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3,089,844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Vistage Worldwide, Inc.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08/19/2021</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Media: Broadcasting and Subscription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L+550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4,792,831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4,752,002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4,792,831</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06/30/2022</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L+650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7,773,579</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7,703,094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7,668,171</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(10)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06/30/2022</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708,333</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(9,605)</w:t>
            </w:r>
          </w:p>
        </w:tc>
        <w:tc>
          <w:tcPr>
            <w:tcW w:w="0" w:type="dxa"/>
            <w:vAlign w:val="bottom"/>
          </w:tcPr>
          <w:p>
            <w:pPr>
              <w:spacing w:after="0"/>
              <w:rPr>
                <w:sz w:val="1"/>
                <w:szCs w:val="1"/>
                <w:color w:val="auto"/>
              </w:rPr>
            </w:pPr>
          </w:p>
        </w:tc>
      </w:tr>
      <w:tr>
        <w:trPr>
          <w:trHeight w:val="121"/>
        </w:trPr>
        <w:tc>
          <w:tcPr>
            <w:tcW w:w="368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82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w w:val="92"/>
              </w:rPr>
              <w:t>10/30/2020</w:t>
            </w:r>
          </w:p>
        </w:tc>
        <w:tc>
          <w:tcPr>
            <w:tcW w:w="220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9.00%</w:t>
            </w:r>
          </w:p>
        </w:tc>
        <w:tc>
          <w:tcPr>
            <w:tcW w:w="9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L+800</w:t>
            </w:r>
          </w:p>
        </w:tc>
        <w:tc>
          <w:tcPr>
            <w:tcW w:w="1000" w:type="dxa"/>
            <w:vAlign w:val="bottom"/>
            <w:gridSpan w:val="3"/>
          </w:tcPr>
          <w:p>
            <w:pPr>
              <w:jc w:val="right"/>
              <w:ind w:right="200"/>
              <w:spacing w:after="0" w:line="121" w:lineRule="exact"/>
              <w:rPr>
                <w:sz w:val="20"/>
                <w:szCs w:val="20"/>
                <w:color w:val="auto"/>
              </w:rPr>
            </w:pPr>
            <w:r>
              <w:rPr>
                <w:rFonts w:ascii="Arial" w:cs="Arial" w:eastAsia="Arial" w:hAnsi="Arial"/>
                <w:sz w:val="13"/>
                <w:szCs w:val="13"/>
                <w:color w:val="auto"/>
              </w:rPr>
              <w:t>7,316,440</w:t>
            </w: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7,259,010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7,316,440</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3"/>
                <w:szCs w:val="13"/>
                <w:color w:val="auto"/>
                <w:w w:val="86"/>
              </w:rPr>
              <w:t>Estate</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2"/>
              </w:rPr>
              <w:t>549,736,982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548,410,095</w:t>
            </w: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Debt—9.7%</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10/31/2018</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L+700</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942,276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879,170</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09/01/2017</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Metals and Mining</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700,000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12/31/2020</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11.34%</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2,000,000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1,971,030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Howard Berger Co.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09/30/2020</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5"/>
              </w:rPr>
              <w:t>Wholesale</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11.00%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L+1,000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11,000,000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10,511,818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21"/>
        </w:trPr>
        <w:tc>
          <w:tcPr>
            <w:tcW w:w="36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MailSouth, Inc.</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2"/>
              </w:rPr>
              <w:t>10/22/2021</w:t>
            </w:r>
          </w:p>
        </w:tc>
        <w:tc>
          <w:tcPr>
            <w:tcW w:w="22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11.50%</w:t>
            </w:r>
          </w:p>
        </w:tc>
        <w:tc>
          <w:tcPr>
            <w:tcW w:w="9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L+1,050</w:t>
            </w:r>
          </w:p>
        </w:tc>
        <w:tc>
          <w:tcPr>
            <w:tcW w:w="1000" w:type="dxa"/>
            <w:vAlign w:val="bottom"/>
            <w:gridSpan w:val="3"/>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3,775,000</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3,703,724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3,775,000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07/07/2021</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12.25%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L+1,100</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11,000,000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2"/>
              </w:rPr>
              <w:t>10,914,618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11,000,000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10/02/2020</w:t>
            </w:r>
          </w:p>
        </w:tc>
        <w:tc>
          <w:tcPr>
            <w:tcW w:w="22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9.00%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L+775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4,872,042</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4,826,926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4,853,772</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2"/>
              </w:rPr>
              <w:t>08/01/2017</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Energy: Oil and Gas</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12.50%</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2,756,732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1,631,250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2"/>
              </w:rPr>
              <w:t>01/30/2023</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10.75%</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L+975</w:t>
            </w:r>
          </w:p>
        </w:tc>
        <w:tc>
          <w:tcPr>
            <w:tcW w:w="10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1,837,500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1,777,304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1,837,500</w:t>
            </w: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38,404,428</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36,596,692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Basis Point</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Spread Above</w:t>
            </w: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Par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80" w:type="dxa"/>
            <w:vAlign w:val="bottom"/>
            <w:gridSpan w:val="3"/>
            <w:vMerge w:val="continue"/>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660" w:type="dxa"/>
            <w:vAlign w:val="bottom"/>
            <w:gridSpan w:val="2"/>
          </w:tcPr>
          <w:p>
            <w:pPr>
              <w:ind w:left="480"/>
              <w:spacing w:after="0"/>
              <w:rPr>
                <w:sz w:val="20"/>
                <w:szCs w:val="20"/>
                <w:color w:val="auto"/>
              </w:rPr>
            </w:pPr>
            <w:r>
              <w:rPr>
                <w:rFonts w:ascii="Arial" w:cs="Arial" w:eastAsia="Arial" w:hAnsi="Arial"/>
                <w:sz w:val="13"/>
                <w:szCs w:val="13"/>
                <w:b w:val="1"/>
                <w:bCs w:val="1"/>
                <w:color w:val="auto"/>
              </w:rPr>
              <w:t>Industry</w:t>
            </w: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Coupon</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xml:space="preserve">Index </w:t>
            </w:r>
            <w:r>
              <w:rPr>
                <w:rFonts w:ascii="Arial" w:cs="Arial" w:eastAsia="Arial" w:hAnsi="Arial"/>
                <w:sz w:val="10"/>
                <w:szCs w:val="10"/>
                <w:b w:val="1"/>
                <w:bCs w:val="1"/>
                <w:color w:val="auto"/>
              </w:rPr>
              <w:t>(1)</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3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980" w:type="dxa"/>
            <w:vAlign w:val="bottom"/>
            <w:gridSpan w:val="3"/>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89"/>
              </w:rPr>
              <w:t>07/30/2018</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7.50%</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w w:val="93"/>
              </w:rPr>
              <w:t>1,135,273</w:t>
            </w:r>
          </w:p>
        </w:tc>
        <w:tc>
          <w:tcPr>
            <w:tcW w:w="280" w:type="dxa"/>
            <w:vAlign w:val="bottom"/>
            <w:gridSpan w:val="2"/>
          </w:tcPr>
          <w:p>
            <w:pPr>
              <w:jc w:val="right"/>
              <w:ind w:right="8"/>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1,030,320</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1,035,937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(PIK 4.00%)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98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Credit Infonet, Inc.</w:t>
            </w:r>
          </w:p>
        </w:tc>
        <w:tc>
          <w:tcPr>
            <w:tcW w:w="840" w:type="dxa"/>
            <w:vAlign w:val="bottom"/>
            <w:gridSpan w:val="2"/>
            <w:shd w:val="clear" w:color="auto" w:fill="CCEEFF"/>
          </w:tcPr>
          <w:p>
            <w:pPr>
              <w:jc w:val="center"/>
              <w:ind w:right="220"/>
              <w:spacing w:after="0" w:line="122" w:lineRule="exact"/>
              <w:rPr>
                <w:sz w:val="20"/>
                <w:szCs w:val="20"/>
                <w:color w:val="auto"/>
              </w:rPr>
            </w:pPr>
            <w:r>
              <w:rPr>
                <w:rFonts w:ascii="Arial" w:cs="Arial" w:eastAsia="Arial" w:hAnsi="Arial"/>
                <w:sz w:val="13"/>
                <w:szCs w:val="13"/>
                <w:color w:val="auto"/>
                <w:w w:val="89"/>
              </w:rPr>
              <w:t>10/26/2018</w:t>
            </w:r>
          </w:p>
        </w:tc>
        <w:tc>
          <w:tcPr>
            <w:tcW w:w="1660" w:type="dxa"/>
            <w:vAlign w:val="bottom"/>
            <w:gridSpan w:val="2"/>
            <w:shd w:val="clear" w:color="auto" w:fill="CCEEFF"/>
          </w:tcPr>
          <w:p>
            <w:pPr>
              <w:jc w:val="center"/>
              <w:ind w:right="200"/>
              <w:spacing w:after="0" w:line="122" w:lineRule="exact"/>
              <w:rPr>
                <w:sz w:val="20"/>
                <w:szCs w:val="20"/>
                <w:color w:val="auto"/>
              </w:rPr>
            </w:pPr>
            <w:r>
              <w:rPr>
                <w:rFonts w:ascii="Arial" w:cs="Arial" w:eastAsia="Arial" w:hAnsi="Arial"/>
                <w:sz w:val="13"/>
                <w:szCs w:val="13"/>
                <w:color w:val="auto"/>
                <w:w w:val="88"/>
              </w:rPr>
              <w:t>High Tech Industries</w:t>
            </w:r>
          </w:p>
        </w:tc>
        <w:tc>
          <w:tcPr>
            <w:tcW w:w="100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3"/>
                <w:szCs w:val="13"/>
                <w:color w:val="auto"/>
              </w:rPr>
              <w:t>13.00%</w:t>
            </w:r>
          </w:p>
        </w:tc>
        <w:tc>
          <w:tcPr>
            <w:tcW w:w="100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w w:val="93"/>
              </w:rPr>
              <w:t>2,069,078</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2,050,767</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3"/>
                <w:szCs w:val="13"/>
                <w:color w:val="auto"/>
              </w:rPr>
              <w:t>1,975,969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(PIK 1.75%)</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980" w:type="dxa"/>
            <w:vAlign w:val="bottom"/>
            <w:gridSpan w:val="3"/>
          </w:tcPr>
          <w:p>
            <w:pPr>
              <w:spacing w:after="0" w:line="121" w:lineRule="exact"/>
              <w:rPr>
                <w:sz w:val="20"/>
                <w:szCs w:val="20"/>
                <w:color w:val="auto"/>
              </w:rPr>
            </w:pPr>
            <w:r>
              <w:rPr>
                <w:rFonts w:ascii="Arial" w:cs="Arial" w:eastAsia="Arial" w:hAnsi="Arial"/>
                <w:sz w:val="13"/>
                <w:szCs w:val="13"/>
                <w:color w:val="auto"/>
              </w:rPr>
              <w:t>UniTek Global Services, Inc.</w:t>
            </w: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89"/>
              </w:rPr>
              <w:t>07/15/2019</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15.00%</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146,996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146,996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148,466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w w:val="95"/>
              </w:rPr>
              <w:t>(PIK 15.00%)</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3,228,083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3,160,372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84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13.50%</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3"/>
              </w:rPr>
              <w:t>1,047,317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670,283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1,319,308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Equity/Warrants—2.5% </w:t>
            </w:r>
            <w:r>
              <w:rPr>
                <w:rFonts w:ascii="Arial" w:cs="Arial" w:eastAsia="Arial" w:hAnsi="Arial"/>
                <w:sz w:val="10"/>
                <w:szCs w:val="10"/>
                <w:b w:val="1"/>
                <w:bCs w:val="1"/>
                <w:color w:val="auto"/>
              </w:rPr>
              <w:t>(7), (8)</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84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99,029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3,514,572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3,700,216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gridSpan w:val="3"/>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4,298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1,186,649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20,096</w:t>
            </w: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84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300,000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621,550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gridSpan w:val="3"/>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e.l.f. Beauty, Inc. (f/k/a J.A. Cosmetics US, Inc.)</w:t>
            </w:r>
          </w:p>
        </w:tc>
        <w:tc>
          <w:tcPr>
            <w:tcW w:w="84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Consumer Goods: Durable</w:t>
            </w:r>
          </w:p>
        </w:tc>
        <w:tc>
          <w:tcPr>
            <w:tcW w:w="10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110,399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295,670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2,957,767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980" w:type="dxa"/>
            <w:vAlign w:val="bottom"/>
            <w:gridSpan w:val="3"/>
          </w:tcPr>
          <w:p>
            <w:pPr>
              <w:spacing w:after="0" w:line="121" w:lineRule="exact"/>
              <w:rPr>
                <w:sz w:val="20"/>
                <w:szCs w:val="20"/>
                <w:color w:val="auto"/>
              </w:rPr>
            </w:pPr>
            <w:r>
              <w:rPr>
                <w:rFonts w:ascii="Arial" w:cs="Arial" w:eastAsia="Arial" w:hAnsi="Arial"/>
                <w:sz w:val="13"/>
                <w:szCs w:val="13"/>
                <w:color w:val="auto"/>
              </w:rPr>
              <w:t>Faraday Holdings, LLC</w:t>
            </w:r>
          </w:p>
        </w:tc>
        <w:tc>
          <w:tcPr>
            <w:tcW w:w="84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0"/>
              </w:rPr>
              <w:t>Construction and Building</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1,141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58,044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94,560</w:t>
            </w:r>
          </w:p>
        </w:tc>
        <w:tc>
          <w:tcPr>
            <w:tcW w:w="0" w:type="dxa"/>
            <w:vAlign w:val="bottom"/>
          </w:tcPr>
          <w:p>
            <w:pPr>
              <w:spacing w:after="0"/>
              <w:rPr>
                <w:sz w:val="1"/>
                <w:szCs w:val="1"/>
                <w:color w:val="auto"/>
              </w:rPr>
            </w:pPr>
          </w:p>
        </w:tc>
      </w:tr>
      <w:tr>
        <w:trPr>
          <w:trHeight w:val="149"/>
        </w:trPr>
        <w:tc>
          <w:tcPr>
            <w:tcW w:w="3980" w:type="dxa"/>
            <w:vAlign w:val="bottom"/>
            <w:gridSpan w:val="3"/>
          </w:tcPr>
          <w:p>
            <w:pPr>
              <w:ind w:left="140"/>
              <w:spacing w:after="0"/>
              <w:rPr>
                <w:sz w:val="20"/>
                <w:szCs w:val="20"/>
                <w:color w:val="auto"/>
              </w:rPr>
            </w:pPr>
            <w:r>
              <w:rPr>
                <w:rFonts w:ascii="Arial" w:cs="Arial" w:eastAsia="Arial" w:hAnsi="Arial"/>
                <w:sz w:val="13"/>
                <w:szCs w:val="13"/>
                <w:color w:val="auto"/>
              </w:rPr>
              <w:t>(Interior Specialists, Inc.)</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840" w:type="dxa"/>
            <w:vAlign w:val="bottom"/>
            <w:gridSpan w:val="2"/>
            <w:shd w:val="clear" w:color="auto" w:fill="CCEEFF"/>
          </w:tcPr>
          <w:p>
            <w:pPr>
              <w:jc w:val="center"/>
              <w:ind w:right="24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6"/>
              </w:rPr>
              <w:t>Banking, Finance,</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11,867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27,995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106,922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4"/>
              </w:rPr>
              <w:t>Insurance and Real Estate</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gridSpan w:val="3"/>
          </w:tcPr>
          <w:p>
            <w:pPr>
              <w:spacing w:after="0" w:line="121" w:lineRule="exact"/>
              <w:rPr>
                <w:sz w:val="20"/>
                <w:szCs w:val="20"/>
                <w:color w:val="auto"/>
              </w:rPr>
            </w:pPr>
            <w:r>
              <w:rPr>
                <w:rFonts w:ascii="Arial" w:cs="Arial" w:eastAsia="Arial" w:hAnsi="Arial"/>
                <w:sz w:val="13"/>
                <w:szCs w:val="13"/>
                <w:color w:val="auto"/>
              </w:rPr>
              <w:t>TPC Broadband Investors, LP</w:t>
            </w:r>
          </w:p>
        </w:tc>
        <w:tc>
          <w:tcPr>
            <w:tcW w:w="84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430,666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430,666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430,666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gridSpan w:val="3"/>
          </w:tcPr>
          <w:p>
            <w:pPr>
              <w:ind w:left="140"/>
              <w:spacing w:after="0"/>
              <w:rPr>
                <w:sz w:val="20"/>
                <w:szCs w:val="20"/>
                <w:color w:val="auto"/>
              </w:rPr>
            </w:pPr>
            <w:r>
              <w:rPr>
                <w:rFonts w:ascii="Arial" w:cs="Arial" w:eastAsia="Arial" w:hAnsi="Arial"/>
                <w:sz w:val="13"/>
                <w:szCs w:val="13"/>
                <w:color w:val="auto"/>
              </w:rPr>
              <w:t>(Advanced Cable Communications, LLC)</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840" w:type="dxa"/>
            <w:vAlign w:val="bottom"/>
            <w:gridSpan w:val="2"/>
            <w:shd w:val="clear" w:color="auto" w:fill="CCEEFF"/>
          </w:tcPr>
          <w:p>
            <w:pPr>
              <w:jc w:val="center"/>
              <w:ind w:right="24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569,334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tcPr>
          <w:p>
            <w:pPr>
              <w:spacing w:after="0" w:line="135" w:lineRule="exact"/>
              <w:rPr>
                <w:sz w:val="20"/>
                <w:szCs w:val="20"/>
                <w:color w:val="auto"/>
              </w:rPr>
            </w:pPr>
            <w:r>
              <w:rPr>
                <w:rFonts w:ascii="Arial" w:cs="Arial" w:eastAsia="Arial" w:hAnsi="Arial"/>
                <w:sz w:val="13"/>
                <w:szCs w:val="13"/>
                <w:color w:val="auto"/>
              </w:rPr>
              <w:t>UniTek Global Services, Inc.</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1"/>
              </w:rPr>
              <w:t>—</w:t>
            </w:r>
          </w:p>
        </w:tc>
        <w:tc>
          <w:tcPr>
            <w:tcW w:w="16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Telecommunications</w:t>
            </w: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149,617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892,276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9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840" w:type="dxa"/>
            <w:vAlign w:val="bottom"/>
            <w:gridSpan w:val="2"/>
            <w:shd w:val="clear" w:color="auto" w:fill="CCEEFF"/>
          </w:tcPr>
          <w:p>
            <w:pPr>
              <w:jc w:val="center"/>
              <w:ind w:right="240"/>
              <w:spacing w:after="0" w:line="121" w:lineRule="exact"/>
              <w:rPr>
                <w:sz w:val="20"/>
                <w:szCs w:val="20"/>
                <w:color w:val="auto"/>
              </w:rPr>
            </w:pPr>
            <w:r>
              <w:rPr>
                <w:rFonts w:ascii="Arial" w:cs="Arial" w:eastAsia="Arial" w:hAnsi="Arial"/>
                <w:sz w:val="13"/>
                <w:szCs w:val="13"/>
                <w:color w:val="auto"/>
                <w:w w:val="91"/>
              </w:rPr>
              <w:t>—</w:t>
            </w:r>
          </w:p>
        </w:tc>
        <w:tc>
          <w:tcPr>
            <w:tcW w:w="16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2"/>
              </w:rPr>
              <w:t>Media: Advertising,</w:t>
            </w:r>
          </w:p>
        </w:tc>
        <w:tc>
          <w:tcPr>
            <w:tcW w:w="100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15,179</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56,895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577,005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8"/>
              </w:rPr>
              <w:t>Printing and Publishing</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Common Equity/Warrants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5,870,491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9,401,058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8"/>
              </w:rPr>
              <w:t>Total Investments in Non-Controlled, Non-Affiliated Portfolio Companies</w:t>
            </w: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1"/>
              </w:rPr>
              <w:t>597,910,267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1"/>
              </w:rPr>
              <w:t>598,887,525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Cash and Cash Equivalents—7.7%</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89"/>
              </w:rPr>
              <w:t>BlackRock Liquidity Funds, Temp Cash and Temp Fund, Institutional Shares</w:t>
            </w: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28,212,041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28,212,041</w:t>
            </w:r>
          </w:p>
        </w:tc>
        <w:tc>
          <w:tcPr>
            <w:tcW w:w="0" w:type="dxa"/>
            <w:vAlign w:val="bottom"/>
          </w:tcPr>
          <w:p>
            <w:pPr>
              <w:spacing w:after="0"/>
              <w:rPr>
                <w:sz w:val="1"/>
                <w:szCs w:val="1"/>
                <w:color w:val="auto"/>
              </w:rPr>
            </w:pPr>
          </w:p>
        </w:tc>
      </w:tr>
      <w:tr>
        <w:trPr>
          <w:trHeight w:val="142"/>
        </w:trPr>
        <w:tc>
          <w:tcPr>
            <w:tcW w:w="3980" w:type="dxa"/>
            <w:vAlign w:val="bottom"/>
            <w:gridSpan w:val="3"/>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691,318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698,932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28,903,359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28,910,973</w:t>
            </w:r>
          </w:p>
        </w:tc>
        <w:tc>
          <w:tcPr>
            <w:tcW w:w="0" w:type="dxa"/>
            <w:vAlign w:val="bottom"/>
          </w:tcPr>
          <w:p>
            <w:pPr>
              <w:spacing w:after="0"/>
              <w:rPr>
                <w:sz w:val="1"/>
                <w:szCs w:val="1"/>
                <w:color w:val="auto"/>
              </w:rPr>
            </w:pPr>
          </w:p>
        </w:tc>
      </w:tr>
      <w:tr>
        <w:trPr>
          <w:trHeight w:val="142"/>
        </w:trPr>
        <w:tc>
          <w:tcPr>
            <w:tcW w:w="39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Equivalents—167.0%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626,813,626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627,798,498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8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Assets—(67.0)%</w:t>
            </w: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6"/>
              </w:rPr>
              <w:t>(251,891,670)</w:t>
            </w:r>
          </w:p>
        </w:tc>
        <w:tc>
          <w:tcPr>
            <w:tcW w:w="0" w:type="dxa"/>
            <w:vAlign w:val="bottom"/>
          </w:tcPr>
          <w:p>
            <w:pPr>
              <w:spacing w:after="0"/>
              <w:rPr>
                <w:sz w:val="1"/>
                <w:szCs w:val="1"/>
                <w:color w:val="auto"/>
              </w:rPr>
            </w:pPr>
          </w:p>
        </w:tc>
      </w:tr>
      <w:tr>
        <w:trPr>
          <w:trHeight w:val="135"/>
        </w:trPr>
        <w:tc>
          <w:tcPr>
            <w:tcW w:w="3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1"/>
              </w:rPr>
              <w:t>375,906,828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8" w:lineRule="exact"/>
        <w:rPr>
          <w:sz w:val="20"/>
          <w:szCs w:val="20"/>
          <w:color w:val="auto"/>
        </w:rPr>
      </w:pPr>
    </w:p>
    <w:p>
      <w:pPr>
        <w:ind w:left="460" w:right="160" w:hanging="452"/>
        <w:spacing w:after="0" w:line="224"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700" w:hanging="452"/>
        <w:spacing w:after="0" w:line="281" w:lineRule="auto"/>
        <w:tabs>
          <w:tab w:leader="none" w:pos="460" w:val="left"/>
        </w:tabs>
        <w:numPr>
          <w:ilvl w:val="0"/>
          <w:numId w:val="4"/>
        </w:numPr>
        <w:rPr>
          <w:rFonts w:ascii="Arial" w:cs="Arial" w:eastAsia="Arial" w:hAnsi="Arial"/>
          <w:sz w:val="10"/>
          <w:szCs w:val="10"/>
          <w:color w:val="auto"/>
        </w:rPr>
      </w:pPr>
      <w:r>
        <w:rPr>
          <w:rFonts w:ascii="Arial" w:cs="Arial" w:eastAsia="Arial" w:hAnsi="Arial"/>
          <w:sz w:val="10"/>
          <w:szCs w:val="10"/>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40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hanging="452"/>
        <w:spacing w:after="0"/>
        <w:tabs>
          <w:tab w:leader="none" w:pos="4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10"/>
          <w:szCs w:val="10"/>
          <w:color w:val="auto"/>
        </w:rPr>
      </w:pP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44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30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66"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mezzanine debt, which we define as second lien secured and subordinated debt, and, to a lesser extent, equity investments.</w:t>
      </w:r>
    </w:p>
    <w:p>
      <w:pPr>
        <w:spacing w:after="0" w:line="71" w:lineRule="exact"/>
        <w:rPr>
          <w:sz w:val="20"/>
          <w:szCs w:val="20"/>
          <w:color w:val="auto"/>
        </w:rPr>
      </w:pPr>
    </w:p>
    <w:p>
      <w:pPr>
        <w:ind w:right="220" w:firstLine="562"/>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44"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at LIBOR plus 200 basis points during the revolving period. The Credit Facility is secured by all of the assets held by Funding I. See Note 9.</w:t>
      </w:r>
    </w:p>
    <w:p>
      <w:pPr>
        <w:spacing w:after="0" w:line="67"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46" w:lineRule="exact"/>
        <w:rPr>
          <w:sz w:val="20"/>
          <w:szCs w:val="20"/>
          <w:color w:val="auto"/>
        </w:rPr>
      </w:pPr>
    </w:p>
    <w:p>
      <w:pPr>
        <w:ind w:left="780" w:right="80" w:hanging="327"/>
        <w:spacing w:after="0" w:line="238"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00" w:hanging="327"/>
        <w:spacing w:after="0" w:line="25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22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2"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an excise tax or we may incur taxes through our taxable subsidiaries. For the three months ended December 31, 2016 and 2015, we recorded a provision for taxes of less than $0.1 million and zero, respectively.</w:t>
      </w:r>
    </w:p>
    <w:p>
      <w:pPr>
        <w:spacing w:after="0" w:line="77" w:lineRule="exact"/>
        <w:rPr>
          <w:sz w:val="20"/>
          <w:szCs w:val="20"/>
          <w:color w:val="auto"/>
        </w:rPr>
      </w:pPr>
    </w:p>
    <w:p>
      <w:pPr>
        <w:ind w:right="60" w:firstLine="562"/>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60" w:lineRule="exact"/>
        <w:rPr>
          <w:sz w:val="20"/>
          <w:szCs w:val="20"/>
          <w:color w:val="auto"/>
        </w:rPr>
      </w:pPr>
    </w:p>
    <w:p>
      <w:pPr>
        <w:jc w:val="both"/>
        <w:ind w:right="12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2"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9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69"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2016 and 2015, the Investment Adviser earned a base management fee of $1.6 million and $1.1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three months ended December 31, 2016 and 2015, the Investment Adviser earned $0.9 million and zero, respectively, in incentive fees on net investment income from us.</w:t>
      </w:r>
    </w:p>
    <w:p>
      <w:pPr>
        <w:spacing w:after="0" w:line="75"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2016 and 2015, the Investment Adviser did not earn an incentive fee on capital gains as calculated under the Investment Management Agreement (as described above).</w:t>
      </w:r>
    </w:p>
    <w:p>
      <w:pPr>
        <w:spacing w:after="0" w:line="67"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The incentive fee accrued for under GAAP on our unrealized and realized capital gains for the three months ended December 31, 2016 and 2015 was $0.6 million and zero,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months ended December 31, 2016 and 2015, the Investment Adviser was reimbursed approximately $0.3 million and $0.1 million, respectively, from us, including expenses the Investment Adviser incurred on behalf of the Administrator, for services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months ended December 31, 2016 and 2015 totaled $124.9 million and $99.2 million, respectively. Sales and repayments of investments for the same periods totaled $70.4 million and $26.9 million, respectively. For the three months ended December 31, 2016, the Company sold $5.0 million in total investments to an affiliated fund managed by our Investment Adviser in accordance with, and pursuant to procedures adopted under, Rule 17a-7 of the 1940 Act. Realized gain on that transaction amounted to less than $0.1 million.</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4"/>
                <w:szCs w:val="14"/>
                <w:color w:val="auto"/>
              </w:rPr>
            </w:pPr>
          </w:p>
        </w:tc>
        <w:tc>
          <w:tcPr>
            <w:tcW w:w="2360" w:type="dxa"/>
            <w:vAlign w:val="bottom"/>
            <w:gridSpan w:val="6"/>
          </w:tcPr>
          <w:p>
            <w:pPr>
              <w:ind w:left="44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599,327,868</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600,052,593</w:t>
            </w: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549,736,982</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38,520,326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36,913,063</w:t>
            </w:r>
          </w:p>
        </w:tc>
        <w:tc>
          <w:tcPr>
            <w:tcW w:w="2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38,404,428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36,596,692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8,285,610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8,314,839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3,228,083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3,160,372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7,206,493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11,588,392</w:t>
            </w:r>
          </w:p>
        </w:tc>
        <w:tc>
          <w:tcPr>
            <w:tcW w:w="3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6,540,774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10,720,366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653,340,297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656,868,887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597,910,267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598,887,525</w:t>
            </w:r>
          </w:p>
        </w:tc>
        <w:tc>
          <w:tcPr>
            <w:tcW w:w="0" w:type="dxa"/>
            <w:vAlign w:val="bottom"/>
          </w:tcPr>
          <w:p>
            <w:pPr>
              <w:spacing w:after="0"/>
              <w:rPr>
                <w:sz w:val="1"/>
                <w:szCs w:val="1"/>
                <w:color w:val="auto"/>
              </w:rPr>
            </w:pPr>
          </w:p>
        </w:tc>
      </w:tr>
      <w:tr>
        <w:trPr>
          <w:trHeight w:val="163"/>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24,201,258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24,203,565</w:t>
            </w:r>
          </w:p>
        </w:tc>
        <w:tc>
          <w:tcPr>
            <w:tcW w:w="3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28,903,359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4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677,541,555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681,072,452</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626,813,626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627,798,498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140" w:type="dxa"/>
            <w:vAlign w:val="bottom"/>
          </w:tcPr>
          <w:p>
            <w:pPr>
              <w:spacing w:after="0"/>
              <w:rPr>
                <w:sz w:val="20"/>
                <w:szCs w:val="20"/>
                <w:color w:val="auto"/>
              </w:rPr>
            </w:pPr>
            <w:r>
              <w:rPr>
                <w:rFonts w:ascii="Arial" w:cs="Arial" w:eastAsia="Arial" w:hAnsi="Arial"/>
                <w:sz w:val="14"/>
                <w:szCs w:val="14"/>
                <w:b w:val="1"/>
                <w:bCs w:val="1"/>
                <w:color w:val="auto"/>
              </w:rPr>
              <w:t>Industry Classification</w:t>
            </w:r>
          </w:p>
        </w:tc>
        <w:tc>
          <w:tcPr>
            <w:tcW w:w="660" w:type="dxa"/>
            <w:vAlign w:val="bottom"/>
          </w:tcPr>
          <w:p>
            <w:pPr>
              <w:spacing w:after="0"/>
              <w:rPr>
                <w:sz w:val="16"/>
                <w:szCs w:val="16"/>
                <w:color w:val="auto"/>
              </w:rPr>
            </w:pPr>
          </w:p>
        </w:tc>
        <w:tc>
          <w:tcPr>
            <w:tcW w:w="2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 2016</w:t>
            </w:r>
          </w:p>
        </w:tc>
        <w:tc>
          <w:tcPr>
            <w:tcW w:w="1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6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58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11%</w:t>
            </w:r>
          </w:p>
        </w:tc>
        <w:tc>
          <w:tcPr>
            <w:tcW w:w="300" w:type="dxa"/>
            <w:vAlign w:val="bottom"/>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Telecommunications</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Beverage, Food and Tobacco</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2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Utilities: Water</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240" w:type="dxa"/>
            <w:vAlign w:val="bottom"/>
            <w:gridSpan w:val="2"/>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3"/>
                <w:szCs w:val="13"/>
                <w:color w:val="auto"/>
              </w:rPr>
            </w:pPr>
          </w:p>
        </w:tc>
        <w:tc>
          <w:tcPr>
            <w:tcW w:w="1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40" w:type="dxa"/>
            <w:vAlign w:val="bottom"/>
            <w:gridSpan w:val="2"/>
            <w:vMerge w:val="restart"/>
          </w:tcPr>
          <w:p>
            <w:pPr>
              <w:jc w:val="right"/>
              <w:ind w:right="428"/>
              <w:spacing w:after="0"/>
              <w:rPr>
                <w:sz w:val="20"/>
                <w:szCs w:val="20"/>
                <w:color w:val="auto"/>
              </w:rPr>
            </w:pPr>
            <w:r>
              <w:rPr>
                <w:rFonts w:ascii="Arial" w:cs="Arial" w:eastAsia="Arial" w:hAnsi="Arial"/>
                <w:sz w:val="14"/>
                <w:szCs w:val="14"/>
                <w:color w:val="auto"/>
              </w:rPr>
              <w:t>17</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1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78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6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6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20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2016 and 2015, our ability to observe valuation inputs resulted in no reclassifications and one reclassification of an asset from Level 2 to 1, respectively.</w:t>
      </w:r>
    </w:p>
    <w:p>
      <w:pPr>
        <w:spacing w:after="0" w:line="7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Fair Value at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w:t>
            </w:r>
          </w:p>
        </w:tc>
        <w:tc>
          <w:tcPr>
            <w:tcW w:w="2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December 31, 2016</w:t>
            </w:r>
          </w:p>
        </w:tc>
        <w:tc>
          <w:tcPr>
            <w:tcW w:w="192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284,513,256</w:t>
            </w:r>
          </w:p>
        </w:tc>
        <w:tc>
          <w:tcPr>
            <w:tcW w:w="4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N/A</w:t>
            </w: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7,590,563</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Pr>
          <w:p>
            <w:pPr>
              <w:spacing w:after="0"/>
              <w:rPr>
                <w:sz w:val="12"/>
                <w:szCs w:val="12"/>
                <w:color w:val="auto"/>
              </w:rPr>
            </w:pPr>
          </w:p>
        </w:tc>
        <w:tc>
          <w:tcPr>
            <w:tcW w:w="520" w:type="dxa"/>
            <w:vAlign w:val="bottom"/>
          </w:tcPr>
          <w:p>
            <w:pPr>
              <w:ind w:left="180"/>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1,111,659</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First lien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315,539,337</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520" w:type="dxa"/>
            <w:vAlign w:val="bottom"/>
          </w:tcPr>
          <w:p>
            <w:pPr>
              <w:ind w:left="20"/>
              <w:spacing w:after="0" w:line="149" w:lineRule="exact"/>
              <w:rPr>
                <w:sz w:val="20"/>
                <w:szCs w:val="20"/>
                <w:color w:val="auto"/>
              </w:rPr>
            </w:pPr>
            <w:r>
              <w:rPr>
                <w:rFonts w:ascii="Arial" w:cs="Arial" w:eastAsia="Arial" w:hAnsi="Arial"/>
                <w:sz w:val="14"/>
                <w:szCs w:val="14"/>
                <w:color w:val="auto"/>
                <w:w w:val="93"/>
              </w:rPr>
              <w:t>– 16.4%</w:t>
            </w:r>
          </w:p>
        </w:tc>
        <w:tc>
          <w:tcPr>
            <w:tcW w:w="480" w:type="dxa"/>
            <w:vAlign w:val="bottom"/>
          </w:tcPr>
          <w:p>
            <w:pPr>
              <w:ind w:left="2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29,322,500</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 17.0%</w:t>
            </w:r>
          </w:p>
        </w:tc>
        <w:tc>
          <w:tcPr>
            <w:tcW w:w="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7,203,180</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520" w:type="dxa"/>
            <w:vAlign w:val="bottom"/>
          </w:tcPr>
          <w:p>
            <w:pPr>
              <w:ind w:left="20"/>
              <w:spacing w:after="0" w:line="149" w:lineRule="exact"/>
              <w:rPr>
                <w:sz w:val="20"/>
                <w:szCs w:val="20"/>
                <w:color w:val="auto"/>
              </w:rPr>
            </w:pPr>
            <w:r>
              <w:rPr>
                <w:rFonts w:ascii="Arial" w:cs="Arial" w:eastAsia="Arial" w:hAnsi="Arial"/>
                <w:sz w:val="14"/>
                <w:szCs w:val="14"/>
                <w:color w:val="auto"/>
                <w:w w:val="93"/>
              </w:rPr>
              <w:t>– 18.6%</w:t>
            </w: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8,430,737</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4"/>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4.5x – 11.5x (7.5x)</w:t>
            </w:r>
          </w:p>
        </w:tc>
        <w:tc>
          <w:tcPr>
            <w:tcW w:w="0" w:type="dxa"/>
            <w:vAlign w:val="bottom"/>
          </w:tcPr>
          <w:p>
            <w:pPr>
              <w:spacing w:after="0"/>
              <w:rPr>
                <w:sz w:val="1"/>
                <w:szCs w:val="1"/>
                <w:color w:val="auto"/>
              </w:rPr>
            </w:pPr>
          </w:p>
        </w:tc>
      </w:tr>
      <w:tr>
        <w:trPr>
          <w:trHeight w:val="155"/>
        </w:trPr>
        <w:tc>
          <w:tcPr>
            <w:tcW w:w="350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653,711,232</w:t>
            </w:r>
          </w:p>
        </w:tc>
        <w:tc>
          <w:tcPr>
            <w:tcW w:w="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480"/>
              <w:spacing w:after="0" w:line="143" w:lineRule="exact"/>
              <w:rPr>
                <w:sz w:val="20"/>
                <w:szCs w:val="20"/>
                <w:color w:val="auto"/>
              </w:rPr>
            </w:pPr>
            <w:r>
              <w:rPr>
                <w:rFonts w:ascii="Arial" w:cs="Arial" w:eastAsia="Arial" w:hAnsi="Arial"/>
                <w:sz w:val="14"/>
                <w:szCs w:val="14"/>
                <w:color w:val="auto"/>
              </w:rPr>
              <w:t>299,859,712</w:t>
            </w:r>
          </w:p>
        </w:tc>
        <w:tc>
          <w:tcPr>
            <w:tcW w:w="192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w:t>
            </w:r>
          </w:p>
        </w:tc>
        <w:tc>
          <w:tcPr>
            <w:tcW w:w="2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92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264,299,729</w:t>
            </w:r>
          </w:p>
        </w:tc>
        <w:tc>
          <w:tcPr>
            <w:tcW w:w="4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N/A</w:t>
            </w: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8,064,192</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tcPr>
          <w:p>
            <w:pPr>
              <w:spacing w:after="0"/>
              <w:rPr>
                <w:sz w:val="12"/>
                <w:szCs w:val="12"/>
                <w:color w:val="auto"/>
              </w:rPr>
            </w:pPr>
          </w:p>
        </w:tc>
        <w:tc>
          <w:tcPr>
            <w:tcW w:w="520" w:type="dxa"/>
            <w:vAlign w:val="bottom"/>
          </w:tcPr>
          <w:p>
            <w:pPr>
              <w:ind w:left="180"/>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1,035,937</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First lien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284,110,366</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520" w:type="dxa"/>
            <w:vAlign w:val="bottom"/>
          </w:tcPr>
          <w:p>
            <w:pPr>
              <w:ind w:left="20"/>
              <w:spacing w:after="0" w:line="149" w:lineRule="exact"/>
              <w:rPr>
                <w:sz w:val="20"/>
                <w:szCs w:val="20"/>
                <w:color w:val="auto"/>
              </w:rPr>
            </w:pPr>
            <w:r>
              <w:rPr>
                <w:rFonts w:ascii="Arial" w:cs="Arial" w:eastAsia="Arial" w:hAnsi="Arial"/>
                <w:sz w:val="14"/>
                <w:szCs w:val="14"/>
                <w:color w:val="auto"/>
                <w:w w:val="93"/>
              </w:rPr>
              <w:t>– 13.9%</w:t>
            </w:r>
          </w:p>
        </w:tc>
        <w:tc>
          <w:tcPr>
            <w:tcW w:w="480" w:type="dxa"/>
            <w:vAlign w:val="bottom"/>
          </w:tcPr>
          <w:p>
            <w:pPr>
              <w:ind w:left="20"/>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28,532,500</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 15.9%</w:t>
            </w:r>
          </w:p>
        </w:tc>
        <w:tc>
          <w:tcPr>
            <w:tcW w:w="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2,124,435</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520" w:type="dxa"/>
            <w:vAlign w:val="bottom"/>
          </w:tcPr>
          <w:p>
            <w:pPr>
              <w:ind w:left="20"/>
              <w:spacing w:after="0" w:line="149" w:lineRule="exact"/>
              <w:rPr>
                <w:sz w:val="20"/>
                <w:szCs w:val="20"/>
                <w:color w:val="auto"/>
              </w:rPr>
            </w:pPr>
            <w:r>
              <w:rPr>
                <w:rFonts w:ascii="Arial" w:cs="Arial" w:eastAsia="Arial" w:hAnsi="Arial"/>
                <w:sz w:val="14"/>
                <w:szCs w:val="14"/>
                <w:color w:val="auto"/>
                <w:w w:val="93"/>
              </w:rPr>
              <w:t>– 16.5%</w:t>
            </w: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7,655,677</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4"/>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6"/>
              </w:rPr>
              <w:t>4.3x – 9.0x (7.2x)</w:t>
            </w:r>
          </w:p>
        </w:tc>
        <w:tc>
          <w:tcPr>
            <w:tcW w:w="0" w:type="dxa"/>
            <w:vAlign w:val="bottom"/>
          </w:tcPr>
          <w:p>
            <w:pPr>
              <w:spacing w:after="0"/>
              <w:rPr>
                <w:sz w:val="1"/>
                <w:szCs w:val="1"/>
                <w:color w:val="auto"/>
              </w:rPr>
            </w:pPr>
          </w:p>
        </w:tc>
      </w:tr>
      <w:tr>
        <w:trPr>
          <w:trHeight w:val="156"/>
        </w:trPr>
        <w:tc>
          <w:tcPr>
            <w:tcW w:w="350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595,822,836</w:t>
            </w:r>
          </w:p>
        </w:tc>
        <w:tc>
          <w:tcPr>
            <w:tcW w:w="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40" w:type="dxa"/>
            <w:vAlign w:val="bottom"/>
            <w:gridSpan w:val="2"/>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480"/>
              <w:spacing w:after="0" w:line="143" w:lineRule="exact"/>
              <w:rPr>
                <w:sz w:val="20"/>
                <w:szCs w:val="20"/>
                <w:color w:val="auto"/>
              </w:rPr>
            </w:pPr>
            <w:r>
              <w:rPr>
                <w:rFonts w:ascii="Arial" w:cs="Arial" w:eastAsia="Arial" w:hAnsi="Arial"/>
                <w:sz w:val="14"/>
                <w:szCs w:val="14"/>
                <w:color w:val="auto"/>
              </w:rPr>
              <w:t>232,389,498</w:t>
            </w:r>
          </w:p>
        </w:tc>
        <w:tc>
          <w:tcPr>
            <w:tcW w:w="192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7"/>
              </w:rPr>
              <w:t>Market Yield</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and Credit Facility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w w:val="98"/>
              </w:rPr>
              <w:t>Fair Value Measurements at December 31, 2016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0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600,052,593</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600,052,593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36,913,063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36,913,063</w:t>
            </w:r>
          </w:p>
        </w:tc>
        <w:tc>
          <w:tcPr>
            <w:tcW w:w="0" w:type="dxa"/>
            <w:vAlign w:val="bottom"/>
          </w:tcPr>
          <w:p>
            <w:pPr>
              <w:spacing w:after="0"/>
              <w:rPr>
                <w:sz w:val="1"/>
                <w:szCs w:val="1"/>
                <w:color w:val="auto"/>
              </w:rPr>
            </w:pPr>
          </w:p>
        </w:tc>
      </w:tr>
      <w:tr>
        <w:trPr>
          <w:trHeight w:val="149"/>
        </w:trPr>
        <w:tc>
          <w:tcPr>
            <w:tcW w:w="5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8,314,839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8,314,839</w:t>
            </w:r>
          </w:p>
        </w:tc>
        <w:tc>
          <w:tcPr>
            <w:tcW w:w="0" w:type="dxa"/>
            <w:vAlign w:val="bottom"/>
          </w:tcPr>
          <w:p>
            <w:pPr>
              <w:spacing w:after="0"/>
              <w:rPr>
                <w:sz w:val="1"/>
                <w:szCs w:val="1"/>
                <w:color w:val="auto"/>
              </w:rPr>
            </w:pPr>
          </w:p>
        </w:tc>
      </w:tr>
      <w:tr>
        <w:trPr>
          <w:trHeight w:val="148"/>
        </w:trPr>
        <w:tc>
          <w:tcPr>
            <w:tcW w:w="532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11,588,392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55,182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3,102,473</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8,430,737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3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656,868,887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55,182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3,102,473</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653,711,232</w:t>
            </w:r>
          </w:p>
        </w:tc>
        <w:tc>
          <w:tcPr>
            <w:tcW w:w="0" w:type="dxa"/>
            <w:vAlign w:val="bottom"/>
          </w:tcPr>
          <w:p>
            <w:pPr>
              <w:spacing w:after="0"/>
              <w:rPr>
                <w:sz w:val="1"/>
                <w:szCs w:val="1"/>
                <w:color w:val="auto"/>
              </w:rPr>
            </w:pPr>
          </w:p>
        </w:tc>
      </w:tr>
      <w:tr>
        <w:trPr>
          <w:trHeight w:val="163"/>
        </w:trPr>
        <w:tc>
          <w:tcPr>
            <w:tcW w:w="53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24,203,565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24,203,565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681,072,452</w:t>
            </w:r>
          </w:p>
        </w:tc>
        <w:tc>
          <w:tcPr>
            <w:tcW w:w="4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24,258,747</w:t>
            </w:r>
          </w:p>
        </w:tc>
        <w:tc>
          <w:tcPr>
            <w:tcW w:w="3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3,102,473</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653,711,232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299,859,712</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299,859,712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Fair Value Measurements at September 30, 2016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0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36,596,692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36,596,692</w:t>
            </w: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3,160,372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3,160,372</w:t>
            </w:r>
          </w:p>
        </w:tc>
        <w:tc>
          <w:tcPr>
            <w:tcW w:w="0" w:type="dxa"/>
            <w:vAlign w:val="bottom"/>
          </w:tcPr>
          <w:p>
            <w:pPr>
              <w:spacing w:after="0"/>
              <w:rPr>
                <w:sz w:val="1"/>
                <w:szCs w:val="1"/>
                <w:color w:val="auto"/>
              </w:rPr>
            </w:pPr>
          </w:p>
        </w:tc>
      </w:tr>
      <w:tr>
        <w:trPr>
          <w:trHeight w:val="148"/>
        </w:trPr>
        <w:tc>
          <w:tcPr>
            <w:tcW w:w="514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10,720,366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106,922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2,957,767</w:t>
            </w:r>
          </w:p>
        </w:tc>
        <w:tc>
          <w:tcPr>
            <w:tcW w:w="2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7,655,677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598,887,525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106,922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2,957,767</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595,822,836</w:t>
            </w:r>
          </w:p>
        </w:tc>
        <w:tc>
          <w:tcPr>
            <w:tcW w:w="0" w:type="dxa"/>
            <w:vAlign w:val="bottom"/>
          </w:tcPr>
          <w:p>
            <w:pPr>
              <w:spacing w:after="0"/>
              <w:rPr>
                <w:sz w:val="1"/>
                <w:szCs w:val="1"/>
                <w:color w:val="auto"/>
              </w:rPr>
            </w:pPr>
          </w:p>
        </w:tc>
      </w:tr>
      <w:tr>
        <w:trPr>
          <w:trHeight w:val="162"/>
        </w:trPr>
        <w:tc>
          <w:tcPr>
            <w:tcW w:w="5140" w:type="dxa"/>
            <w:vAlign w:val="bottom"/>
          </w:tcPr>
          <w:p>
            <w:pPr>
              <w:spacing w:after="0" w:line="155"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627,798,498</w:t>
            </w:r>
          </w:p>
        </w:tc>
        <w:tc>
          <w:tcPr>
            <w:tcW w:w="4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29,017,895</w:t>
            </w:r>
          </w:p>
        </w:tc>
        <w:tc>
          <w:tcPr>
            <w:tcW w:w="3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2,957,757</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595,822,836</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0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8"/>
          </w:tcPr>
          <w:p>
            <w:pPr>
              <w:jc w:val="center"/>
              <w:ind w:left="768"/>
              <w:spacing w:after="0"/>
              <w:rPr>
                <w:sz w:val="20"/>
                <w:szCs w:val="20"/>
                <w:color w:val="auto"/>
              </w:rPr>
            </w:pPr>
            <w:r>
              <w:rPr>
                <w:rFonts w:ascii="Arial" w:cs="Arial" w:eastAsia="Arial" w:hAnsi="Arial"/>
                <w:sz w:val="14"/>
                <w:szCs w:val="14"/>
                <w:b w:val="1"/>
                <w:bCs w:val="1"/>
                <w:color w:val="auto"/>
                <w:w w:val="93"/>
              </w:rPr>
              <w:t>Three Months Ended December 31, 2016</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4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and equity investments</w:t>
            </w:r>
          </w:p>
        </w:tc>
        <w:tc>
          <w:tcPr>
            <w:tcW w:w="4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280,208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263,993</w:t>
            </w:r>
          </w:p>
        </w:tc>
        <w:tc>
          <w:tcPr>
            <w:tcW w:w="4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544,201</w:t>
            </w:r>
          </w:p>
        </w:tc>
        <w:tc>
          <w:tcPr>
            <w:tcW w:w="0" w:type="dxa"/>
            <w:vAlign w:val="bottom"/>
          </w:tcPr>
          <w:p>
            <w:pPr>
              <w:spacing w:after="0"/>
              <w:rPr>
                <w:sz w:val="1"/>
                <w:szCs w:val="1"/>
                <w:color w:val="auto"/>
              </w:rPr>
            </w:pPr>
          </w:p>
        </w:tc>
      </w:tr>
      <w:tr>
        <w:trPr>
          <w:trHeight w:val="149"/>
        </w:trPr>
        <w:tc>
          <w:tcPr>
            <w:tcW w:w="6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w:t>
            </w:r>
          </w:p>
        </w:tc>
        <w:tc>
          <w:tcPr>
            <w:tcW w:w="2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2,051,612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406,754</w:t>
            </w: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2,458,366</w:t>
            </w:r>
          </w:p>
        </w:tc>
        <w:tc>
          <w:tcPr>
            <w:tcW w:w="0" w:type="dxa"/>
            <w:vAlign w:val="bottom"/>
          </w:tcPr>
          <w:p>
            <w:pPr>
              <w:spacing w:after="0"/>
              <w:rPr>
                <w:sz w:val="1"/>
                <w:szCs w:val="1"/>
                <w:color w:val="auto"/>
              </w:rPr>
            </w:pPr>
          </w:p>
        </w:tc>
      </w:tr>
      <w:tr>
        <w:trPr>
          <w:trHeight w:val="148"/>
        </w:trPr>
        <w:tc>
          <w:tcPr>
            <w:tcW w:w="6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109,256,025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16,035,021</w:t>
            </w:r>
          </w:p>
        </w:tc>
        <w:tc>
          <w:tcPr>
            <w:tcW w:w="4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125,291,046</w:t>
            </w:r>
          </w:p>
        </w:tc>
        <w:tc>
          <w:tcPr>
            <w:tcW w:w="0" w:type="dxa"/>
            <w:vAlign w:val="bottom"/>
          </w:tcPr>
          <w:p>
            <w:pPr>
              <w:spacing w:after="0"/>
              <w:rPr>
                <w:sz w:val="1"/>
                <w:szCs w:val="1"/>
                <w:color w:val="auto"/>
              </w:rPr>
            </w:pPr>
          </w:p>
        </w:tc>
      </w:tr>
      <w:tr>
        <w:trPr>
          <w:trHeight w:val="148"/>
        </w:trPr>
        <w:tc>
          <w:tcPr>
            <w:tcW w:w="6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(59,945,347)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(10,459,870)</w:t>
            </w: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(70,405,217)</w:t>
            </w:r>
          </w:p>
        </w:tc>
        <w:tc>
          <w:tcPr>
            <w:tcW w:w="0" w:type="dxa"/>
            <w:vAlign w:val="bottom"/>
          </w:tcPr>
          <w:p>
            <w:pPr>
              <w:spacing w:after="0"/>
              <w:rPr>
                <w:sz w:val="1"/>
                <w:szCs w:val="1"/>
                <w:color w:val="auto"/>
              </w:rPr>
            </w:pPr>
          </w:p>
        </w:tc>
      </w:tr>
      <w:tr>
        <w:trPr>
          <w:trHeight w:val="148"/>
        </w:trPr>
        <w:tc>
          <w:tcPr>
            <w:tcW w:w="6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60" w:type="dxa"/>
            <w:vAlign w:val="bottom"/>
          </w:tcPr>
          <w:p>
            <w:pPr>
              <w:spacing w:after="0"/>
              <w:rPr>
                <w:sz w:val="12"/>
                <w:szCs w:val="12"/>
                <w:color w:val="auto"/>
              </w:rPr>
            </w:pP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600,052,593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53,658,639</w:t>
            </w:r>
          </w:p>
        </w:tc>
        <w:tc>
          <w:tcPr>
            <w:tcW w:w="4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653,711,232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4"/>
                <w:szCs w:val="14"/>
                <w:color w:val="auto"/>
                <w:w w:val="99"/>
              </w:rPr>
              <w:t>Net change in unrealized appreciation reported within the net change in unrealized appreciation 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9"/>
              </w:rPr>
              <w:t>investments in our Consolidated Statements of Operations attributable to our Level 3 assets still</w:t>
            </w: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80" w:type="dxa"/>
            <w:vAlign w:val="bottom"/>
            <w:gridSpan w:val="2"/>
          </w:tcPr>
          <w:p>
            <w:pPr>
              <w:ind w:left="160"/>
              <w:spacing w:after="0"/>
              <w:rPr>
                <w:sz w:val="20"/>
                <w:szCs w:val="20"/>
                <w:color w:val="auto"/>
              </w:rPr>
            </w:pPr>
            <w:r>
              <w:rPr>
                <w:rFonts w:ascii="Arial" w:cs="Arial" w:eastAsia="Arial" w:hAnsi="Arial"/>
                <w:sz w:val="14"/>
                <w:szCs w:val="14"/>
                <w:color w:val="auto"/>
              </w:rPr>
              <w:t>held at the reporting date.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1,927,211</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653,710</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2,580,921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left="768"/>
              <w:spacing w:after="0"/>
              <w:rPr>
                <w:sz w:val="20"/>
                <w:szCs w:val="20"/>
                <w:color w:val="auto"/>
              </w:rPr>
            </w:pPr>
            <w:r>
              <w:rPr>
                <w:rFonts w:ascii="Arial" w:cs="Arial" w:eastAsia="Arial" w:hAnsi="Arial"/>
                <w:sz w:val="14"/>
                <w:szCs w:val="14"/>
                <w:b w:val="1"/>
                <w:bCs w:val="1"/>
                <w:color w:val="auto"/>
                <w:w w:val="93"/>
              </w:rPr>
              <w:t>Three Months Ended December 31, 2015</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4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and equity investments</w:t>
            </w:r>
          </w:p>
        </w:tc>
        <w:tc>
          <w:tcPr>
            <w:tcW w:w="4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56,163,940</w:t>
            </w: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391,121,281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 (losses)</w:t>
            </w: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(3,285,308)</w:t>
            </w:r>
          </w:p>
        </w:tc>
        <w:tc>
          <w:tcPr>
            <w:tcW w:w="42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(3,232,008)</w:t>
            </w:r>
          </w:p>
        </w:tc>
        <w:tc>
          <w:tcPr>
            <w:tcW w:w="0" w:type="dxa"/>
            <w:vAlign w:val="bottom"/>
          </w:tcPr>
          <w:p>
            <w:pPr>
              <w:spacing w:after="0"/>
              <w:rPr>
                <w:sz w:val="1"/>
                <w:szCs w:val="1"/>
                <w:color w:val="auto"/>
              </w:rPr>
            </w:pPr>
          </w:p>
        </w:tc>
      </w:tr>
      <w:tr>
        <w:trPr>
          <w:trHeight w:val="148"/>
        </w:trPr>
        <w:tc>
          <w:tcPr>
            <w:tcW w:w="6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 appreciation</w:t>
            </w:r>
          </w:p>
        </w:tc>
        <w:tc>
          <w:tcPr>
            <w:tcW w:w="2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(2,864,750)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2,266,779</w:t>
            </w: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(597,971)</w:t>
            </w:r>
          </w:p>
        </w:tc>
        <w:tc>
          <w:tcPr>
            <w:tcW w:w="0" w:type="dxa"/>
            <w:vAlign w:val="bottom"/>
          </w:tcPr>
          <w:p>
            <w:pPr>
              <w:spacing w:after="0"/>
              <w:rPr>
                <w:sz w:val="1"/>
                <w:szCs w:val="1"/>
                <w:color w:val="auto"/>
              </w:rPr>
            </w:pPr>
          </w:p>
        </w:tc>
      </w:tr>
      <w:tr>
        <w:trPr>
          <w:trHeight w:val="148"/>
        </w:trPr>
        <w:tc>
          <w:tcPr>
            <w:tcW w:w="6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6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97,970,469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1,584,985</w:t>
            </w:r>
          </w:p>
        </w:tc>
        <w:tc>
          <w:tcPr>
            <w:tcW w:w="4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99,555,454</w:t>
            </w:r>
          </w:p>
        </w:tc>
        <w:tc>
          <w:tcPr>
            <w:tcW w:w="0" w:type="dxa"/>
            <w:vAlign w:val="bottom"/>
          </w:tcPr>
          <w:p>
            <w:pPr>
              <w:spacing w:after="0"/>
              <w:rPr>
                <w:sz w:val="1"/>
                <w:szCs w:val="1"/>
                <w:color w:val="auto"/>
              </w:rPr>
            </w:pPr>
          </w:p>
        </w:tc>
      </w:tr>
      <w:tr>
        <w:trPr>
          <w:trHeight w:val="148"/>
        </w:trPr>
        <w:tc>
          <w:tcPr>
            <w:tcW w:w="6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(26,887,251)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26,442</w:t>
            </w: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(26,860,809)</w:t>
            </w:r>
          </w:p>
        </w:tc>
        <w:tc>
          <w:tcPr>
            <w:tcW w:w="0" w:type="dxa"/>
            <w:vAlign w:val="bottom"/>
          </w:tcPr>
          <w:p>
            <w:pPr>
              <w:spacing w:after="0"/>
              <w:rPr>
                <w:sz w:val="1"/>
                <w:szCs w:val="1"/>
                <w:color w:val="auto"/>
              </w:rPr>
            </w:pPr>
          </w:p>
        </w:tc>
      </w:tr>
      <w:tr>
        <w:trPr>
          <w:trHeight w:val="148"/>
        </w:trPr>
        <w:tc>
          <w:tcPr>
            <w:tcW w:w="6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60" w:type="dxa"/>
            <w:vAlign w:val="bottom"/>
          </w:tcPr>
          <w:p>
            <w:pPr>
              <w:spacing w:after="0"/>
              <w:rPr>
                <w:sz w:val="12"/>
                <w:szCs w:val="12"/>
                <w:color w:val="auto"/>
              </w:rPr>
            </w:pP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403,229,109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56,756,838</w:t>
            </w:r>
          </w:p>
        </w:tc>
        <w:tc>
          <w:tcPr>
            <w:tcW w:w="4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459,985,947</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4"/>
                <w:szCs w:val="14"/>
                <w:color w:val="auto"/>
                <w:w w:val="99"/>
              </w:rPr>
              <w:t>Net change in unrealized depreciation reported within the net change in unrealized depreciation 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9"/>
              </w:rPr>
              <w:t>investments in our Consolidated Statements of Operations attributable to our Level 3 assets still</w:t>
            </w: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80" w:type="dxa"/>
            <w:vAlign w:val="bottom"/>
            <w:gridSpan w:val="2"/>
          </w:tcPr>
          <w:p>
            <w:pPr>
              <w:ind w:left="160"/>
              <w:spacing w:after="0"/>
              <w:rPr>
                <w:sz w:val="20"/>
                <w:szCs w:val="20"/>
                <w:color w:val="auto"/>
              </w:rPr>
            </w:pPr>
            <w:r>
              <w:rPr>
                <w:rFonts w:ascii="Arial" w:cs="Arial" w:eastAsia="Arial" w:hAnsi="Arial"/>
                <w:sz w:val="14"/>
                <w:szCs w:val="14"/>
                <w:color w:val="auto"/>
              </w:rPr>
              <w:t>held at the reporting date.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3"/>
          </w:tcPr>
          <w:p>
            <w:pPr>
              <w:jc w:val="right"/>
              <w:ind w:right="100"/>
              <w:spacing w:after="0"/>
              <w:rPr>
                <w:sz w:val="20"/>
                <w:szCs w:val="20"/>
                <w:color w:val="auto"/>
              </w:rPr>
            </w:pPr>
            <w:r>
              <w:rPr>
                <w:rFonts w:ascii="Arial" w:cs="Arial" w:eastAsia="Arial" w:hAnsi="Arial"/>
                <w:sz w:val="14"/>
                <w:szCs w:val="14"/>
                <w:color w:val="auto"/>
              </w:rPr>
              <w:t>(2,963,079)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4"/>
                <w:szCs w:val="14"/>
                <w:color w:val="auto"/>
              </w:rPr>
              <w:t>(758,129)</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(3,721,208)</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560"/>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Long-Term Credit Facility </w:t>
            </w:r>
            <w:r>
              <w:rPr>
                <w:rFonts w:ascii="Arial" w:cs="Arial" w:eastAsia="Arial" w:hAnsi="Arial"/>
                <w:sz w:val="12"/>
                <w:szCs w:val="12"/>
                <w:b w:val="1"/>
                <w:bCs w:val="1"/>
                <w:color w:val="auto"/>
              </w:rPr>
              <w:t>(1)</w:t>
            </w: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auto"/>
            </w:tcBorders>
            <w:vMerge w:val="continue"/>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$232,907,500 and $29,600,000, respectively)</w:t>
            </w:r>
          </w:p>
        </w:tc>
        <w:tc>
          <w:tcPr>
            <w:tcW w:w="424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232,389,498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300"/>
              <w:spacing w:after="0" w:line="149" w:lineRule="exact"/>
              <w:rPr>
                <w:sz w:val="20"/>
                <w:szCs w:val="20"/>
                <w:color w:val="auto"/>
              </w:rPr>
            </w:pPr>
            <w:r>
              <w:rPr>
                <w:rFonts w:ascii="Arial" w:cs="Arial" w:eastAsia="Arial" w:hAnsi="Arial"/>
                <w:sz w:val="14"/>
                <w:szCs w:val="14"/>
                <w:color w:val="auto"/>
                <w:w w:val="96"/>
              </w:rPr>
              <w:t>Net change in unrealized appreciation (depreciation) included in earnings</w:t>
            </w: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1,068,214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(601,875)</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4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91,902,000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69,300,000</w:t>
            </w:r>
          </w:p>
        </w:tc>
        <w:tc>
          <w:tcPr>
            <w:tcW w:w="0" w:type="dxa"/>
            <w:vAlign w:val="bottom"/>
          </w:tcPr>
          <w:p>
            <w:pPr>
              <w:spacing w:after="0"/>
              <w:rPr>
                <w:sz w:val="1"/>
                <w:szCs w:val="1"/>
                <w:color w:val="auto"/>
              </w:rPr>
            </w:pPr>
          </w:p>
        </w:tc>
      </w:tr>
      <w:tr>
        <w:trPr>
          <w:trHeight w:val="148"/>
        </w:trPr>
        <w:tc>
          <w:tcPr>
            <w:tcW w:w="4680" w:type="dxa"/>
            <w:vAlign w:val="bottom"/>
          </w:tcPr>
          <w:p>
            <w:pPr>
              <w:ind w:left="300"/>
              <w:spacing w:after="0" w:line="149" w:lineRule="exact"/>
              <w:rPr>
                <w:sz w:val="20"/>
                <w:szCs w:val="20"/>
                <w:color w:val="auto"/>
              </w:rPr>
            </w:pPr>
            <w:r>
              <w:rPr>
                <w:rFonts w:ascii="Arial" w:cs="Arial" w:eastAsia="Arial" w:hAnsi="Arial"/>
                <w:sz w:val="14"/>
                <w:szCs w:val="14"/>
                <w:color w:val="auto"/>
              </w:rPr>
              <w:t>Repayments</w:t>
            </w: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(25,500,000)</w:t>
            </w:r>
          </w:p>
        </w:tc>
        <w:tc>
          <w:tcPr>
            <w:tcW w:w="2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(2,600,000)</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680" w:type="dxa"/>
            <w:vAlign w:val="bottom"/>
          </w:tcPr>
          <w:p>
            <w:pPr>
              <w:spacing w:after="0" w:line="155" w:lineRule="exact"/>
              <w:rPr>
                <w:sz w:val="20"/>
                <w:szCs w:val="20"/>
                <w:color w:val="auto"/>
              </w:rPr>
            </w:pPr>
            <w:r>
              <w:rPr>
                <w:rFonts w:ascii="Arial" w:cs="Arial" w:eastAsia="Arial" w:hAnsi="Arial"/>
                <w:sz w:val="14"/>
                <w:szCs w:val="14"/>
                <w:color w:val="auto"/>
              </w:rPr>
              <w:t>Ending Balance (cost – $299,309,500 and $96,300,000, respectively)</w:t>
            </w:r>
          </w:p>
        </w:tc>
        <w:tc>
          <w:tcPr>
            <w:tcW w:w="4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299,859,712</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95,698,125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1851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8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carrying value of our consolidated financial liabilities approximates fair value.</w:t>
      </w:r>
    </w:p>
    <w:p>
      <w:pPr>
        <w:spacing w:after="0" w:line="204"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As of December 31, 2016, we had outstanding non-U.S. dollar borrowings on our Credit Facility. Net change in fair value from foreign currency translation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760" w:type="dxa"/>
            <w:vAlign w:val="bottom"/>
          </w:tcPr>
          <w:p>
            <w:pPr>
              <w:spacing w:after="0"/>
              <w:rPr>
                <w:sz w:val="14"/>
                <w:szCs w:val="14"/>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 Borrowed</w:t>
            </w:r>
          </w:p>
        </w:tc>
        <w:tc>
          <w:tcPr>
            <w:tcW w:w="420" w:type="dxa"/>
            <w:vAlign w:val="bottom"/>
          </w:tcPr>
          <w:p>
            <w:pPr>
              <w:spacing w:after="0"/>
              <w:rPr>
                <w:sz w:val="14"/>
                <w:szCs w:val="14"/>
                <w:color w:val="auto"/>
              </w:rPr>
            </w:pPr>
          </w:p>
        </w:tc>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174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w w:val="93"/>
              </w:rPr>
              <w:t>Current Value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Reset Date</w:t>
            </w:r>
          </w:p>
        </w:tc>
        <w:tc>
          <w:tcPr>
            <w:tcW w:w="82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6"/>
        </w:trPr>
        <w:tc>
          <w:tcPr>
            <w:tcW w:w="11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Canadian Dollar</w:t>
            </w:r>
          </w:p>
        </w:tc>
        <w:tc>
          <w:tcPr>
            <w:tcW w:w="17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C$</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17,500,000</w:t>
            </w:r>
          </w:p>
        </w:tc>
        <w:tc>
          <w:tcPr>
            <w:tcW w:w="4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w w:val="88"/>
              </w:rPr>
              <w:t>12,407,501</w:t>
            </w:r>
          </w:p>
        </w:tc>
        <w:tc>
          <w:tcPr>
            <w:tcW w:w="8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13,049,470</w:t>
            </w:r>
          </w:p>
        </w:tc>
        <w:tc>
          <w:tcPr>
            <w:tcW w:w="8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40"/>
              <w:spacing w:after="0" w:line="135" w:lineRule="exact"/>
              <w:rPr>
                <w:sz w:val="20"/>
                <w:szCs w:val="20"/>
                <w:color w:val="auto"/>
              </w:rPr>
            </w:pPr>
            <w:r>
              <w:rPr>
                <w:rFonts w:ascii="Arial" w:cs="Arial" w:eastAsia="Arial" w:hAnsi="Arial"/>
                <w:sz w:val="14"/>
                <w:szCs w:val="14"/>
                <w:color w:val="auto"/>
                <w:w w:val="89"/>
              </w:rPr>
              <w:t>January 3, 2017</w:t>
            </w:r>
          </w:p>
        </w:tc>
        <w:tc>
          <w:tcPr>
            <w:tcW w:w="8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8"/>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641,969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2100" w:type="dxa"/>
            <w:vAlign w:val="bottom"/>
            <w:gridSpan w:val="2"/>
          </w:tcPr>
          <w:p>
            <w:pPr>
              <w:ind w:left="17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18,000,000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18,702,000</w:t>
            </w:r>
          </w:p>
        </w:tc>
        <w:tc>
          <w:tcPr>
            <w:tcW w:w="160" w:type="dxa"/>
            <w:vAlign w:val="bottom"/>
          </w:tcPr>
          <w:p>
            <w:pPr>
              <w:spacing w:after="0"/>
              <w:rPr>
                <w:sz w:val="12"/>
                <w:szCs w:val="12"/>
                <w:color w:val="auto"/>
              </w:rPr>
            </w:pPr>
          </w:p>
        </w:tc>
        <w:tc>
          <w:tcPr>
            <w:tcW w:w="158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18,985,536</w:t>
            </w: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w w:val="89"/>
              </w:rPr>
              <w:t>January 3, 2017</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283,536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31,109,501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32,035,006</w:t>
            </w:r>
          </w:p>
        </w:tc>
        <w:tc>
          <w:tcPr>
            <w:tcW w:w="9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925,505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760" w:type="dxa"/>
            <w:vAlign w:val="bottom"/>
          </w:tcPr>
          <w:p>
            <w:pPr>
              <w:spacing w:after="0"/>
              <w:rPr>
                <w:sz w:val="14"/>
                <w:szCs w:val="14"/>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 Borrowed</w:t>
            </w:r>
          </w:p>
        </w:tc>
        <w:tc>
          <w:tcPr>
            <w:tcW w:w="420" w:type="dxa"/>
            <w:vAlign w:val="bottom"/>
          </w:tcPr>
          <w:p>
            <w:pPr>
              <w:spacing w:after="0"/>
              <w:rPr>
                <w:sz w:val="14"/>
                <w:szCs w:val="14"/>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420" w:type="dxa"/>
            <w:vAlign w:val="bottom"/>
          </w:tcPr>
          <w:p>
            <w:pPr>
              <w:spacing w:after="0"/>
              <w:rPr>
                <w:sz w:val="14"/>
                <w:szCs w:val="14"/>
                <w:color w:val="auto"/>
              </w:rPr>
            </w:pPr>
          </w:p>
        </w:tc>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7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11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Canadian Dollar</w:t>
            </w:r>
          </w:p>
        </w:tc>
        <w:tc>
          <w:tcPr>
            <w:tcW w:w="17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C$</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17,500,000</w:t>
            </w:r>
          </w:p>
        </w:tc>
        <w:tc>
          <w:tcPr>
            <w:tcW w:w="4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12,407,501</w:t>
            </w:r>
          </w:p>
        </w:tc>
        <w:tc>
          <w:tcPr>
            <w:tcW w:w="4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96"/>
              </w:rPr>
              <w:t>$   13,338,920</w:t>
            </w:r>
          </w:p>
        </w:tc>
        <w:tc>
          <w:tcPr>
            <w:tcW w:w="8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October 3, 2016</w:t>
            </w:r>
          </w:p>
        </w:tc>
        <w:tc>
          <w:tcPr>
            <w:tcW w:w="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931,419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0" w:firstLine="562"/>
        <w:spacing w:after="0" w:line="260"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months ended December 31, 2016 and 2015.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2016 and 2015, our Credit Facility had a net change in unrealized (appreciation) depreciation of $(1.1) million and</w:t>
      </w:r>
    </w:p>
    <w:p>
      <w:pPr>
        <w:spacing w:after="0" w:line="4" w:lineRule="exact"/>
        <w:rPr>
          <w:sz w:val="20"/>
          <w:szCs w:val="20"/>
          <w:color w:val="auto"/>
        </w:rPr>
      </w:pPr>
    </w:p>
    <w:p>
      <w:pPr>
        <w:ind w:right="360"/>
        <w:spacing w:after="0" w:line="232" w:lineRule="auto"/>
        <w:rPr>
          <w:sz w:val="20"/>
          <w:szCs w:val="20"/>
          <w:color w:val="auto"/>
        </w:rPr>
      </w:pPr>
      <w:r>
        <w:rPr>
          <w:rFonts w:ascii="Arial" w:cs="Arial" w:eastAsia="Arial" w:hAnsi="Arial"/>
          <w:sz w:val="14"/>
          <w:szCs w:val="14"/>
          <w:color w:val="auto"/>
        </w:rPr>
        <w:t>$0.6 million, respectively. As of December 31, 2016 and September 30, 2016, the net unrealized (appreciation) depreciation on our Credit Facility totaled $(0.6)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20"/>
                <w:szCs w:val="20"/>
                <w:color w:val="auto"/>
              </w:rPr>
            </w:pPr>
            <w:r>
              <w:rPr>
                <w:rFonts w:ascii="Arial" w:cs="Arial" w:eastAsia="Arial" w:hAnsi="Arial"/>
                <w:sz w:val="14"/>
                <w:szCs w:val="14"/>
                <w:b w:val="1"/>
                <w:bCs w:val="1"/>
                <w:color w:val="auto"/>
              </w:rPr>
              <w:t>6. CHANGE IN NET ASSETS FROM OPERATIONS PER COMMON SHARE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4"/>
        </w:trPr>
        <w:tc>
          <w:tcPr>
            <w:tcW w:w="8860" w:type="dxa"/>
            <w:vAlign w:val="bottom"/>
          </w:tcPr>
          <w:p>
            <w:pPr>
              <w:ind w:left="560"/>
              <w:spacing w:after="0"/>
              <w:rPr>
                <w:sz w:val="20"/>
                <w:szCs w:val="20"/>
                <w:color w:val="auto"/>
              </w:rPr>
            </w:pPr>
            <w:r>
              <w:rPr>
                <w:rFonts w:ascii="Arial" w:cs="Arial" w:eastAsia="Arial" w:hAnsi="Arial"/>
                <w:sz w:val="14"/>
                <w:szCs w:val="14"/>
                <w:color w:val="auto"/>
                <w:w w:val="99"/>
              </w:rPr>
              <w:t>The following information sets forth the computation of basic and diluted per share net increase in net assets resulting from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6"/>
        </w:trPr>
        <w:tc>
          <w:tcPr>
            <w:tcW w:w="8860" w:type="dxa"/>
            <w:vAlign w:val="bottom"/>
          </w:tcPr>
          <w:p>
            <w:pPr>
              <w:spacing w:after="0"/>
              <w:rPr>
                <w:sz w:val="24"/>
                <w:szCs w:val="24"/>
                <w:color w:val="auto"/>
              </w:rPr>
            </w:pPr>
          </w:p>
        </w:tc>
        <w:tc>
          <w:tcPr>
            <w:tcW w:w="238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142"/>
        </w:trPr>
        <w:tc>
          <w:tcPr>
            <w:tcW w:w="8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8,848,909</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1,746,879</w:t>
            </w:r>
          </w:p>
        </w:tc>
        <w:tc>
          <w:tcPr>
            <w:tcW w:w="80" w:type="dxa"/>
            <w:vAlign w:val="bottom"/>
            <w:shd w:val="clear" w:color="auto" w:fill="CCEEFF"/>
          </w:tcPr>
          <w:p>
            <w:pPr>
              <w:spacing w:after="0"/>
              <w:rPr>
                <w:sz w:val="12"/>
                <w:szCs w:val="12"/>
                <w:color w:val="auto"/>
              </w:rPr>
            </w:pPr>
          </w:p>
        </w:tc>
      </w:tr>
      <w:tr>
        <w:trPr>
          <w:trHeight w:val="148"/>
        </w:trPr>
        <w:tc>
          <w:tcPr>
            <w:tcW w:w="886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26,730,074</w:t>
            </w:r>
          </w:p>
        </w:tc>
        <w:tc>
          <w:tcPr>
            <w:tcW w:w="2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26,730,074</w:t>
            </w:r>
          </w:p>
        </w:tc>
      </w:tr>
      <w:tr>
        <w:trPr>
          <w:trHeight w:val="148"/>
        </w:trPr>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0.33</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AND CASH EQUIVALENTS</w:t>
      </w:r>
    </w:p>
    <w:p>
      <w:pPr>
        <w:spacing w:after="0" w:line="100"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2016 and September 30, 2016, cash and cash equivalents consisted of money market funds in the amounts of $24.2 million and $28.9 million, respectively, at fair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540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46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0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14.06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0.26</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0.07</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9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5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(0.28)</w:t>
            </w:r>
          </w:p>
        </w:tc>
        <w:tc>
          <w:tcPr>
            <w:tcW w:w="2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0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14.11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46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14.11</w:t>
            </w:r>
          </w:p>
        </w:tc>
        <w:tc>
          <w:tcPr>
            <w:tcW w:w="50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46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8.90%</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26,730,074</w:t>
            </w: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26,730,074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46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4.25%</w:t>
            </w:r>
          </w:p>
        </w:tc>
        <w:tc>
          <w:tcPr>
            <w:tcW w:w="2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60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6.16%</w:t>
            </w:r>
          </w:p>
        </w:tc>
        <w:tc>
          <w:tcPr>
            <w:tcW w:w="240" w:type="dxa"/>
            <w:vAlign w:val="bottom"/>
          </w:tcPr>
          <w:p>
            <w:pPr>
              <w:spacing w:after="0"/>
              <w:rPr>
                <w:sz w:val="13"/>
                <w:szCs w:val="13"/>
                <w:color w:val="auto"/>
              </w:rPr>
            </w:pPr>
          </w:p>
        </w:tc>
        <w:tc>
          <w:tcPr>
            <w:tcW w:w="11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7.24%</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0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377,137,666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367,019,257</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p>
        </w:tc>
        <w:tc>
          <w:tcPr>
            <w:tcW w:w="10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247,183,783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63,132,609</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460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90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9.25</w:t>
            </w:r>
          </w:p>
        </w:tc>
        <w:tc>
          <w:tcPr>
            <w:tcW w:w="50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0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2,258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4,835</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color w:val="auto"/>
              </w:rPr>
              <w:t>44.82%</w:t>
            </w:r>
          </w:p>
        </w:tc>
        <w:tc>
          <w:tcPr>
            <w:tcW w:w="2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7" w:lineRule="exact"/>
        <w:rPr>
          <w:sz w:val="20"/>
          <w:szCs w:val="20"/>
          <w:color w:val="auto"/>
        </w:rPr>
      </w:pPr>
    </w:p>
    <w:p>
      <w:pPr>
        <w:ind w:right="8280" w:firstLine="8"/>
        <w:spacing w:after="0" w:line="248" w:lineRule="auto"/>
        <w:tabs>
          <w:tab w:leader="none" w:pos="324" w:val="left"/>
        </w:tabs>
        <w:numPr>
          <w:ilvl w:val="0"/>
          <w:numId w:val="9"/>
        </w:numPr>
        <w:rPr>
          <w:rFonts w:ascii="Arial" w:cs="Arial" w:eastAsia="Arial" w:hAnsi="Arial"/>
          <w:sz w:val="11"/>
          <w:szCs w:val="11"/>
          <w:color w:val="auto"/>
        </w:rPr>
      </w:pPr>
      <w:r>
        <w:rPr>
          <w:rFonts w:ascii="Arial" w:cs="Arial" w:eastAsia="Arial" w:hAnsi="Arial"/>
          <w:sz w:val="13"/>
          <w:szCs w:val="13"/>
          <w:color w:val="auto"/>
        </w:rPr>
        <w:t xml:space="preserve">Not annualized for periods less than one year. </w:t>
      </w:r>
      <w:r>
        <w:rPr>
          <w:rFonts w:ascii="Arial" w:cs="Arial" w:eastAsia="Arial" w:hAnsi="Arial"/>
          <w:sz w:val="11"/>
          <w:szCs w:val="11"/>
          <w:color w:val="auto"/>
        </w:rPr>
        <w:t xml:space="preserve">** </w:t>
      </w:r>
      <w:r>
        <w:rPr>
          <w:rFonts w:ascii="Arial" w:cs="Arial" w:eastAsia="Arial" w:hAnsi="Arial"/>
          <w:sz w:val="13"/>
          <w:szCs w:val="13"/>
          <w:color w:val="auto"/>
        </w:rPr>
        <w:t>Annualized for periods less than one year.</w:t>
      </w:r>
    </w:p>
    <w:p>
      <w:pPr>
        <w:ind w:left="340" w:hanging="332"/>
        <w:spacing w:after="0" w:line="22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380" w:hanging="332"/>
        <w:spacing w:after="0" w:line="22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line="22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40" w:hanging="332"/>
        <w:spacing w:after="0" w:line="22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340" w:hanging="332"/>
        <w:spacing w:after="0" w:line="22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40" w:right="120" w:hanging="332"/>
        <w:spacing w:after="0" w:line="271"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100"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Funding I’s multi-currency Credit Facility with affiliates of SunTrust Bank, or the Lenders, was $350.0 million as of December 31, 2016,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2016 and September 30, 2016, Funding I had $299.3 million and $232.9 million of outstanding borrowings under the Credit Facility,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 2.91% and 5.95%, respectively.</w:t>
      </w:r>
    </w:p>
    <w:p>
      <w:pPr>
        <w:spacing w:after="0" w:line="77"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2016, we were in compliance with the covenants relating to our Credit Facility.</w:t>
      </w:r>
    </w:p>
    <w:p>
      <w:pPr>
        <w:spacing w:after="0" w:line="67"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December 31, 2016 and September 30, 2016, we had $34.2 million and $20.0 million, respectively, in commitments to fund investments.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jc w:val="both"/>
        <w:ind w:right="360" w:firstLine="562"/>
        <w:spacing w:after="0" w:line="264"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Floating Rate Capital Ltd. and its Subsidiaries (collectively referred to as the “Company”), including the consolidated schedule of investments, as of December 31, 2016, and the consolidated statements of operations, changes in net assets and cash flows for the three months ended December 31, 2016 and 2015. These consolidated financial statements are the responsibility of the Company’s management.</w:t>
      </w:r>
    </w:p>
    <w:p>
      <w:pPr>
        <w:spacing w:after="0" w:line="6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Based on our review,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22, 2016, we expressed an unqualified opinion on those financial statements. In our opinion, the information set forth in the accompanying consolidated statements of assets and liabilities as of December 31, 2016, is fairly stated, in all material respects, in relation to the consolidated statements of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9, 2017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36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200" w:firstLine="562"/>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44"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6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firstLine="562"/>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debt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75"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44"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are capitalized and accreted or amortized using the effective interest method as interest income or, in the case of deferred financing costs, as interest expense.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212" w:lineRule="exact"/>
        <w:rPr>
          <w:sz w:val="20"/>
          <w:szCs w:val="20"/>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340" w:right="380" w:hanging="779"/>
        <w:spacing w:after="0" w:line="253" w:lineRule="auto"/>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taxes and foreign taxes;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340" w:hanging="779"/>
        <w:spacing w:after="0"/>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09" w:lineRule="exact"/>
        <w:rPr>
          <w:rFonts w:ascii="Arial" w:cs="Arial" w:eastAsia="Arial" w:hAnsi="Arial"/>
          <w:sz w:val="14"/>
          <w:szCs w:val="14"/>
          <w:color w:val="auto"/>
        </w:rPr>
      </w:pPr>
    </w:p>
    <w:p>
      <w:pPr>
        <w:ind w:left="1340" w:right="60" w:hanging="779"/>
        <w:spacing w:after="0" w:line="233" w:lineRule="auto"/>
        <w:tabs>
          <w:tab w:leader="none" w:pos="1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As of December 31, 2016, our portfolio totaled $656.9 million and consisted of $600.1 million of senior secured debt, $36.9 million of second lien secured debt and $19.9 million of subordinated debt, preferred and common equity. Our debt portfolio consisted of 98% variable-rate investments (including 95% with a floor) and 2% fixed-rate investments. As of December 31, 2016, we had no companies on non-accrual. Overall, the portfolio had net unrealized appreciation of $3.5 million. Our overall portfolio consisted of 98 companies with an average investment size of $6.7 million, had a weighted average yield on debt investments of 7.9%, and was invested 91% in senior secured debt, 6% in second lien secured debt and 3% in subordinated debt, preferred and common equity.</w:t>
      </w:r>
    </w:p>
    <w:p>
      <w:pPr>
        <w:spacing w:after="0" w:line="76" w:lineRule="exact"/>
        <w:rPr>
          <w:sz w:val="20"/>
          <w:szCs w:val="20"/>
          <w:color w:val="auto"/>
        </w:rPr>
      </w:pPr>
    </w:p>
    <w:p>
      <w:pPr>
        <w:ind w:right="80" w:firstLine="562"/>
        <w:spacing w:after="0" w:line="251" w:lineRule="auto"/>
        <w:rPr>
          <w:sz w:val="20"/>
          <w:szCs w:val="20"/>
          <w:color w:val="auto"/>
        </w:rPr>
      </w:pPr>
      <w:r>
        <w:rPr>
          <w:rFonts w:ascii="Arial" w:cs="Arial" w:eastAsia="Arial" w:hAnsi="Arial"/>
          <w:sz w:val="13"/>
          <w:szCs w:val="13"/>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months ended December 31, 2016, we invested $124.8 million in 12 new and 13 existing portfolio companies with a weighted average yield on debt investments of 7.6%.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2016 totaled $70.4 million.</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months ended December 31, 2015, we invested $99.2 million in ten new and five existing portfolio companies with a weighted average yield on debt investments of 8.4%.</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2015 totaled $26.9 million.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40" w:hanging="782"/>
        <w:spacing w:after="0" w:line="290"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4"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96" w:lineRule="exact"/>
        <w:rPr>
          <w:sz w:val="20"/>
          <w:szCs w:val="20"/>
          <w:color w:val="auto"/>
        </w:rPr>
      </w:pPr>
    </w:p>
    <w:p>
      <w:pPr>
        <w:jc w:val="both"/>
        <w:ind w:right="26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60"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zero and $0.9 million, respectively, relating to amendment fees on the Credit Facility during the three months ended December 31, 2016 and 2015.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2016 and 2015, our Credit Facility had a net change in unrealized (appreciation) depreciation of $(1.1) million and</w:t>
      </w:r>
    </w:p>
    <w:p>
      <w:pPr>
        <w:spacing w:after="0" w:line="4" w:lineRule="exact"/>
        <w:rPr>
          <w:sz w:val="20"/>
          <w:szCs w:val="20"/>
          <w:color w:val="auto"/>
        </w:rPr>
      </w:pPr>
    </w:p>
    <w:p>
      <w:pPr>
        <w:ind w:right="340"/>
        <w:spacing w:after="0" w:line="232" w:lineRule="auto"/>
        <w:rPr>
          <w:sz w:val="20"/>
          <w:szCs w:val="20"/>
          <w:color w:val="auto"/>
        </w:rPr>
      </w:pPr>
      <w:r>
        <w:rPr>
          <w:rFonts w:ascii="Arial" w:cs="Arial" w:eastAsia="Arial" w:hAnsi="Arial"/>
          <w:sz w:val="14"/>
          <w:szCs w:val="14"/>
          <w:color w:val="auto"/>
        </w:rPr>
        <w:t>$0.6 million, respectively. As of December 31, 2016 and September 30, 2016, the net unrealized (appreciation) depreciation on our Credit Facility totaled $(0.6)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36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net gain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71" w:lineRule="exact"/>
        <w:rPr>
          <w:sz w:val="20"/>
          <w:szCs w:val="20"/>
          <w:color w:val="auto"/>
        </w:rPr>
      </w:pPr>
    </w:p>
    <w:p>
      <w:pPr>
        <w:jc w:val="both"/>
        <w:ind w:right="120" w:firstLine="562"/>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43"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months ended December 31, 2016 and 2015.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Investment income for the three months ended December 31, 2016 was $12.6 million and was attributable to $11.2 million from senior secured debt and $1.4 million from second lien secured debt and subordinated debt, respectively. Investment income for the three months ended December 31, 2015 was $8.8 million and was attributable to $7.3 million from senior secured debt and $1.5 million from second lien secured debt and subordinated debt, respectively. The increase in investment income compared to the same period in the prior year was primarily due to the growth of our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00" w:firstLine="562"/>
        <w:spacing w:after="0" w:line="244" w:lineRule="auto"/>
        <w:rPr>
          <w:sz w:val="20"/>
          <w:szCs w:val="20"/>
          <w:color w:val="auto"/>
        </w:rPr>
      </w:pPr>
      <w:r>
        <w:rPr>
          <w:rFonts w:ascii="Arial" w:cs="Arial" w:eastAsia="Arial" w:hAnsi="Arial"/>
          <w:sz w:val="13"/>
          <w:szCs w:val="13"/>
          <w:color w:val="auto"/>
        </w:rPr>
        <w:t>Expenses for the three months ended December 31, 2016 totaled $5.8 million. Base management fee for the same period totaled $1.6 million, incentive fee totaled $1.5 million (including $0.6 million on unrealized gains accrued but not payable), Credit Facility expenses totaled $1.8 million and general and administrative expenses totaled $0.9 million. Expenses for the three months ended December 31, 2015 totaled $3.7 million. Base management fee for the same period totaled $1.1 million, incentive fee totaled zero, Credit Facility expenses totaled</w:t>
      </w:r>
    </w:p>
    <w:p>
      <w:pPr>
        <w:spacing w:after="0" w:line="2" w:lineRule="exact"/>
        <w:rPr>
          <w:sz w:val="20"/>
          <w:szCs w:val="20"/>
          <w:color w:val="auto"/>
        </w:rPr>
      </w:pPr>
    </w:p>
    <w:p>
      <w:pPr>
        <w:ind w:right="360"/>
        <w:spacing w:after="0" w:line="237" w:lineRule="auto"/>
        <w:rPr>
          <w:sz w:val="20"/>
          <w:szCs w:val="20"/>
          <w:color w:val="auto"/>
        </w:rPr>
      </w:pPr>
      <w:r>
        <w:rPr>
          <w:rFonts w:ascii="Arial" w:cs="Arial" w:eastAsia="Arial" w:hAnsi="Arial"/>
          <w:sz w:val="14"/>
          <w:szCs w:val="14"/>
          <w:color w:val="auto"/>
        </w:rPr>
        <w:t>$1.8 million (including $0.9 million of Credit Facility amendment expenses) and general and administrative expenses totaled $0.8 million. The increase in expenses compared with the same period in the prior year was primarily due to increases in base management and incentive fees as a result of the growth of our portfolio.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Net investment income totaled $6.8 million, or $0.26 per share, for the three months ended December 31, 2016, and $5.1 million, or $0.19 per share, for the three months ended December 31, 2015. The increase in net investment income compared to the same period in the prior year was primarily due to the growth of our portfolio.</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2016 totaled $70.4 million and realized gains totaled $0.5 million. Sales and repayments of investments totaled $26.9 million and realized losses totaled $3.2 million for the three months ended December 31, 2015. The change in realized gains/losses was primarily due to changes in the market conditions of our investments and the values at which they were realized.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jc w:val="both"/>
        <w:ind w:right="120" w:firstLine="562"/>
        <w:spacing w:after="0" w:line="233" w:lineRule="auto"/>
        <w:rPr>
          <w:sz w:val="20"/>
          <w:szCs w:val="20"/>
          <w:color w:val="auto"/>
        </w:rPr>
      </w:pPr>
      <w:r>
        <w:rPr>
          <w:rFonts w:ascii="Arial" w:cs="Arial" w:eastAsia="Arial" w:hAnsi="Arial"/>
          <w:sz w:val="14"/>
          <w:szCs w:val="14"/>
          <w:color w:val="auto"/>
        </w:rPr>
        <w:t>For the three months ended December 31, 2016 and 2015, we reported net unrealized appreciation (depreciation) on investments of $2.5 million and $(0.7) million, respectively. As of December 31, 2016 and September 30, 2016, our net unrealized appreciation on investments totaled $3.5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months ended December 31, 2016 and 2015, we reported net unrealized (appreciation) depreciation on our Credit Facility of $(1.1) million and $0.6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change compared to the same period in the prior year was primarily due to changes in the capital markets.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jc w:val="both"/>
        <w:ind w:right="200" w:firstLine="562"/>
        <w:spacing w:after="0" w:line="264" w:lineRule="auto"/>
        <w:rPr>
          <w:sz w:val="20"/>
          <w:szCs w:val="20"/>
          <w:color w:val="auto"/>
        </w:rPr>
      </w:pPr>
      <w:r>
        <w:rPr>
          <w:rFonts w:ascii="Arial" w:cs="Arial" w:eastAsia="Arial" w:hAnsi="Arial"/>
          <w:sz w:val="13"/>
          <w:szCs w:val="13"/>
          <w:color w:val="auto"/>
        </w:rPr>
        <w:t>Net change in net assets resulting from operations totaled $8.8 million, or $0.33 per share, for the three months ended December 31, 2016. This compares to a net change in net assets resulting from operations of $1.7 million, or $0.07 per share, for the three months ended December 31, 2015. The increase in the net change in net assets from operations compared to the same period in the prior year reflects the change in portfolio investment valuation during the reporting period and the change in net realized losses during the current period.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75" w:lineRule="exact"/>
        <w:rPr>
          <w:sz w:val="20"/>
          <w:szCs w:val="20"/>
          <w:color w:val="auto"/>
        </w:rPr>
      </w:pPr>
    </w:p>
    <w:p>
      <w:pPr>
        <w:ind w:right="80" w:firstLine="562"/>
        <w:spacing w:after="0" w:line="228" w:lineRule="auto"/>
        <w:rPr>
          <w:sz w:val="20"/>
          <w:szCs w:val="20"/>
          <w:color w:val="auto"/>
        </w:rPr>
      </w:pPr>
      <w:r>
        <w:rPr>
          <w:rFonts w:ascii="Arial" w:cs="Arial" w:eastAsia="Arial" w:hAnsi="Arial"/>
          <w:sz w:val="14"/>
          <w:szCs w:val="14"/>
          <w:color w:val="auto"/>
        </w:rPr>
        <w:t>Funding I’s multi-currency Credit Facility with the Lenders was $350.0 million as of December 31, 2016,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2016 and September 30, 2016, Funding I had $299.3 million and $232.9 million of outstanding borrowings under the Credit Facility, respectively. The Credit Facility had an interest rate of 2.74% and 2.57%, as of December 31, 2016 and September 30, 2016, respectively, excluding the undrawn commitment fees of 0.375%. The annualized weighted average cost of debt for the three months ended December 31, 2016 and 2015, inclusive of the fee on the undrawn commitment on the Credit Facility but excluding amendment costs, was 2.91% and 5.95%, respectively. As of December 31, 2016 and September 30, 2016, we had $50.7 million and $117.1 million of unused borrowing capacity under our Credit Facility, respectively, subject to the regulatory restrictions.</w:t>
      </w:r>
    </w:p>
    <w:p>
      <w:pPr>
        <w:spacing w:after="0" w:line="77"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2016, we were in compliance with the covenants relating to our Credit Facility.</w:t>
      </w:r>
    </w:p>
    <w:p>
      <w:pPr>
        <w:spacing w:after="0" w:line="7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76" w:lineRule="exact"/>
        <w:rPr>
          <w:sz w:val="20"/>
          <w:szCs w:val="20"/>
          <w:color w:val="auto"/>
        </w:rPr>
      </w:pPr>
    </w:p>
    <w:p>
      <w:pPr>
        <w:ind w:right="60" w:firstLine="562"/>
        <w:spacing w:after="0" w:line="264"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60"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At December 31, 2016 and September 30, 2016, we had cash equivalents of $24.2 million and $28.9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Our operating activities used cash of $63.5 million for the three months ended December 31, 2016, and our financing activities provided cash of $58.8 million for the same period. Our operating activities used cash primarily for our investment activities and our financing activities provided cash primarily from net borrowings under the Credit Facility.</w:t>
      </w:r>
    </w:p>
    <w:p>
      <w:pPr>
        <w:spacing w:after="0" w:line="6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Our operating activities used cash of $66.5 million for the three months ended December 31, 2015, and our financing activities provided cash of $59.1 million for the same period. Our operating activities used cash primarily for our investment activities and our financing activities provided cash primarily from net borrowings under the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at cost as of December 31, 2016, including borrowings under our Credit Facility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2"/>
              </w:rPr>
              <w:t>Payments due by period (millions)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6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Less than 1 year</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1-3 years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3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66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299.3</w:t>
            </w:r>
          </w:p>
        </w:tc>
        <w:tc>
          <w:tcPr>
            <w:tcW w:w="6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299.3</w:t>
            </w: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55"/>
        </w:trPr>
        <w:tc>
          <w:tcPr>
            <w:tcW w:w="34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34.2</w:t>
            </w:r>
          </w:p>
        </w:tc>
        <w:tc>
          <w:tcPr>
            <w:tcW w:w="6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left="328"/>
              <w:spacing w:after="0" w:line="149" w:lineRule="exact"/>
              <w:rPr>
                <w:sz w:val="20"/>
                <w:szCs w:val="20"/>
                <w:color w:val="auto"/>
              </w:rPr>
            </w:pPr>
            <w:r>
              <w:rPr>
                <w:rFonts w:ascii="Arial" w:cs="Arial" w:eastAsia="Arial" w:hAnsi="Arial"/>
                <w:sz w:val="14"/>
                <w:szCs w:val="14"/>
                <w:color w:val="auto"/>
                <w:w w:val="95"/>
              </w:rPr>
              <w:t>12.6</w:t>
            </w:r>
          </w:p>
        </w:tc>
        <w:tc>
          <w:tcPr>
            <w:tcW w:w="80" w:type="dxa"/>
            <w:vAlign w:val="bottom"/>
          </w:tcPr>
          <w:p>
            <w:pPr>
              <w:spacing w:after="0"/>
              <w:rPr>
                <w:sz w:val="13"/>
                <w:szCs w:val="13"/>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660" w:type="dxa"/>
            <w:vAlign w:val="bottom"/>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333.5</w:t>
            </w:r>
          </w:p>
        </w:tc>
        <w:tc>
          <w:tcPr>
            <w:tcW w:w="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3.9</w:t>
            </w:r>
          </w:p>
        </w:tc>
        <w:tc>
          <w:tcPr>
            <w:tcW w:w="1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317.0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248"/>
              <w:spacing w:after="0" w:line="149" w:lineRule="exact"/>
              <w:rPr>
                <w:sz w:val="20"/>
                <w:szCs w:val="20"/>
                <w:color w:val="auto"/>
              </w:rPr>
            </w:pPr>
            <w:r>
              <w:rPr>
                <w:rFonts w:ascii="Arial" w:cs="Arial" w:eastAsia="Arial" w:hAnsi="Arial"/>
                <w:sz w:val="14"/>
                <w:szCs w:val="14"/>
                <w:color w:val="auto"/>
                <w:w w:val="95"/>
              </w:rPr>
              <w:t>12.6</w:t>
            </w:r>
          </w:p>
        </w:tc>
      </w:tr>
      <w:tr>
        <w:trPr>
          <w:trHeight w:val="20"/>
        </w:trPr>
        <w:tc>
          <w:tcPr>
            <w:tcW w:w="3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 and Note 10 of our Consolidated Financial Statements.</w:t>
      </w:r>
    </w:p>
    <w:p>
      <w:pPr>
        <w:spacing w:after="0" w:line="96" w:lineRule="exact"/>
        <w:rPr>
          <w:sz w:val="20"/>
          <w:szCs w:val="20"/>
          <w:color w:val="auto"/>
        </w:rPr>
      </w:pPr>
    </w:p>
    <w:p>
      <w:pPr>
        <w:jc w:val="both"/>
        <w:ind w:right="340" w:firstLine="562"/>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77"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75"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During the three months ended December 31, 2016 and 2015, we declared distributions of $0.285 and $0.285 per share, respectively, for total distributions of $7.6 million and</w:t>
      </w:r>
    </w:p>
    <w:p>
      <w:pPr>
        <w:spacing w:after="0" w:line="11" w:lineRule="exact"/>
        <w:rPr>
          <w:sz w:val="20"/>
          <w:szCs w:val="20"/>
          <w:color w:val="auto"/>
        </w:rPr>
      </w:pPr>
    </w:p>
    <w:p>
      <w:pPr>
        <w:ind w:right="160"/>
        <w:spacing w:after="0" w:line="255" w:lineRule="auto"/>
        <w:rPr>
          <w:sz w:val="20"/>
          <w:szCs w:val="20"/>
          <w:color w:val="auto"/>
        </w:rPr>
      </w:pPr>
      <w:r>
        <w:rPr>
          <w:rFonts w:ascii="Arial" w:cs="Arial" w:eastAsia="Arial" w:hAnsi="Arial"/>
          <w:sz w:val="13"/>
          <w:szCs w:val="13"/>
          <w:color w:val="auto"/>
        </w:rPr>
        <w:t>$7.6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ratified by the board of directors quarterly.</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2016, our debt portfolio consisted of 98% variable-rate investments (including 95% with a floor) and 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 Net</w:t>
            </w:r>
          </w:p>
        </w:tc>
        <w:tc>
          <w:tcPr>
            <w:tcW w:w="160" w:type="dxa"/>
            <w:vAlign w:val="bottom"/>
          </w:tcPr>
          <w:p>
            <w:pPr>
              <w:spacing w:after="0"/>
              <w:rPr>
                <w:sz w:val="14"/>
                <w:szCs w:val="1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Change In Interest Income, Net</w:t>
            </w:r>
          </w:p>
        </w:tc>
      </w:tr>
      <w:tr>
        <w:trPr>
          <w:trHeight w:val="148"/>
        </w:trPr>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Of Interest Expense</w:t>
            </w:r>
          </w:p>
        </w:tc>
        <w:tc>
          <w:tcPr>
            <w:tcW w:w="160" w:type="dxa"/>
            <w:vAlign w:val="bottom"/>
          </w:tcPr>
          <w:p>
            <w:pPr>
              <w:spacing w:after="0"/>
              <w:rPr>
                <w:sz w:val="12"/>
                <w:szCs w:val="12"/>
                <w:color w:val="auto"/>
              </w:rPr>
            </w:pPr>
          </w:p>
        </w:tc>
        <w:tc>
          <w:tcPr>
            <w:tcW w:w="2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Of Interest Expense</w:t>
            </w:r>
          </w:p>
        </w:tc>
      </w:tr>
      <w:tr>
        <w:trPr>
          <w:trHeight w:val="181"/>
        </w:trPr>
        <w:tc>
          <w:tcPr>
            <w:tcW w:w="17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Change In Interest Rates</w:t>
            </w:r>
          </w:p>
        </w:tc>
        <w:tc>
          <w:tcPr>
            <w:tcW w:w="680" w:type="dxa"/>
            <w:vAlign w:val="bottom"/>
          </w:tcPr>
          <w:p>
            <w:pPr>
              <w:spacing w:after="0"/>
              <w:rPr>
                <w:sz w:val="15"/>
                <w:szCs w:val="15"/>
                <w:color w:val="auto"/>
              </w:rPr>
            </w:pPr>
          </w:p>
        </w:tc>
        <w:tc>
          <w:tcPr>
            <w:tcW w:w="250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160" w:type="dxa"/>
            <w:vAlign w:val="bottom"/>
          </w:tcPr>
          <w:p>
            <w:pPr>
              <w:spacing w:after="0"/>
              <w:rPr>
                <w:sz w:val="15"/>
                <w:szCs w:val="15"/>
                <w:color w:val="auto"/>
              </w:rPr>
            </w:pPr>
          </w:p>
        </w:tc>
        <w:tc>
          <w:tcPr>
            <w:tcW w:w="2060" w:type="dxa"/>
            <w:vAlign w:val="bottom"/>
            <w:gridSpan w:val="2"/>
          </w:tcPr>
          <w:p>
            <w:pPr>
              <w:jc w:val="right"/>
              <w:ind w:right="880"/>
              <w:spacing w:after="0"/>
              <w:rPr>
                <w:sz w:val="20"/>
                <w:szCs w:val="20"/>
                <w:color w:val="auto"/>
              </w:rPr>
            </w:pPr>
            <w:r>
              <w:rPr>
                <w:rFonts w:ascii="Arial" w:cs="Arial" w:eastAsia="Arial" w:hAnsi="Arial"/>
                <w:sz w:val="14"/>
                <w:szCs w:val="14"/>
                <w:color w:val="auto"/>
              </w:rPr>
              <w:t>Per Share</w:t>
            </w:r>
          </w:p>
        </w:tc>
      </w:tr>
      <w:tr>
        <w:trPr>
          <w:trHeight w:val="142"/>
        </w:trPr>
        <w:tc>
          <w:tcPr>
            <w:tcW w:w="3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6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1,435</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960" w:type="dxa"/>
            <w:vAlign w:val="bottom"/>
            <w:tcBorders>
              <w:top w:val="single" w:sz="8" w:color="auto"/>
            </w:tcBorders>
            <w:shd w:val="clear" w:color="auto" w:fill="CCEEFF"/>
          </w:tcPr>
          <w:p>
            <w:pPr>
              <w:jc w:val="right"/>
              <w:ind w:right="708"/>
              <w:spacing w:after="0" w:line="142" w:lineRule="exact"/>
              <w:rPr>
                <w:sz w:val="20"/>
                <w:szCs w:val="20"/>
                <w:color w:val="auto"/>
              </w:rPr>
            </w:pPr>
            <w:r>
              <w:rPr>
                <w:rFonts w:ascii="Arial" w:cs="Arial" w:eastAsia="Arial" w:hAnsi="Arial"/>
                <w:sz w:val="14"/>
                <w:szCs w:val="14"/>
                <w:color w:val="auto"/>
              </w:rPr>
              <w:t>0.05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Up 2%</w:t>
            </w:r>
          </w:p>
        </w:tc>
        <w:tc>
          <w:tcPr>
            <w:tcW w:w="17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4,916</w:t>
            </w:r>
          </w:p>
        </w:tc>
        <w:tc>
          <w:tcPr>
            <w:tcW w:w="2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6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0.18</w:t>
            </w:r>
          </w:p>
        </w:tc>
        <w:tc>
          <w:tcPr>
            <w:tcW w:w="100" w:type="dxa"/>
            <w:vAlign w:val="bottom"/>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Up 3%</w:t>
            </w:r>
          </w:p>
        </w:tc>
        <w:tc>
          <w:tcPr>
            <w:tcW w:w="17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8,397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2"/>
                <w:szCs w:val="12"/>
                <w:color w:val="auto"/>
              </w:rPr>
            </w:pPr>
          </w:p>
        </w:tc>
      </w:tr>
      <w:tr>
        <w:trPr>
          <w:trHeight w:val="182"/>
        </w:trPr>
        <w:tc>
          <w:tcPr>
            <w:tcW w:w="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Up 4%</w:t>
            </w:r>
          </w:p>
        </w:tc>
        <w:tc>
          <w:tcPr>
            <w:tcW w:w="17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68"/>
              <w:spacing w:after="0"/>
              <w:rPr>
                <w:sz w:val="20"/>
                <w:szCs w:val="20"/>
                <w:color w:val="auto"/>
              </w:rPr>
            </w:pPr>
            <w:r>
              <w:rPr>
                <w:rFonts w:ascii="Arial" w:cs="Arial" w:eastAsia="Arial" w:hAnsi="Arial"/>
                <w:sz w:val="14"/>
                <w:szCs w:val="14"/>
                <w:color w:val="auto"/>
              </w:rPr>
              <w:t>11,878</w:t>
            </w:r>
          </w:p>
        </w:tc>
        <w:tc>
          <w:tcPr>
            <w:tcW w:w="2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708"/>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5"/>
                <w:szCs w:val="15"/>
                <w:color w:val="auto"/>
              </w:rPr>
            </w:pPr>
          </w:p>
        </w:tc>
      </w:tr>
    </w:tbl>
    <w:p>
      <w:pPr>
        <w:spacing w:after="0" w:line="5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2016 that have materially affected, or are reasonably likely to materially affect, our internal control over financial reporting.</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00"/>
          </w:cols>
          <w:pgMar w:left="32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Capital Corporation, or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2016,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0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10560" w:type="dxa"/>
            <w:vAlign w:val="bottom"/>
          </w:tcPr>
          <w:p>
            <w:pPr>
              <w:ind w:left="200"/>
              <w:spacing w:after="0"/>
              <w:rPr>
                <w:sz w:val="20"/>
                <w:szCs w:val="20"/>
                <w:color w:val="auto"/>
              </w:rPr>
            </w:pPr>
            <w:r>
              <w:rPr>
                <w:rFonts w:ascii="Arial" w:cs="Arial" w:eastAsia="Arial" w:hAnsi="Arial"/>
                <w:sz w:val="14"/>
                <w:szCs w:val="14"/>
                <w:b w:val="1"/>
                <w:bCs w:val="1"/>
                <w:color w:val="auto"/>
              </w:rPr>
              <w:t>Exhibits</w:t>
            </w:r>
          </w:p>
        </w:tc>
      </w:tr>
      <w:tr>
        <w:trPr>
          <w:trHeight w:val="257"/>
        </w:trPr>
        <w:tc>
          <w:tcPr>
            <w:tcW w:w="11160" w:type="dxa"/>
            <w:vAlign w:val="bottom"/>
            <w:gridSpan w:val="2"/>
          </w:tcPr>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tc>
      </w:tr>
      <w:tr>
        <w:trPr>
          <w:trHeight w:val="479"/>
        </w:trPr>
        <w:tc>
          <w:tcPr>
            <w:tcW w:w="600" w:type="dxa"/>
            <w:vAlign w:val="bottom"/>
          </w:tcPr>
          <w:p>
            <w:pPr>
              <w:jc w:val="right"/>
              <w:ind w:right="268"/>
              <w:spacing w:after="0"/>
              <w:rPr>
                <w:sz w:val="20"/>
                <w:szCs w:val="20"/>
                <w:color w:val="auto"/>
              </w:rPr>
            </w:pPr>
            <w:r>
              <w:rPr>
                <w:rFonts w:ascii="Arial" w:cs="Arial" w:eastAsia="Arial" w:hAnsi="Arial"/>
                <w:sz w:val="14"/>
                <w:szCs w:val="14"/>
                <w:color w:val="auto"/>
              </w:rPr>
              <w:t>3.1</w:t>
            </w:r>
          </w:p>
        </w:tc>
        <w:tc>
          <w:tcPr>
            <w:tcW w:w="10560" w:type="dxa"/>
            <w:vAlign w:val="bottom"/>
          </w:tcPr>
          <w:p>
            <w:pPr>
              <w:ind w:left="160"/>
              <w:spacing w:after="0"/>
              <w:rPr>
                <w:sz w:val="20"/>
                <w:szCs w:val="20"/>
                <w:color w:val="auto"/>
              </w:rPr>
            </w:pPr>
            <w:r>
              <w:rPr>
                <w:rFonts w:ascii="Arial" w:cs="Arial" w:eastAsia="Arial" w:hAnsi="Arial"/>
                <w:sz w:val="14"/>
                <w:szCs w:val="14"/>
                <w:color w:val="auto"/>
                <w:w w:val="93"/>
              </w:rPr>
              <w:t>Articles of Amendment and Restatement of the Registrant (Incorporated by reference to the Registrant’s Pre-Effective Amendment No. 3 to the Registration Statement on Form N-2</w:t>
            </w:r>
          </w:p>
        </w:tc>
      </w:tr>
      <w:tr>
        <w:trPr>
          <w:trHeight w:val="182"/>
        </w:trPr>
        <w:tc>
          <w:tcPr>
            <w:tcW w:w="600" w:type="dxa"/>
            <w:vAlign w:val="bottom"/>
          </w:tcPr>
          <w:p>
            <w:pPr>
              <w:spacing w:after="0"/>
              <w:rPr>
                <w:sz w:val="15"/>
                <w:szCs w:val="15"/>
                <w:color w:val="auto"/>
              </w:rPr>
            </w:pPr>
          </w:p>
        </w:tc>
        <w:tc>
          <w:tcPr>
            <w:tcW w:w="10560" w:type="dxa"/>
            <w:vAlign w:val="bottom"/>
          </w:tcPr>
          <w:p>
            <w:pPr>
              <w:ind w:left="160"/>
              <w:spacing w:after="0"/>
              <w:rPr>
                <w:sz w:val="20"/>
                <w:szCs w:val="20"/>
                <w:color w:val="auto"/>
              </w:rPr>
            </w:pPr>
            <w:r>
              <w:rPr>
                <w:rFonts w:ascii="Arial" w:cs="Arial" w:eastAsia="Arial" w:hAnsi="Arial"/>
                <w:sz w:val="14"/>
                <w:szCs w:val="14"/>
                <w:color w:val="auto"/>
              </w:rPr>
              <w:t>(File No. 333-170243), filed on March 29, 2011).</w:t>
            </w:r>
          </w:p>
        </w:tc>
      </w:tr>
      <w:tr>
        <w:trPr>
          <w:trHeight w:val="290"/>
        </w:trPr>
        <w:tc>
          <w:tcPr>
            <w:tcW w:w="600" w:type="dxa"/>
            <w:vAlign w:val="bottom"/>
          </w:tcPr>
          <w:p>
            <w:pPr>
              <w:jc w:val="right"/>
              <w:ind w:right="268"/>
              <w:spacing w:after="0"/>
              <w:rPr>
                <w:sz w:val="20"/>
                <w:szCs w:val="20"/>
                <w:color w:val="auto"/>
              </w:rPr>
            </w:pPr>
            <w:r>
              <w:rPr>
                <w:rFonts w:ascii="Arial" w:cs="Arial" w:eastAsia="Arial" w:hAnsi="Arial"/>
                <w:sz w:val="14"/>
                <w:szCs w:val="14"/>
                <w:color w:val="auto"/>
              </w:rPr>
              <w:t>3.2</w:t>
            </w:r>
          </w:p>
        </w:tc>
        <w:tc>
          <w:tcPr>
            <w:tcW w:w="10560" w:type="dxa"/>
            <w:vAlign w:val="bottom"/>
          </w:tcPr>
          <w:p>
            <w:pPr>
              <w:ind w:left="160"/>
              <w:spacing w:after="0"/>
              <w:rPr>
                <w:sz w:val="20"/>
                <w:szCs w:val="20"/>
                <w:color w:val="auto"/>
              </w:rPr>
            </w:pPr>
            <w:r>
              <w:rPr>
                <w:rFonts w:ascii="Arial" w:cs="Arial" w:eastAsia="Arial" w:hAnsi="Arial"/>
                <w:sz w:val="14"/>
                <w:szCs w:val="14"/>
                <w:color w:val="auto"/>
              </w:rPr>
              <w:t>Amended and Restated Bylaws of the Registrant (Incorporated by reference to Exhibit 3.1 to the Registrant’s Current Report on Form 8-K (File No. 814-00891), filed on</w:t>
            </w:r>
          </w:p>
        </w:tc>
      </w:tr>
      <w:tr>
        <w:trPr>
          <w:trHeight w:val="182"/>
        </w:trPr>
        <w:tc>
          <w:tcPr>
            <w:tcW w:w="600" w:type="dxa"/>
            <w:vAlign w:val="bottom"/>
          </w:tcPr>
          <w:p>
            <w:pPr>
              <w:spacing w:after="0"/>
              <w:rPr>
                <w:sz w:val="15"/>
                <w:szCs w:val="15"/>
                <w:color w:val="auto"/>
              </w:rPr>
            </w:pPr>
          </w:p>
        </w:tc>
        <w:tc>
          <w:tcPr>
            <w:tcW w:w="10560" w:type="dxa"/>
            <w:vAlign w:val="bottom"/>
          </w:tcPr>
          <w:p>
            <w:pPr>
              <w:ind w:left="160"/>
              <w:spacing w:after="0"/>
              <w:rPr>
                <w:sz w:val="20"/>
                <w:szCs w:val="20"/>
                <w:color w:val="auto"/>
              </w:rPr>
            </w:pPr>
            <w:r>
              <w:rPr>
                <w:rFonts w:ascii="Arial" w:cs="Arial" w:eastAsia="Arial" w:hAnsi="Arial"/>
                <w:sz w:val="14"/>
                <w:szCs w:val="14"/>
                <w:color w:val="auto"/>
              </w:rPr>
              <w:t>December 2, 2015).</w:t>
            </w:r>
          </w:p>
        </w:tc>
      </w:tr>
      <w:tr>
        <w:trPr>
          <w:trHeight w:val="290"/>
        </w:trPr>
        <w:tc>
          <w:tcPr>
            <w:tcW w:w="600" w:type="dxa"/>
            <w:vAlign w:val="bottom"/>
          </w:tcPr>
          <w:p>
            <w:pPr>
              <w:jc w:val="right"/>
              <w:ind w:right="268"/>
              <w:spacing w:after="0"/>
              <w:rPr>
                <w:sz w:val="20"/>
                <w:szCs w:val="20"/>
                <w:color w:val="auto"/>
              </w:rPr>
            </w:pPr>
            <w:r>
              <w:rPr>
                <w:rFonts w:ascii="Arial" w:cs="Arial" w:eastAsia="Arial" w:hAnsi="Arial"/>
                <w:sz w:val="14"/>
                <w:szCs w:val="14"/>
                <w:color w:val="auto"/>
              </w:rPr>
              <w:t>4.1</w:t>
            </w:r>
          </w:p>
        </w:tc>
        <w:tc>
          <w:tcPr>
            <w:tcW w:w="10560" w:type="dxa"/>
            <w:vAlign w:val="bottom"/>
          </w:tcPr>
          <w:p>
            <w:pPr>
              <w:ind w:left="160"/>
              <w:spacing w:after="0"/>
              <w:rPr>
                <w:sz w:val="20"/>
                <w:szCs w:val="20"/>
                <w:color w:val="auto"/>
              </w:rPr>
            </w:pPr>
            <w:r>
              <w:rPr>
                <w:rFonts w:ascii="Arial" w:cs="Arial" w:eastAsia="Arial" w:hAnsi="Arial"/>
                <w:sz w:val="14"/>
                <w:szCs w:val="14"/>
                <w:color w:val="auto"/>
              </w:rPr>
              <w:t>Form of Share Certificate (Incorporated by reference to the Registrant’s Pre-Effective Amendment No. 5 to the Registration Statement on Form N-2</w:t>
            </w:r>
          </w:p>
        </w:tc>
      </w:tr>
      <w:tr>
        <w:trPr>
          <w:trHeight w:val="182"/>
        </w:trPr>
        <w:tc>
          <w:tcPr>
            <w:tcW w:w="600" w:type="dxa"/>
            <w:vAlign w:val="bottom"/>
          </w:tcPr>
          <w:p>
            <w:pPr>
              <w:spacing w:after="0"/>
              <w:rPr>
                <w:sz w:val="15"/>
                <w:szCs w:val="15"/>
                <w:color w:val="auto"/>
              </w:rPr>
            </w:pPr>
          </w:p>
        </w:tc>
        <w:tc>
          <w:tcPr>
            <w:tcW w:w="10560" w:type="dxa"/>
            <w:vAlign w:val="bottom"/>
          </w:tcPr>
          <w:p>
            <w:pPr>
              <w:ind w:left="160"/>
              <w:spacing w:after="0"/>
              <w:rPr>
                <w:sz w:val="20"/>
                <w:szCs w:val="20"/>
                <w:color w:val="auto"/>
              </w:rPr>
            </w:pPr>
            <w:r>
              <w:rPr>
                <w:rFonts w:ascii="Arial" w:cs="Arial" w:eastAsia="Arial" w:hAnsi="Arial"/>
                <w:sz w:val="14"/>
                <w:szCs w:val="14"/>
                <w:color w:val="auto"/>
              </w:rPr>
              <w:t>(File No. 333-170243), filed on April 5, 2011).</w:t>
            </w:r>
          </w:p>
        </w:tc>
      </w:tr>
      <w:tr>
        <w:trPr>
          <w:trHeight w:val="304"/>
        </w:trPr>
        <w:tc>
          <w:tcPr>
            <w:tcW w:w="600" w:type="dxa"/>
            <w:vAlign w:val="bottom"/>
          </w:tcPr>
          <w:p>
            <w:pPr>
              <w:jc w:val="right"/>
              <w:ind w:right="268"/>
              <w:spacing w:after="0"/>
              <w:rPr>
                <w:sz w:val="20"/>
                <w:szCs w:val="20"/>
                <w:color w:val="auto"/>
              </w:rPr>
            </w:pPr>
            <w:r>
              <w:rPr>
                <w:rFonts w:ascii="Arial" w:cs="Arial" w:eastAsia="Arial" w:hAnsi="Arial"/>
                <w:sz w:val="14"/>
                <w:szCs w:val="14"/>
                <w:color w:val="auto"/>
                <w:w w:val="87"/>
              </w:rPr>
              <w:t>10.1</w:t>
            </w:r>
          </w:p>
        </w:tc>
        <w:tc>
          <w:tcPr>
            <w:tcW w:w="10560" w:type="dxa"/>
            <w:vAlign w:val="bottom"/>
          </w:tcPr>
          <w:p>
            <w:pPr>
              <w:ind w:left="160"/>
              <w:spacing w:after="0"/>
              <w:rPr>
                <w:sz w:val="20"/>
                <w:szCs w:val="20"/>
                <w:color w:val="auto"/>
              </w:rPr>
            </w:pPr>
            <w:r>
              <w:rPr>
                <w:rFonts w:ascii="Arial" w:cs="Arial" w:eastAsia="Arial" w:hAnsi="Arial"/>
                <w:sz w:val="14"/>
                <w:szCs w:val="14"/>
                <w:color w:val="auto"/>
                <w:w w:val="94"/>
              </w:rPr>
              <w:t>Indemnification Agreement, dated as of November 15, 2016, between PennantPark Floating Rate Capital Ltd. and each of the directors and officers listed on Schedule A attached</w:t>
            </w:r>
          </w:p>
        </w:tc>
      </w:tr>
      <w:tr>
        <w:trPr>
          <w:trHeight w:val="182"/>
        </w:trPr>
        <w:tc>
          <w:tcPr>
            <w:tcW w:w="600" w:type="dxa"/>
            <w:vAlign w:val="bottom"/>
          </w:tcPr>
          <w:p>
            <w:pPr>
              <w:spacing w:after="0"/>
              <w:rPr>
                <w:sz w:val="15"/>
                <w:szCs w:val="15"/>
                <w:color w:val="auto"/>
              </w:rPr>
            </w:pPr>
          </w:p>
        </w:tc>
        <w:tc>
          <w:tcPr>
            <w:tcW w:w="10560" w:type="dxa"/>
            <w:vAlign w:val="bottom"/>
          </w:tcPr>
          <w:p>
            <w:pPr>
              <w:ind w:left="160"/>
              <w:spacing w:after="0"/>
              <w:rPr>
                <w:sz w:val="20"/>
                <w:szCs w:val="20"/>
                <w:color w:val="auto"/>
              </w:rPr>
            </w:pPr>
            <w:r>
              <w:rPr>
                <w:rFonts w:ascii="Arial" w:cs="Arial" w:eastAsia="Arial" w:hAnsi="Arial"/>
                <w:sz w:val="14"/>
                <w:szCs w:val="14"/>
                <w:color w:val="auto"/>
              </w:rPr>
              <w:t>thereto (Incorporated by reference to Exhibit 10.6 to the Registrant’s Annual Report on Form 10-K (File No. 814-00891), filed on November 22, 2016).</w:t>
            </w:r>
          </w:p>
        </w:tc>
      </w:tr>
    </w:tbl>
    <w:p>
      <w:pPr>
        <w:spacing w:after="0" w:line="142"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w:t>
      </w:r>
      <w:r>
        <w:rPr>
          <w:rFonts w:ascii="Arial" w:cs="Arial" w:eastAsia="Arial" w:hAnsi="Arial"/>
          <w:sz w:val="13"/>
          <w:szCs w:val="13"/>
          <w:color w:val="auto"/>
        </w:rPr>
        <w:t>Certification of Chief Financial Officer pursuant to section 906 of The Sarbanes-Oxley Act of 2002.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99.1</w:t>
            </w:r>
          </w:p>
        </w:tc>
        <w:tc>
          <w:tcPr>
            <w:tcW w:w="7780" w:type="dxa"/>
            <w:vAlign w:val="bottom"/>
          </w:tcPr>
          <w:p>
            <w:pPr>
              <w:ind w:left="240"/>
              <w:spacing w:after="0"/>
              <w:rPr>
                <w:sz w:val="20"/>
                <w:szCs w:val="20"/>
                <w:color w:val="auto"/>
              </w:rPr>
            </w:pPr>
            <w:r>
              <w:rPr>
                <w:rFonts w:ascii="Arial" w:cs="Arial" w:eastAsia="Arial" w:hAnsi="Arial"/>
                <w:sz w:val="14"/>
                <w:szCs w:val="14"/>
                <w:color w:val="auto"/>
                <w:w w:val="94"/>
              </w:rPr>
              <w:t>Privacy Policy of the Registrant (Incorporated by reference to the Registrant’s Annual Report on Form 10-K (File No. 814-00891),</w:t>
            </w:r>
          </w:p>
        </w:tc>
      </w:tr>
      <w:tr>
        <w:trPr>
          <w:trHeight w:val="182"/>
        </w:trPr>
        <w:tc>
          <w:tcPr>
            <w:tcW w:w="520" w:type="dxa"/>
            <w:vAlign w:val="bottom"/>
          </w:tcPr>
          <w:p>
            <w:pPr>
              <w:spacing w:after="0"/>
              <w:rPr>
                <w:sz w:val="15"/>
                <w:szCs w:val="15"/>
                <w:color w:val="auto"/>
              </w:rPr>
            </w:pPr>
          </w:p>
        </w:tc>
        <w:tc>
          <w:tcPr>
            <w:tcW w:w="7780" w:type="dxa"/>
            <w:vAlign w:val="bottom"/>
          </w:tcPr>
          <w:p>
            <w:pPr>
              <w:ind w:left="240"/>
              <w:spacing w:after="0"/>
              <w:rPr>
                <w:sz w:val="20"/>
                <w:szCs w:val="20"/>
                <w:color w:val="auto"/>
              </w:rPr>
            </w:pPr>
            <w:r>
              <w:rPr>
                <w:rFonts w:ascii="Arial" w:cs="Arial" w:eastAsia="Arial" w:hAnsi="Arial"/>
                <w:sz w:val="14"/>
                <w:szCs w:val="14"/>
                <w:color w:val="auto"/>
              </w:rPr>
              <w:t>filed on November 17,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239395</wp:posOffset>
            </wp:positionV>
            <wp:extent cx="6851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00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160"/>
          </w:cols>
          <w:pgMar w:left="32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120" w:firstLine="337"/>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80" w:type="dxa"/>
            <w:vAlign w:val="bottom"/>
          </w:tcPr>
          <w:p>
            <w:pPr>
              <w:ind w:left="780"/>
              <w:spacing w:after="0"/>
              <w:rPr>
                <w:sz w:val="20"/>
                <w:szCs w:val="20"/>
                <w:color w:val="auto"/>
              </w:rPr>
            </w:pPr>
            <w:r>
              <w:rPr>
                <w:rFonts w:ascii="Arial" w:cs="Arial" w:eastAsia="Arial" w:hAnsi="Arial"/>
                <w:sz w:val="14"/>
                <w:szCs w:val="14"/>
                <w:color w:val="auto"/>
              </w:rPr>
              <w:t>PENNANTPARK FLOATING RATE CAPITAL LTD.</w:t>
            </w:r>
          </w:p>
        </w:tc>
      </w:tr>
      <w:tr>
        <w:trPr>
          <w:trHeight w:val="350"/>
        </w:trPr>
        <w:tc>
          <w:tcPr>
            <w:tcW w:w="3440" w:type="dxa"/>
            <w:vAlign w:val="bottom"/>
          </w:tcPr>
          <w:p>
            <w:pPr>
              <w:spacing w:after="0"/>
              <w:rPr>
                <w:sz w:val="20"/>
                <w:szCs w:val="20"/>
                <w:color w:val="auto"/>
              </w:rPr>
            </w:pPr>
            <w:r>
              <w:rPr>
                <w:rFonts w:ascii="Arial" w:cs="Arial" w:eastAsia="Arial" w:hAnsi="Arial"/>
                <w:sz w:val="14"/>
                <w:szCs w:val="14"/>
                <w:color w:val="auto"/>
              </w:rPr>
              <w:t>Date: February 9, 2017</w:t>
            </w:r>
          </w:p>
        </w:tc>
        <w:tc>
          <w:tcPr>
            <w:tcW w:w="2520" w:type="dxa"/>
            <w:vAlign w:val="bottom"/>
          </w:tcPr>
          <w:p>
            <w:pPr>
              <w:ind w:left="220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w w:val="95"/>
              </w:rPr>
              <w:t>/s/ Arthur H. Penn</w:t>
            </w:r>
          </w:p>
        </w:tc>
      </w:tr>
      <w:tr>
        <w:trPr>
          <w:trHeight w:val="133"/>
        </w:trPr>
        <w:tc>
          <w:tcPr>
            <w:tcW w:w="34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48"/>
        </w:trPr>
        <w:tc>
          <w:tcPr>
            <w:tcW w:w="3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r>
      <w:tr>
        <w:trPr>
          <w:trHeight w:val="186"/>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r>
      <w:tr>
        <w:trPr>
          <w:trHeight w:val="363"/>
        </w:trPr>
        <w:tc>
          <w:tcPr>
            <w:tcW w:w="3440" w:type="dxa"/>
            <w:vAlign w:val="bottom"/>
          </w:tcPr>
          <w:p>
            <w:pPr>
              <w:spacing w:after="0"/>
              <w:rPr>
                <w:sz w:val="20"/>
                <w:szCs w:val="20"/>
                <w:color w:val="auto"/>
              </w:rPr>
            </w:pPr>
            <w:r>
              <w:rPr>
                <w:rFonts w:ascii="Arial" w:cs="Arial" w:eastAsia="Arial" w:hAnsi="Arial"/>
                <w:sz w:val="14"/>
                <w:szCs w:val="14"/>
                <w:color w:val="auto"/>
              </w:rPr>
              <w:t>Date: February 9, 2017</w:t>
            </w:r>
          </w:p>
        </w:tc>
        <w:tc>
          <w:tcPr>
            <w:tcW w:w="2520" w:type="dxa"/>
            <w:vAlign w:val="bottom"/>
          </w:tcPr>
          <w:p>
            <w:pPr>
              <w:ind w:left="2200"/>
              <w:spacing w:after="0"/>
              <w:rPr>
                <w:sz w:val="20"/>
                <w:szCs w:val="20"/>
                <w:color w:val="auto"/>
              </w:rPr>
            </w:pPr>
            <w:r>
              <w:rPr>
                <w:rFonts w:ascii="Arial" w:cs="Arial" w:eastAsia="Arial" w:hAnsi="Arial"/>
                <w:sz w:val="14"/>
                <w:szCs w:val="14"/>
                <w:color w:val="auto"/>
              </w:rPr>
              <w:t>By:</w:t>
            </w:r>
          </w:p>
        </w:tc>
        <w:tc>
          <w:tcPr>
            <w:tcW w:w="5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6"/>
              </w:rPr>
              <w:t>/s/ Aviv Efrat</w:t>
            </w:r>
          </w:p>
        </w:tc>
      </w:tr>
      <w:tr>
        <w:trPr>
          <w:trHeight w:val="133"/>
        </w:trPr>
        <w:tc>
          <w:tcPr>
            <w:tcW w:w="34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Aviv Efrat</w:t>
            </w:r>
          </w:p>
        </w:tc>
      </w:tr>
      <w:tr>
        <w:trPr>
          <w:trHeight w:val="186"/>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Treasurer (Principal Financial and Accounting Officer)</w:t>
            </w:r>
          </w:p>
        </w:tc>
      </w:tr>
      <w:tr>
        <w:trPr>
          <w:trHeight w:val="297"/>
        </w:trPr>
        <w:tc>
          <w:tcPr>
            <w:tcW w:w="3440" w:type="dxa"/>
            <w:vAlign w:val="bottom"/>
          </w:tcPr>
          <w:p>
            <w:pPr>
              <w:spacing w:after="0"/>
              <w:rPr>
                <w:sz w:val="24"/>
                <w:szCs w:val="24"/>
                <w:color w:val="auto"/>
              </w:rPr>
            </w:pPr>
          </w:p>
        </w:tc>
        <w:tc>
          <w:tcPr>
            <w:tcW w:w="2520" w:type="dxa"/>
            <w:vAlign w:val="bottom"/>
          </w:tcPr>
          <w:p>
            <w:pPr>
              <w:jc w:val="right"/>
              <w:ind w:right="188"/>
              <w:spacing w:after="0"/>
              <w:rPr>
                <w:sz w:val="20"/>
                <w:szCs w:val="20"/>
                <w:color w:val="auto"/>
              </w:rPr>
            </w:pPr>
            <w:r>
              <w:rPr>
                <w:rFonts w:ascii="Arial" w:cs="Arial" w:eastAsia="Arial" w:hAnsi="Arial"/>
                <w:sz w:val="14"/>
                <w:szCs w:val="14"/>
                <w:color w:val="auto"/>
              </w:rPr>
              <w:t>35</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9, 2017</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9, 2017</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In connection with this Report on Form 10-Q for the three months ended December 31, 2016,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780" w:hanging="21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780" w:hanging="21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February 9, 2017</w:t>
      </w:r>
    </w:p>
    <w:p>
      <w:pPr>
        <w:sectPr>
          <w:pgSz w:w="11900" w:h="16838" w:orient="portrait"/>
          <w:cols w:equalWidth="0" w:num="1">
            <w:col w:w="11240"/>
          </w:cols>
          <w:pgMar w:left="32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In connection with this Report on Form 10-Q for the three months ended December 31, 2016,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66" w:lineRule="exact"/>
        <w:rPr>
          <w:sz w:val="20"/>
          <w:szCs w:val="20"/>
          <w:color w:val="auto"/>
        </w:rPr>
      </w:pPr>
    </w:p>
    <w:p>
      <w:pPr>
        <w:ind w:left="780" w:hanging="210"/>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780" w:hanging="210"/>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February 9, 2017</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2020-05-05T12:07:33Z</dcterms:created>
  <dcterms:modified xsi:type="dcterms:W3CDTF">2020-05-05T12:07:33Z</dcterms:modified>
</cp:coreProperties>
</file>