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3" w:lineRule="exact"/>
        <w:rPr>
          <w:sz w:val="24"/>
          <w:szCs w:val="24"/>
          <w:color w:val="auto"/>
        </w:rPr>
      </w:pPr>
    </w:p>
    <w:p>
      <w:pPr>
        <w:jc w:val="center"/>
        <w:ind w:right="2420"/>
        <w:spacing w:after="0" w:line="359" w:lineRule="auto"/>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SEPTEMBER 30, 2024 OR</w:t>
      </w:r>
    </w:p>
    <w:p>
      <w:pPr>
        <w:spacing w:after="0" w:line="186"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1200" w:type="dxa"/>
        <w:tblCellMar>
          <w:top w:w="0" w:type="dxa"/>
          <w:left w:w="0" w:type="dxa"/>
          <w:bottom w:w="0" w:type="dxa"/>
          <w:right w:w="0" w:type="dxa"/>
        </w:tblCellMar>
      </w:tblPr>
      <w:tr>
        <w:trPr>
          <w:trHeight w:val="184"/>
        </w:trPr>
        <w:tc>
          <w:tcPr>
            <w:tcW w:w="5160" w:type="dxa"/>
            <w:vAlign w:val="bottom"/>
          </w:tcPr>
          <w:p>
            <w:pPr>
              <w:ind w:left="2240"/>
              <w:spacing w:after="0"/>
              <w:rPr>
                <w:sz w:val="20"/>
                <w:szCs w:val="20"/>
                <w:color w:val="auto"/>
              </w:rPr>
            </w:pPr>
            <w:r>
              <w:rPr>
                <w:rFonts w:ascii="Times New Roman" w:cs="Times New Roman" w:eastAsia="Times New Roman" w:hAnsi="Times New Roman"/>
                <w:sz w:val="16"/>
                <w:szCs w:val="16"/>
                <w:b w:val="1"/>
                <w:bCs w:val="1"/>
                <w:color w:val="auto"/>
                <w:w w:val="97"/>
              </w:rPr>
              <w:t>FOR THE TRANSITION PERIOD FROM</w:t>
            </w:r>
          </w:p>
        </w:tc>
        <w:tc>
          <w:tcPr>
            <w:tcW w:w="480" w:type="dxa"/>
            <w:vAlign w:val="bottom"/>
            <w:tcBorders>
              <w:bottom w:val="single" w:sz="8" w:color="auto"/>
            </w:tcBorders>
          </w:tcPr>
          <w:p>
            <w:pPr>
              <w:spacing w:after="0"/>
              <w:rPr>
                <w:sz w:val="16"/>
                <w:szCs w:val="16"/>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66"/>
        </w:trPr>
        <w:tc>
          <w:tcPr>
            <w:tcW w:w="5640" w:type="dxa"/>
            <w:vAlign w:val="bottom"/>
            <w:gridSpan w:val="2"/>
          </w:tcPr>
          <w:p>
            <w:pPr>
              <w:jc w:val="center"/>
              <w:ind w:left="2471"/>
              <w:spacing w:after="0"/>
              <w:rPr>
                <w:sz w:val="20"/>
                <w:szCs w:val="20"/>
                <w:color w:val="auto"/>
              </w:rPr>
            </w:pPr>
            <w:r>
              <w:rPr>
                <w:rFonts w:ascii="Times New Roman" w:cs="Times New Roman" w:eastAsia="Times New Roman" w:hAnsi="Times New Roman"/>
                <w:sz w:val="16"/>
                <w:szCs w:val="16"/>
                <w:b w:val="1"/>
                <w:bCs w:val="1"/>
                <w:color w:val="auto"/>
                <w:w w:val="96"/>
              </w:rPr>
              <w:t>COMMISSION FILE NUMBER: 814-00891</w:t>
            </w:r>
          </w:p>
        </w:tc>
        <w:tc>
          <w:tcPr>
            <w:tcW w:w="1960" w:type="dxa"/>
            <w:vAlign w:val="bottom"/>
          </w:tcPr>
          <w:p>
            <w:pPr>
              <w:spacing w:after="0"/>
              <w:rPr>
                <w:sz w:val="23"/>
                <w:szCs w:val="23"/>
                <w:color w:val="auto"/>
              </w:rPr>
            </w:pPr>
          </w:p>
        </w:tc>
      </w:tr>
      <w:tr>
        <w:trPr>
          <w:trHeight w:val="469"/>
        </w:trPr>
        <w:tc>
          <w:tcPr>
            <w:tcW w:w="7600" w:type="dxa"/>
            <w:vAlign w:val="bottom"/>
            <w:gridSpan w:val="3"/>
          </w:tcPr>
          <w:p>
            <w:pPr>
              <w:jc w:val="center"/>
              <w:ind w:left="511"/>
              <w:spacing w:after="0"/>
              <w:rPr>
                <w:sz w:val="20"/>
                <w:szCs w:val="20"/>
                <w:color w:val="auto"/>
              </w:rPr>
            </w:pPr>
            <w:r>
              <w:rPr>
                <w:rFonts w:ascii="Times New Roman" w:cs="Times New Roman" w:eastAsia="Times New Roman" w:hAnsi="Times New Roman"/>
                <w:sz w:val="23"/>
                <w:szCs w:val="23"/>
                <w:b w:val="1"/>
                <w:bCs w:val="1"/>
                <w:color w:val="auto"/>
                <w:w w:val="99"/>
              </w:rPr>
              <w:t>PENNANTPARK FLOATING RATE CAPITAL LTD.</w:t>
            </w:r>
          </w:p>
        </w:tc>
      </w:tr>
      <w:tr>
        <w:trPr>
          <w:trHeight w:val="174"/>
        </w:trPr>
        <w:tc>
          <w:tcPr>
            <w:tcW w:w="5640" w:type="dxa"/>
            <w:vAlign w:val="bottom"/>
            <w:gridSpan w:val="2"/>
          </w:tcPr>
          <w:p>
            <w:pPr>
              <w:jc w:val="center"/>
              <w:ind w:left="2451"/>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1960" w:type="dxa"/>
            <w:vAlign w:val="bottom"/>
          </w:tcPr>
          <w:p>
            <w:pPr>
              <w:spacing w:after="0"/>
              <w:rPr>
                <w:sz w:val="15"/>
                <w:szCs w:val="15"/>
                <w:color w:val="auto"/>
              </w:rPr>
            </w:pPr>
          </w:p>
        </w:tc>
      </w:tr>
      <w:tr>
        <w:trPr>
          <w:trHeight w:val="330"/>
        </w:trPr>
        <w:tc>
          <w:tcPr>
            <w:tcW w:w="5640" w:type="dxa"/>
            <w:vAlign w:val="bottom"/>
            <w:gridSpan w:val="2"/>
          </w:tcPr>
          <w:p>
            <w:pPr>
              <w:jc w:val="center"/>
              <w:ind w:right="2840"/>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1960" w:type="dxa"/>
            <w:vAlign w:val="bottom"/>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rPr>
              <w:t>27-3794690</w:t>
            </w:r>
          </w:p>
        </w:tc>
      </w:tr>
      <w:tr>
        <w:trPr>
          <w:trHeight w:val="142"/>
        </w:trPr>
        <w:tc>
          <w:tcPr>
            <w:tcW w:w="5640" w:type="dxa"/>
            <w:vAlign w:val="bottom"/>
            <w:gridSpan w:val="2"/>
          </w:tcPr>
          <w:p>
            <w:pPr>
              <w:jc w:val="center"/>
              <w:ind w:right="2860"/>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 incorporation or organization)</w:t>
            </w:r>
          </w:p>
        </w:tc>
        <w:tc>
          <w:tcPr>
            <w:tcW w:w="1960" w:type="dxa"/>
            <w:vAlign w:val="bottom"/>
          </w:tcPr>
          <w:p>
            <w:pPr>
              <w:jc w:val="center"/>
              <w:ind w:left="256"/>
              <w:spacing w:after="0"/>
              <w:rPr>
                <w:sz w:val="20"/>
                <w:szCs w:val="20"/>
                <w:color w:val="auto"/>
              </w:rPr>
            </w:pPr>
            <w:r>
              <w:rPr>
                <w:rFonts w:ascii="Times New Roman" w:cs="Times New Roman" w:eastAsia="Times New Roman" w:hAnsi="Times New Roman"/>
                <w:sz w:val="11"/>
                <w:szCs w:val="11"/>
                <w:b w:val="1"/>
                <w:bCs w:val="1"/>
                <w:color w:val="auto"/>
                <w:w w:val="97"/>
              </w:rPr>
              <w:t>(I.R.S. Employer Identification No.)</w:t>
            </w:r>
          </w:p>
        </w:tc>
      </w:tr>
      <w:tr>
        <w:trPr>
          <w:trHeight w:val="290"/>
        </w:trPr>
        <w:tc>
          <w:tcPr>
            <w:tcW w:w="5640" w:type="dxa"/>
            <w:vAlign w:val="bottom"/>
            <w:gridSpan w:val="2"/>
          </w:tcPr>
          <w:p>
            <w:pPr>
              <w:jc w:val="center"/>
              <w:ind w:right="2840"/>
              <w:spacing w:after="0"/>
              <w:rPr>
                <w:sz w:val="20"/>
                <w:szCs w:val="20"/>
                <w:color w:val="auto"/>
              </w:rPr>
            </w:pPr>
            <w:r>
              <w:rPr>
                <w:rFonts w:ascii="Times New Roman" w:cs="Times New Roman" w:eastAsia="Times New Roman" w:hAnsi="Times New Roman"/>
                <w:sz w:val="13"/>
                <w:szCs w:val="13"/>
                <w:b w:val="1"/>
                <w:bCs w:val="1"/>
                <w:color w:val="auto"/>
              </w:rPr>
              <w:t>1691 Michigan Avenue</w:t>
            </w:r>
          </w:p>
        </w:tc>
        <w:tc>
          <w:tcPr>
            <w:tcW w:w="1960" w:type="dxa"/>
            <w:vAlign w:val="bottom"/>
          </w:tcPr>
          <w:p>
            <w:pPr>
              <w:spacing w:after="0"/>
              <w:rPr>
                <w:sz w:val="24"/>
                <w:szCs w:val="24"/>
                <w:color w:val="auto"/>
              </w:rPr>
            </w:pPr>
          </w:p>
        </w:tc>
      </w:tr>
      <w:tr>
        <w:trPr>
          <w:trHeight w:val="167"/>
        </w:trPr>
        <w:tc>
          <w:tcPr>
            <w:tcW w:w="5640" w:type="dxa"/>
            <w:vAlign w:val="bottom"/>
            <w:gridSpan w:val="2"/>
          </w:tcPr>
          <w:p>
            <w:pPr>
              <w:jc w:val="center"/>
              <w:ind w:right="2840"/>
              <w:spacing w:after="0"/>
              <w:rPr>
                <w:sz w:val="20"/>
                <w:szCs w:val="20"/>
                <w:color w:val="auto"/>
              </w:rPr>
            </w:pPr>
            <w:r>
              <w:rPr>
                <w:rFonts w:ascii="Times New Roman" w:cs="Times New Roman" w:eastAsia="Times New Roman" w:hAnsi="Times New Roman"/>
                <w:sz w:val="13"/>
                <w:szCs w:val="13"/>
                <w:b w:val="1"/>
                <w:bCs w:val="1"/>
                <w:color w:val="auto"/>
              </w:rPr>
              <w:t>Miami Beach, Florida</w:t>
            </w:r>
          </w:p>
        </w:tc>
        <w:tc>
          <w:tcPr>
            <w:tcW w:w="1960" w:type="dxa"/>
            <w:vAlign w:val="bottom"/>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8"/>
              </w:rPr>
              <w:t>33139</w:t>
            </w:r>
          </w:p>
        </w:tc>
      </w:tr>
      <w:tr>
        <w:trPr>
          <w:trHeight w:val="142"/>
        </w:trPr>
        <w:tc>
          <w:tcPr>
            <w:tcW w:w="5640" w:type="dxa"/>
            <w:vAlign w:val="bottom"/>
            <w:gridSpan w:val="2"/>
          </w:tcPr>
          <w:p>
            <w:pPr>
              <w:jc w:val="center"/>
              <w:ind w:right="286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960" w:type="dxa"/>
            <w:vAlign w:val="bottom"/>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290"/>
        </w:trPr>
        <w:tc>
          <w:tcPr>
            <w:tcW w:w="5160" w:type="dxa"/>
            <w:vAlign w:val="bottom"/>
          </w:tcPr>
          <w:p>
            <w:pPr>
              <w:jc w:val="center"/>
              <w:ind w:left="2951"/>
              <w:spacing w:after="0"/>
              <w:rPr>
                <w:sz w:val="20"/>
                <w:szCs w:val="20"/>
                <w:color w:val="auto"/>
              </w:rPr>
            </w:pPr>
            <w:r>
              <w:rPr>
                <w:rFonts w:ascii="Times New Roman" w:cs="Times New Roman" w:eastAsia="Times New Roman" w:hAnsi="Times New Roman"/>
                <w:sz w:val="13"/>
                <w:szCs w:val="13"/>
                <w:b w:val="1"/>
                <w:bCs w:val="1"/>
                <w:color w:val="auto"/>
              </w:rPr>
              <w:t>(786) 297-9500</w:t>
            </w: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42"/>
        </w:trPr>
        <w:tc>
          <w:tcPr>
            <w:tcW w:w="5640" w:type="dxa"/>
            <w:vAlign w:val="bottom"/>
            <w:gridSpan w:val="2"/>
          </w:tcPr>
          <w:p>
            <w:pPr>
              <w:jc w:val="center"/>
              <w:ind w:left="2471"/>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 Including Area Code)</w:t>
            </w:r>
          </w:p>
        </w:tc>
        <w:tc>
          <w:tcPr>
            <w:tcW w:w="1960" w:type="dxa"/>
            <w:vAlign w:val="bottom"/>
          </w:tcPr>
          <w:p>
            <w:pPr>
              <w:spacing w:after="0"/>
              <w:rPr>
                <w:sz w:val="12"/>
                <w:szCs w:val="12"/>
                <w:color w:val="auto"/>
              </w:rPr>
            </w:pPr>
          </w:p>
        </w:tc>
      </w:tr>
    </w:tbl>
    <w:p>
      <w:pPr>
        <w:spacing w:after="0" w:line="17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49" w:lineRule="exact"/>
        <w:rPr>
          <w:sz w:val="24"/>
          <w:szCs w:val="24"/>
          <w:color w:val="auto"/>
        </w:rPr>
      </w:pPr>
    </w:p>
    <w:tbl>
      <w:tblPr>
        <w:tblLayout w:type="fixed"/>
        <w:tblInd w:w="420" w:type="dxa"/>
        <w:tblCellMar>
          <w:top w:w="0" w:type="dxa"/>
          <w:left w:w="0" w:type="dxa"/>
          <w:bottom w:w="0" w:type="dxa"/>
          <w:right w:w="0" w:type="dxa"/>
        </w:tblCellMar>
      </w:tblPr>
      <w:tr>
        <w:trPr>
          <w:trHeight w:val="157"/>
        </w:trPr>
        <w:tc>
          <w:tcPr>
            <w:tcW w:w="28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860" w:type="dxa"/>
            <w:vAlign w:val="bottom"/>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020" w:type="dxa"/>
            <w:vAlign w:val="bottom"/>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8"/>
        </w:trPr>
        <w:tc>
          <w:tcPr>
            <w:tcW w:w="28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3860" w:type="dxa"/>
            <w:vAlign w:val="bottom"/>
          </w:tcPr>
          <w:p>
            <w:pPr>
              <w:jc w:val="center"/>
              <w:ind w:left="214"/>
              <w:spacing w:after="0"/>
              <w:rPr>
                <w:sz w:val="20"/>
                <w:szCs w:val="20"/>
                <w:color w:val="auto"/>
              </w:rPr>
            </w:pPr>
            <w:r>
              <w:rPr>
                <w:rFonts w:ascii="Times New Roman" w:cs="Times New Roman" w:eastAsia="Times New Roman" w:hAnsi="Times New Roman"/>
                <w:sz w:val="13"/>
                <w:szCs w:val="13"/>
                <w:color w:val="auto"/>
                <w:w w:val="98"/>
              </w:rPr>
              <w:t>PFLT</w:t>
            </w:r>
          </w:p>
        </w:tc>
        <w:tc>
          <w:tcPr>
            <w:tcW w:w="3020" w:type="dxa"/>
            <w:vAlign w:val="bottom"/>
          </w:tcPr>
          <w:p>
            <w:pPr>
              <w:jc w:val="center"/>
              <w:ind w:left="374"/>
              <w:spacing w:after="0"/>
              <w:rPr>
                <w:sz w:val="20"/>
                <w:szCs w:val="20"/>
                <w:color w:val="auto"/>
              </w:rPr>
            </w:pPr>
            <w:r>
              <w:rPr>
                <w:rFonts w:ascii="Times New Roman" w:cs="Times New Roman" w:eastAsia="Times New Roman" w:hAnsi="Times New Roman"/>
                <w:sz w:val="13"/>
                <w:szCs w:val="13"/>
                <w:color w:val="auto"/>
              </w:rPr>
              <w:t>T</w:t>
            </w:r>
            <w:r>
              <w:rPr>
                <w:rFonts w:ascii="Times New Roman" w:cs="Times New Roman" w:eastAsia="Times New Roman" w:hAnsi="Times New Roman"/>
                <w:sz w:val="14"/>
                <w:szCs w:val="14"/>
                <w:color w:val="auto"/>
              </w:rPr>
              <w:t>he New York Stock Exchange</w:t>
            </w:r>
          </w:p>
        </w:tc>
      </w:tr>
      <w:tr>
        <w:trPr>
          <w:trHeight w:val="272"/>
        </w:trPr>
        <w:tc>
          <w:tcPr>
            <w:tcW w:w="2800" w:type="dxa"/>
            <w:vAlign w:val="bottom"/>
          </w:tcPr>
          <w:p>
            <w:pPr>
              <w:spacing w:after="0"/>
              <w:rPr>
                <w:sz w:val="23"/>
                <w:szCs w:val="23"/>
                <w:color w:val="auto"/>
              </w:rPr>
            </w:pPr>
          </w:p>
        </w:tc>
        <w:tc>
          <w:tcPr>
            <w:tcW w:w="3860" w:type="dxa"/>
            <w:vAlign w:val="bottom"/>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3020" w:type="dxa"/>
            <w:vAlign w:val="bottom"/>
          </w:tcPr>
          <w:p>
            <w:pPr>
              <w:spacing w:after="0"/>
              <w:rPr>
                <w:sz w:val="23"/>
                <w:szCs w:val="23"/>
                <w:color w:val="auto"/>
              </w:rPr>
            </w:pPr>
          </w:p>
        </w:tc>
      </w:tr>
      <w:tr>
        <w:trPr>
          <w:trHeight w:val="228"/>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 Yes</w:t>
            </w:r>
          </w:p>
        </w:tc>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  .</w:t>
            </w:r>
          </w:p>
        </w:tc>
      </w:tr>
      <w:tr>
        <w:trPr>
          <w:trHeight w:val="228"/>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 Yes</w:t>
            </w:r>
          </w:p>
        </w:tc>
        <w:tc>
          <w:tcPr>
            <w:tcW w:w="3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  .</w:t>
            </w:r>
          </w:p>
        </w:tc>
      </w:tr>
    </w:tbl>
    <w:p>
      <w:pPr>
        <w:spacing w:after="0" w:line="56" w:lineRule="exact"/>
        <w:rPr>
          <w:sz w:val="24"/>
          <w:szCs w:val="24"/>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p>
    <w:p>
      <w:pPr>
        <w:spacing w:after="0" w:line="28" w:lineRule="exact"/>
        <w:rPr>
          <w:sz w:val="24"/>
          <w:szCs w:val="24"/>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 .</w:t>
      </w:r>
    </w:p>
    <w:p>
      <w:pPr>
        <w:spacing w:after="0" w:line="28" w:lineRule="exact"/>
        <w:rPr>
          <w:sz w:val="24"/>
          <w:szCs w:val="24"/>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20"/>
          </w:cols>
          <w:pgMar w:left="660" w:top="1068" w:right="720" w:bottom="1440" w:gutter="0" w:footer="0" w:header="0"/>
        </w:sectPr>
      </w:pPr>
    </w:p>
    <w:p>
      <w:pPr>
        <w:spacing w:after="0" w:line="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91" w:lineRule="exact"/>
        <w:rPr>
          <w:sz w:val="24"/>
          <w:szCs w:val="24"/>
          <w:color w:val="auto"/>
        </w:rPr>
      </w:pPr>
    </w:p>
    <w:p>
      <w:pPr>
        <w:sectPr>
          <w:pgSz w:w="11900" w:h="16840" w:orient="portrait"/>
          <w:cols w:equalWidth="0" w:num="2">
            <w:col w:w="5860" w:space="720"/>
            <w:col w:w="3940"/>
          </w:cols>
          <w:pgMar w:left="660" w:top="1068" w:right="72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91" w:lineRule="exact"/>
        <w:rPr>
          <w:sz w:val="24"/>
          <w:szCs w:val="24"/>
          <w:color w:val="auto"/>
        </w:rPr>
      </w:pPr>
    </w:p>
    <w:p>
      <w:pPr>
        <w:sectPr>
          <w:pgSz w:w="11900" w:h="16840" w:orient="portrait"/>
          <w:cols w:equalWidth="0" w:num="2">
            <w:col w:w="5860" w:space="720"/>
            <w:col w:w="3940"/>
          </w:cols>
          <w:pgMar w:left="660" w:top="1068" w:right="72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color w:val="auto"/>
        </w:rPr>
        <w:t>Emerging growth company</w:t>
      </w:r>
    </w:p>
    <w:p>
      <w:pPr>
        <w:sectPr>
          <w:pgSz w:w="11900" w:h="16840" w:orient="portrait"/>
          <w:cols w:equalWidth="0" w:num="1">
            <w:col w:w="10520"/>
          </w:cols>
          <w:pgMar w:left="660" w:top="1068" w:right="720" w:bottom="1440" w:gutter="0" w:footer="0" w:header="0"/>
          <w:type w:val="continuous"/>
        </w:sectPr>
      </w:pPr>
    </w:p>
    <w:p>
      <w:pPr>
        <w:spacing w:after="0" w:line="211" w:lineRule="exact"/>
        <w:rPr>
          <w:sz w:val="24"/>
          <w:szCs w:val="24"/>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4" w:lineRule="exact"/>
        <w:rPr>
          <w:sz w:val="24"/>
          <w:szCs w:val="24"/>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64" w:lineRule="exact"/>
        <w:rPr>
          <w:sz w:val="24"/>
          <w:szCs w:val="24"/>
          <w:color w:val="auto"/>
        </w:rPr>
      </w:pPr>
    </w:p>
    <w:p>
      <w:pPr>
        <w:jc w:val="both"/>
        <w:ind w:right="40" w:firstLine="420"/>
        <w:spacing w:after="0" w:line="286" w:lineRule="auto"/>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6" w:lineRule="exact"/>
        <w:rPr>
          <w:sz w:val="24"/>
          <w:szCs w:val="24"/>
          <w:color w:val="auto"/>
        </w:rPr>
      </w:pPr>
    </w:p>
    <w:p>
      <w:pPr>
        <w:jc w:val="both"/>
        <w:ind w:right="4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6" w:lineRule="exact"/>
        <w:rPr>
          <w:sz w:val="24"/>
          <w:szCs w:val="24"/>
          <w:color w:val="auto"/>
        </w:rPr>
      </w:pPr>
    </w:p>
    <w:p>
      <w:pPr>
        <w:ind w:left="420"/>
        <w:spacing w:after="0"/>
        <w:tabs>
          <w:tab w:leader="none" w:pos="6880" w:val="left"/>
          <w:tab w:leader="none" w:pos="71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 Yes</w:t>
      </w:r>
      <w:r>
        <w:rPr>
          <w:sz w:val="20"/>
          <w:szCs w:val="20"/>
          <w:color w:val="auto"/>
        </w:rPr>
        <w:tab/>
      </w:r>
      <w:r>
        <w:rPr>
          <w:rFonts w:ascii="Times New Roman" w:cs="Times New Roman" w:eastAsia="Times New Roman" w:hAnsi="Times New Roman"/>
          <w:sz w:val="13"/>
          <w:szCs w:val="13"/>
          <w:color w:val="auto"/>
        </w:rPr>
        <w:t>No</w:t>
        <w:tab/>
        <w:t>.</w:t>
      </w:r>
    </w:p>
    <w:p>
      <w:pPr>
        <w:spacing w:after="0" w:line="79" w:lineRule="exact"/>
        <w:rPr>
          <w:sz w:val="24"/>
          <w:szCs w:val="24"/>
          <w:color w:val="auto"/>
        </w:rPr>
      </w:pPr>
    </w:p>
    <w:p>
      <w:pPr>
        <w:jc w:val="both"/>
        <w:ind w:right="60" w:firstLine="420"/>
        <w:spacing w:after="0" w:line="268" w:lineRule="auto"/>
        <w:rPr>
          <w:sz w:val="20"/>
          <w:szCs w:val="20"/>
          <w:color w:val="auto"/>
        </w:rPr>
      </w:pPr>
      <w:r>
        <w:rPr>
          <w:rFonts w:ascii="Times New Roman" w:cs="Times New Roman" w:eastAsia="Times New Roman" w:hAnsi="Times New Roman"/>
          <w:sz w:val="13"/>
          <w:szCs w:val="13"/>
          <w:color w:val="auto"/>
        </w:rPr>
        <w:t>The aggregate market value of common stock held by non- affiliates of the Registrant on March 31, 2024 based on the closing price on that date of $11.38 on The New York Stock Exchange was approximately $710.2 million. For the purposes of calculating the aggregate market value of common stock held by non-affiliates, all directors and executive officers of the Registrant have been treated as affiliates. There were 83,229,896 shares of the Registrant’s common stock outstanding as of November 25, 2024.</w:t>
      </w:r>
    </w:p>
    <w:p>
      <w:pPr>
        <w:spacing w:after="0" w:line="39" w:lineRule="exact"/>
        <w:rPr>
          <w:sz w:val="24"/>
          <w:szCs w:val="24"/>
          <w:color w:val="auto"/>
        </w:rPr>
      </w:pPr>
    </w:p>
    <w:p>
      <w:pPr>
        <w:jc w:val="both"/>
        <w:ind w:right="60" w:firstLine="420"/>
        <w:spacing w:after="0" w:line="286" w:lineRule="auto"/>
        <w:rPr>
          <w:sz w:val="20"/>
          <w:szCs w:val="20"/>
          <w:color w:val="auto"/>
        </w:rPr>
      </w:pPr>
      <w:r>
        <w:rPr>
          <w:rFonts w:ascii="Times New Roman" w:cs="Times New Roman" w:eastAsia="Times New Roman" w:hAnsi="Times New Roman"/>
          <w:sz w:val="13"/>
          <w:szCs w:val="13"/>
          <w:color w:val="auto"/>
        </w:rPr>
        <w:t>Documents Incorporated by Reference: Portions of the Registrant’s Proxy Statement relating to the Registrant’s 2025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668020</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068" w:right="72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80" w:type="dxa"/>
            <w:vAlign w:val="bottom"/>
            <w:gridSpan w:val="13"/>
          </w:tcPr>
          <w:p>
            <w:pPr>
              <w:jc w:val="center"/>
              <w:ind w:right="126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0" w:type="dxa"/>
            <w:vAlign w:val="bottom"/>
            <w:gridSpan w:val="8"/>
          </w:tcPr>
          <w:p>
            <w:pPr>
              <w:jc w:val="center"/>
              <w:ind w:right="2960"/>
              <w:spacing w:after="0"/>
              <w:rPr>
                <w:sz w:val="20"/>
                <w:szCs w:val="20"/>
                <w:color w:val="auto"/>
              </w:rPr>
            </w:pPr>
            <w:r>
              <w:rPr>
                <w:rFonts w:ascii="Times New Roman" w:cs="Times New Roman" w:eastAsia="Times New Roman" w:hAnsi="Times New Roman"/>
                <w:sz w:val="13"/>
                <w:szCs w:val="13"/>
                <w:b w:val="1"/>
                <w:bCs w:val="1"/>
                <w:color w:val="auto"/>
              </w:rPr>
              <w:t>FORM 10-K</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80" w:type="dxa"/>
            <w:vAlign w:val="bottom"/>
            <w:gridSpan w:val="13"/>
          </w:tcPr>
          <w:p>
            <w:pPr>
              <w:jc w:val="center"/>
              <w:ind w:right="1260"/>
              <w:spacing w:after="0"/>
              <w:rPr>
                <w:sz w:val="20"/>
                <w:szCs w:val="20"/>
                <w:color w:val="auto"/>
              </w:rPr>
            </w:pPr>
            <w:r>
              <w:rPr>
                <w:rFonts w:ascii="Times New Roman" w:cs="Times New Roman" w:eastAsia="Times New Roman" w:hAnsi="Times New Roman"/>
                <w:sz w:val="13"/>
                <w:szCs w:val="13"/>
                <w:b w:val="1"/>
                <w:bCs w:val="1"/>
                <w:color w:val="auto"/>
              </w:rPr>
              <w:t>FOR THE FISCAL YEAR ENDED SEPTEMBER 30, 2024</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gridSpan w:val="9"/>
          </w:tcPr>
          <w:p>
            <w:pPr>
              <w:jc w:val="center"/>
              <w:ind w:right="24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6"/>
          </w:tcPr>
          <w:p>
            <w:pPr>
              <w:jc w:val="center"/>
              <w:ind w:right="3020"/>
              <w:spacing w:after="0"/>
              <w:rPr>
                <w:rFonts w:ascii="Times New Roman" w:cs="Times New Roman" w:eastAsia="Times New Roman" w:hAnsi="Times New Roman"/>
                <w:sz w:val="13"/>
                <w:szCs w:val="13"/>
                <w:b w:val="1"/>
                <w:bCs w:val="1"/>
                <w:color w:val="0000FF"/>
              </w:rPr>
            </w:pPr>
            <w:hyperlink w:anchor="page3">
              <w:r>
                <w:rPr>
                  <w:rFonts w:ascii="Times New Roman" w:cs="Times New Roman" w:eastAsia="Times New Roman" w:hAnsi="Times New Roman"/>
                  <w:sz w:val="13"/>
                  <w:szCs w:val="13"/>
                  <w:b w:val="1"/>
                  <w:bCs w:val="1"/>
                  <w:color w:val="0000FF"/>
                </w:rPr>
                <w:t>PART I</w:t>
              </w:r>
            </w:hyperlink>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0000FF"/>
            </w:tcBorders>
          </w:tcPr>
          <w:p>
            <w:pPr>
              <w:spacing w:after="0"/>
              <w:rPr>
                <w:rFonts w:ascii="Times New Roman" w:cs="Times New Roman" w:eastAsia="Times New Roman" w:hAnsi="Times New Roman"/>
                <w:sz w:val="13"/>
                <w:szCs w:val="13"/>
                <w:color w:val="0000FF"/>
                <w:w w:val="95"/>
              </w:rPr>
            </w:pPr>
            <w:hyperlink w:anchor="page4">
              <w:r>
                <w:rPr>
                  <w:rFonts w:ascii="Times New Roman" w:cs="Times New Roman" w:eastAsia="Times New Roman" w:hAnsi="Times New Roman"/>
                  <w:sz w:val="13"/>
                  <w:szCs w:val="13"/>
                  <w:color w:val="0000FF"/>
                  <w:w w:val="95"/>
                </w:rPr>
                <w:t>Business</w:t>
              </w:r>
            </w:hyperlink>
          </w:p>
        </w:tc>
        <w:tc>
          <w:tcPr>
            <w:tcW w:w="3840" w:type="dxa"/>
            <w:vAlign w:val="bottom"/>
            <w:gridSpan w:val="19"/>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020" w:type="dxa"/>
            <w:vAlign w:val="bottom"/>
            <w:gridSpan w:val="4"/>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1A.</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7"/>
              </w:rPr>
            </w:pPr>
            <w:hyperlink w:anchor="page20">
              <w:r>
                <w:rPr>
                  <w:rFonts w:ascii="Times New Roman" w:cs="Times New Roman" w:eastAsia="Times New Roman" w:hAnsi="Times New Roman"/>
                  <w:sz w:val="13"/>
                  <w:szCs w:val="13"/>
                  <w:color w:val="0000FF"/>
                  <w:w w:val="97"/>
                </w:rPr>
                <w:t>Risk Factors</w:t>
              </w:r>
            </w:hyperlink>
          </w:p>
        </w:tc>
        <w:tc>
          <w:tcPr>
            <w:tcW w:w="7120" w:type="dxa"/>
            <w:vAlign w:val="bottom"/>
            <w:gridSpan w:val="22"/>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1B.</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Borders>
              <w:bottom w:val="single" w:sz="8" w:color="0000FF"/>
            </w:tcBorders>
            <w:gridSpan w:val="10"/>
          </w:tcPr>
          <w:p>
            <w:pPr>
              <w:spacing w:after="0"/>
              <w:rPr>
                <w:rFonts w:ascii="Times New Roman" w:cs="Times New Roman" w:eastAsia="Times New Roman" w:hAnsi="Times New Roman"/>
                <w:sz w:val="13"/>
                <w:szCs w:val="13"/>
                <w:color w:val="0000FF"/>
                <w:w w:val="99"/>
              </w:rPr>
            </w:pPr>
            <w:hyperlink w:anchor="page41">
              <w:r>
                <w:rPr>
                  <w:rFonts w:ascii="Times New Roman" w:cs="Times New Roman" w:eastAsia="Times New Roman" w:hAnsi="Times New Roman"/>
                  <w:sz w:val="13"/>
                  <w:szCs w:val="13"/>
                  <w:color w:val="0000FF"/>
                  <w:w w:val="99"/>
                </w:rPr>
                <w:t>Unresolved Staff Comments</w:t>
              </w:r>
            </w:hyperlink>
          </w:p>
        </w:tc>
        <w:tc>
          <w:tcPr>
            <w:tcW w:w="6280" w:type="dxa"/>
            <w:vAlign w:val="bottom"/>
            <w:gridSpan w:val="15"/>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1C.</w:t>
            </w:r>
          </w:p>
        </w:tc>
        <w:tc>
          <w:tcPr>
            <w:tcW w:w="7980" w:type="dxa"/>
            <w:vAlign w:val="bottom"/>
            <w:gridSpan w:val="27"/>
          </w:tcPr>
          <w:p>
            <w:pPr>
              <w:ind w:left="180"/>
              <w:spacing w:after="0"/>
              <w:rPr>
                <w:rFonts w:ascii="Times New Roman" w:cs="Times New Roman" w:eastAsia="Times New Roman" w:hAnsi="Times New Roman"/>
                <w:sz w:val="13"/>
                <w:szCs w:val="13"/>
                <w:color w:val="0000FF"/>
              </w:rPr>
            </w:pPr>
            <w:hyperlink w:anchor="page41">
              <w:r>
                <w:rPr>
                  <w:rFonts w:ascii="Times New Roman" w:cs="Times New Roman" w:eastAsia="Times New Roman" w:hAnsi="Times New Roman"/>
                  <w:sz w:val="13"/>
                  <w:szCs w:val="13"/>
                  <w:color w:val="0000FF"/>
                </w:rPr>
                <w:t>Cybersecurity</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2.</w:t>
            </w: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3"/>
                <w:szCs w:val="13"/>
                <w:color w:val="0000FF"/>
                <w:w w:val="98"/>
              </w:rPr>
            </w:pPr>
            <w:hyperlink w:anchor="page41">
              <w:r>
                <w:rPr>
                  <w:rFonts w:ascii="Times New Roman" w:cs="Times New Roman" w:eastAsia="Times New Roman" w:hAnsi="Times New Roman"/>
                  <w:sz w:val="13"/>
                  <w:szCs w:val="13"/>
                  <w:color w:val="0000FF"/>
                  <w:w w:val="98"/>
                </w:rPr>
                <w:t>Properties</w:t>
              </w:r>
            </w:hyperlink>
          </w:p>
        </w:tc>
        <w:tc>
          <w:tcPr>
            <w:tcW w:w="180" w:type="dxa"/>
            <w:vAlign w:val="bottom"/>
            <w:tcBorders>
              <w:top w:val="single" w:sz="8" w:color="0000FF"/>
            </w:tcBorders>
            <w:gridSpan w:val="2"/>
          </w:tcPr>
          <w:p>
            <w:pPr>
              <w:spacing w:after="0"/>
              <w:rPr>
                <w:sz w:val="24"/>
                <w:szCs w:val="24"/>
                <w:color w:val="auto"/>
              </w:rPr>
            </w:pPr>
          </w:p>
        </w:tc>
        <w:tc>
          <w:tcPr>
            <w:tcW w:w="7060" w:type="dxa"/>
            <w:vAlign w:val="bottom"/>
            <w:gridSpan w:val="21"/>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0000FF"/>
            </w:tcBorders>
            <w:gridSpan w:val="6"/>
          </w:tcPr>
          <w:p>
            <w:pPr>
              <w:spacing w:after="0"/>
              <w:rPr>
                <w:rFonts w:ascii="Times New Roman" w:cs="Times New Roman" w:eastAsia="Times New Roman" w:hAnsi="Times New Roman"/>
                <w:sz w:val="13"/>
                <w:szCs w:val="13"/>
                <w:color w:val="0000FF"/>
                <w:w w:val="99"/>
              </w:rPr>
            </w:pPr>
            <w:hyperlink w:anchor="page41">
              <w:r>
                <w:rPr>
                  <w:rFonts w:ascii="Times New Roman" w:cs="Times New Roman" w:eastAsia="Times New Roman" w:hAnsi="Times New Roman"/>
                  <w:sz w:val="13"/>
                  <w:szCs w:val="13"/>
                  <w:color w:val="0000FF"/>
                  <w:w w:val="99"/>
                </w:rPr>
                <w:t>Legal Proceedings</w:t>
              </w:r>
            </w:hyperlink>
          </w:p>
        </w:tc>
        <w:tc>
          <w:tcPr>
            <w:tcW w:w="6800" w:type="dxa"/>
            <w:vAlign w:val="bottom"/>
            <w:gridSpan w:val="19"/>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gridSpan w:val="25"/>
          </w:tcPr>
          <w:p>
            <w:pPr>
              <w:spacing w:after="0"/>
              <w:rPr>
                <w:rFonts w:ascii="Times New Roman" w:cs="Times New Roman" w:eastAsia="Times New Roman" w:hAnsi="Times New Roman"/>
                <w:sz w:val="13"/>
                <w:szCs w:val="13"/>
                <w:color w:val="0000FF"/>
              </w:rPr>
            </w:pPr>
            <w:hyperlink w:anchor="page41">
              <w:r>
                <w:rPr>
                  <w:rFonts w:ascii="Times New Roman" w:cs="Times New Roman" w:eastAsia="Times New Roman" w:hAnsi="Times New Roman"/>
                  <w:sz w:val="13"/>
                  <w:szCs w:val="13"/>
                  <w:color w:val="0000FF"/>
                </w:rPr>
                <w:t>Mine Safety Disclosures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0" w:type="dxa"/>
            <w:vAlign w:val="bottom"/>
          </w:tcPr>
          <w:p>
            <w:pPr>
              <w:spacing w:after="0"/>
              <w:rPr>
                <w:sz w:val="1"/>
                <w:szCs w:val="1"/>
                <w:color w:val="auto"/>
              </w:rPr>
            </w:pPr>
          </w:p>
        </w:tc>
      </w:tr>
      <w:tr>
        <w:trPr>
          <w:trHeight w:val="292"/>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6"/>
          </w:tcPr>
          <w:p>
            <w:pPr>
              <w:jc w:val="center"/>
              <w:ind w:right="3020"/>
              <w:spacing w:after="0"/>
              <w:rPr>
                <w:rFonts w:ascii="Times New Roman" w:cs="Times New Roman" w:eastAsia="Times New Roman" w:hAnsi="Times New Roman"/>
                <w:sz w:val="13"/>
                <w:szCs w:val="13"/>
                <w:b w:val="1"/>
                <w:bCs w:val="1"/>
                <w:color w:val="0000FF"/>
                <w:w w:val="98"/>
              </w:rPr>
            </w:pPr>
            <w:hyperlink w:anchor="page42">
              <w:r>
                <w:rPr>
                  <w:rFonts w:ascii="Times New Roman" w:cs="Times New Roman" w:eastAsia="Times New Roman" w:hAnsi="Times New Roman"/>
                  <w:sz w:val="13"/>
                  <w:szCs w:val="13"/>
                  <w:b w:val="1"/>
                  <w:bCs w:val="1"/>
                  <w:color w:val="0000FF"/>
                  <w:w w:val="98"/>
                </w:rPr>
                <w:t>PART II</w:t>
              </w:r>
            </w:hyperlink>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Item 5.</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40</w:t>
            </w:r>
          </w:p>
        </w:tc>
        <w:tc>
          <w:tcPr>
            <w:tcW w:w="0" w:type="dxa"/>
            <w:vAlign w:val="bottom"/>
          </w:tcPr>
          <w:p>
            <w:pPr>
              <w:spacing w:after="0" w:line="20" w:lineRule="exact"/>
              <w:rPr>
                <w:sz w:val="1"/>
                <w:szCs w:val="1"/>
                <w:color w:val="auto"/>
              </w:rPr>
            </w:pPr>
          </w:p>
        </w:tc>
      </w:tr>
      <w:tr>
        <w:trPr>
          <w:trHeight w:val="292"/>
        </w:trPr>
        <w:tc>
          <w:tcPr>
            <w:tcW w:w="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rPr>
            </w:pPr>
            <w:hyperlink w:anchor="page42">
              <w:r>
                <w:rPr>
                  <w:rFonts w:ascii="Times New Roman" w:cs="Times New Roman" w:eastAsia="Times New Roman" w:hAnsi="Times New Roman"/>
                  <w:sz w:val="13"/>
                  <w:szCs w:val="13"/>
                  <w:color w:val="0000FF"/>
                </w:rPr>
                <w:t>Market For Registrant’s Common Equity, Related Stockholder Matters and Issuer Purchases of Equity Securities</w:t>
              </w:r>
            </w:hyperlink>
          </w:p>
        </w:tc>
        <w:tc>
          <w:tcPr>
            <w:tcW w:w="18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gridSpan w:val="25"/>
          </w:tcPr>
          <w:p>
            <w:pPr>
              <w:spacing w:after="0"/>
              <w:rPr>
                <w:rFonts w:ascii="Times New Roman" w:cs="Times New Roman" w:eastAsia="Times New Roman" w:hAnsi="Times New Roman"/>
                <w:sz w:val="13"/>
                <w:szCs w:val="13"/>
                <w:color w:val="0000FF"/>
              </w:rPr>
            </w:pPr>
            <w:hyperlink w:anchor="page44">
              <w:r>
                <w:rPr>
                  <w:rFonts w:ascii="Times New Roman" w:cs="Times New Roman" w:eastAsia="Times New Roman" w:hAnsi="Times New Roman"/>
                  <w:sz w:val="13"/>
                  <w:szCs w:val="13"/>
                  <w:color w:val="0000FF"/>
                </w:rPr>
                <w:t>Selected Financial Data</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0" w:type="dxa"/>
            <w:vAlign w:val="bottom"/>
          </w:tcPr>
          <w:p>
            <w:pPr>
              <w:spacing w:after="0"/>
              <w:rPr>
                <w:sz w:val="1"/>
                <w:szCs w:val="1"/>
                <w:color w:val="auto"/>
              </w:rPr>
            </w:pPr>
          </w:p>
        </w:tc>
      </w:tr>
      <w:tr>
        <w:trPr>
          <w:trHeight w:val="20"/>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Item 7.</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43</w:t>
            </w:r>
          </w:p>
        </w:tc>
        <w:tc>
          <w:tcPr>
            <w:tcW w:w="0" w:type="dxa"/>
            <w:vAlign w:val="bottom"/>
          </w:tcPr>
          <w:p>
            <w:pPr>
              <w:spacing w:after="0" w:line="20" w:lineRule="exact"/>
              <w:rPr>
                <w:sz w:val="1"/>
                <w:szCs w:val="1"/>
                <w:color w:val="auto"/>
              </w:rPr>
            </w:pPr>
          </w:p>
        </w:tc>
      </w:tr>
      <w:tr>
        <w:trPr>
          <w:trHeight w:val="292"/>
        </w:trPr>
        <w:tc>
          <w:tcPr>
            <w:tcW w:w="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w:anchor="page45">
              <w:r>
                <w:rPr>
                  <w:rFonts w:ascii="Times New Roman" w:cs="Times New Roman" w:eastAsia="Times New Roman" w:hAnsi="Times New Roman"/>
                  <w:sz w:val="13"/>
                  <w:szCs w:val="13"/>
                  <w:color w:val="0000FF"/>
                </w:rPr>
                <w:t>Management’s Discussion and Analysis of Financial Condition and Results of Operations</w:t>
              </w:r>
            </w:hyperlink>
          </w:p>
        </w:tc>
        <w:tc>
          <w:tcPr>
            <w:tcW w:w="3020" w:type="dxa"/>
            <w:vAlign w:val="bottom"/>
            <w:gridSpan w:val="4"/>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7A.</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gridSpan w:val="25"/>
          </w:tcPr>
          <w:p>
            <w:pPr>
              <w:spacing w:after="0"/>
              <w:rPr>
                <w:rFonts w:ascii="Times New Roman" w:cs="Times New Roman" w:eastAsia="Times New Roman" w:hAnsi="Times New Roman"/>
                <w:sz w:val="13"/>
                <w:szCs w:val="13"/>
                <w:color w:val="0000FF"/>
              </w:rPr>
            </w:pPr>
            <w:hyperlink w:anchor="page62">
              <w:r>
                <w:rPr>
                  <w:rFonts w:ascii="Times New Roman" w:cs="Times New Roman" w:eastAsia="Times New Roman" w:hAnsi="Times New Roman"/>
                  <w:sz w:val="13"/>
                  <w:szCs w:val="13"/>
                  <w:color w:val="0000FF"/>
                </w:rPr>
                <w:t>Quantitative and Qualitative Disclosures About Market Risk</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3"/>
                <w:szCs w:val="13"/>
                <w:color w:val="0000FF"/>
              </w:rPr>
            </w:pPr>
            <w:hyperlink w:anchor="page63">
              <w:r>
                <w:rPr>
                  <w:rFonts w:ascii="Times New Roman" w:cs="Times New Roman" w:eastAsia="Times New Roman" w:hAnsi="Times New Roman"/>
                  <w:sz w:val="13"/>
                  <w:szCs w:val="13"/>
                  <w:color w:val="0000FF"/>
                </w:rPr>
                <w:t>Consolidated Financial Statements and Supplementary Data</w:t>
              </w:r>
            </w:hyperlink>
          </w:p>
        </w:tc>
        <w:tc>
          <w:tcPr>
            <w:tcW w:w="20" w:type="dxa"/>
            <w:vAlign w:val="bottom"/>
            <w:tcBorders>
              <w:top w:val="single" w:sz="8" w:color="0000FF"/>
            </w:tcBorders>
          </w:tcPr>
          <w:p>
            <w:pPr>
              <w:spacing w:after="0"/>
              <w:rPr>
                <w:sz w:val="24"/>
                <w:szCs w:val="24"/>
                <w:color w:val="auto"/>
              </w:rPr>
            </w:pPr>
          </w:p>
        </w:tc>
        <w:tc>
          <w:tcPr>
            <w:tcW w:w="4600" w:type="dxa"/>
            <w:vAlign w:val="bottom"/>
            <w:gridSpan w:val="10"/>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0" w:type="dxa"/>
            <w:vAlign w:val="bottom"/>
          </w:tcPr>
          <w:p>
            <w:pPr>
              <w:spacing w:after="0"/>
              <w:rPr>
                <w:sz w:val="1"/>
                <w:szCs w:val="1"/>
                <w:color w:val="auto"/>
              </w:rPr>
            </w:pPr>
          </w:p>
        </w:tc>
      </w:tr>
      <w:tr>
        <w:trPr>
          <w:trHeight w:val="328"/>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w:anchor="page108">
              <w:r>
                <w:rPr>
                  <w:rFonts w:ascii="Times New Roman" w:cs="Times New Roman" w:eastAsia="Times New Roman" w:hAnsi="Times New Roman"/>
                  <w:sz w:val="13"/>
                  <w:szCs w:val="13"/>
                  <w:color w:val="0000FF"/>
                </w:rPr>
                <w:t>Changes in and Disagreements with Accountants on Accounting and Financial Disclosure</w:t>
              </w:r>
            </w:hyperlink>
          </w:p>
        </w:tc>
        <w:tc>
          <w:tcPr>
            <w:tcW w:w="3020" w:type="dxa"/>
            <w:vAlign w:val="bottom"/>
            <w:gridSpan w:val="4"/>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9A.</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gridSpan w:val="25"/>
          </w:tcPr>
          <w:p>
            <w:pPr>
              <w:spacing w:after="0"/>
              <w:rPr>
                <w:rFonts w:ascii="Times New Roman" w:cs="Times New Roman" w:eastAsia="Times New Roman" w:hAnsi="Times New Roman"/>
                <w:sz w:val="13"/>
                <w:szCs w:val="13"/>
                <w:color w:val="0000FF"/>
              </w:rPr>
            </w:pPr>
            <w:hyperlink w:anchor="page108">
              <w:r>
                <w:rPr>
                  <w:rFonts w:ascii="Times New Roman" w:cs="Times New Roman" w:eastAsia="Times New Roman" w:hAnsi="Times New Roman"/>
                  <w:sz w:val="13"/>
                  <w:szCs w:val="13"/>
                  <w:color w:val="0000FF"/>
                </w:rPr>
                <w:t>Controls and Procedures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9B.</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3"/>
                <w:szCs w:val="13"/>
                <w:color w:val="0000FF"/>
                <w:w w:val="98"/>
              </w:rPr>
            </w:pPr>
            <w:hyperlink w:anchor="page108">
              <w:r>
                <w:rPr>
                  <w:rFonts w:ascii="Times New Roman" w:cs="Times New Roman" w:eastAsia="Times New Roman" w:hAnsi="Times New Roman"/>
                  <w:sz w:val="13"/>
                  <w:szCs w:val="13"/>
                  <w:color w:val="0000FF"/>
                  <w:w w:val="98"/>
                </w:rPr>
                <w:t>Other Information</w:t>
              </w:r>
            </w:hyperlink>
          </w:p>
        </w:tc>
        <w:tc>
          <w:tcPr>
            <w:tcW w:w="320" w:type="dxa"/>
            <w:vAlign w:val="bottom"/>
            <w:tcBorders>
              <w:top w:val="single" w:sz="8" w:color="0000FF"/>
            </w:tcBorders>
            <w:gridSpan w:val="3"/>
          </w:tcPr>
          <w:p>
            <w:pPr>
              <w:spacing w:after="0"/>
              <w:rPr>
                <w:sz w:val="24"/>
                <w:szCs w:val="24"/>
                <w:color w:val="auto"/>
              </w:rPr>
            </w:pPr>
          </w:p>
        </w:tc>
        <w:tc>
          <w:tcPr>
            <w:tcW w:w="6500" w:type="dxa"/>
            <w:vAlign w:val="bottom"/>
            <w:gridSpan w:val="17"/>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9C.</w:t>
            </w:r>
          </w:p>
        </w:tc>
        <w:tc>
          <w:tcPr>
            <w:tcW w:w="7980" w:type="dxa"/>
            <w:vAlign w:val="bottom"/>
            <w:gridSpan w:val="27"/>
          </w:tcPr>
          <w:p>
            <w:pPr>
              <w:ind w:left="180"/>
              <w:spacing w:after="0"/>
              <w:rPr>
                <w:rFonts w:ascii="Times New Roman" w:cs="Times New Roman" w:eastAsia="Times New Roman" w:hAnsi="Times New Roman"/>
                <w:sz w:val="13"/>
                <w:szCs w:val="13"/>
                <w:color w:val="0000FF"/>
              </w:rPr>
            </w:pPr>
            <w:hyperlink w:anchor="page108">
              <w:r>
                <w:rPr>
                  <w:rFonts w:ascii="Times New Roman" w:cs="Times New Roman" w:eastAsia="Times New Roman" w:hAnsi="Times New Roman"/>
                  <w:sz w:val="13"/>
                  <w:szCs w:val="13"/>
                  <w:color w:val="0000FF"/>
                </w:rPr>
                <w:t>Disclosure Regarding Foreign Jurisdiction that Prevent Inspections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136"/>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Item 10.</w:t>
            </w:r>
          </w:p>
        </w:tc>
        <w:tc>
          <w:tcPr>
            <w:tcW w:w="18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60" w:type="dxa"/>
            <w:vAlign w:val="bottom"/>
          </w:tcPr>
          <w:p>
            <w:pPr>
              <w:spacing w:after="0"/>
              <w:rPr>
                <w:sz w:val="11"/>
                <w:szCs w:val="11"/>
                <w:color w:val="auto"/>
              </w:rPr>
            </w:pPr>
          </w:p>
        </w:tc>
        <w:tc>
          <w:tcPr>
            <w:tcW w:w="3800" w:type="dxa"/>
            <w:vAlign w:val="bottom"/>
            <w:gridSpan w:val="8"/>
          </w:tcPr>
          <w:p>
            <w:pPr>
              <w:jc w:val="center"/>
              <w:ind w:right="2700"/>
              <w:spacing w:after="0" w:line="136" w:lineRule="exact"/>
              <w:rPr>
                <w:rFonts w:ascii="Times New Roman" w:cs="Times New Roman" w:eastAsia="Times New Roman" w:hAnsi="Times New Roman"/>
                <w:sz w:val="13"/>
                <w:szCs w:val="13"/>
                <w:b w:val="1"/>
                <w:bCs w:val="1"/>
                <w:color w:val="0000FF"/>
              </w:rPr>
            </w:pPr>
            <w:hyperlink w:anchor="page109">
              <w:r>
                <w:rPr>
                  <w:rFonts w:ascii="Times New Roman" w:cs="Times New Roman" w:eastAsia="Times New Roman" w:hAnsi="Times New Roman"/>
                  <w:sz w:val="13"/>
                  <w:szCs w:val="13"/>
                  <w:b w:val="1"/>
                  <w:bCs w:val="1"/>
                  <w:color w:val="0000FF"/>
                </w:rPr>
                <w:t>PART III</w:t>
              </w:r>
            </w:hyperlink>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c>
          <w:tcPr>
            <w:tcW w:w="0" w:type="dxa"/>
            <w:vAlign w:val="bottom"/>
          </w:tcPr>
          <w:p>
            <w:pPr>
              <w:spacing w:after="0"/>
              <w:rPr>
                <w:sz w:val="1"/>
                <w:szCs w:val="1"/>
                <w:color w:val="auto"/>
              </w:rPr>
            </w:pPr>
          </w:p>
        </w:tc>
      </w:tr>
      <w:tr>
        <w:trPr>
          <w:trHeight w:val="292"/>
        </w:trPr>
        <w:tc>
          <w:tcPr>
            <w:tcW w:w="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rPr>
            </w:pPr>
            <w:hyperlink w:anchor="page109">
              <w:r>
                <w:rPr>
                  <w:rFonts w:ascii="Times New Roman" w:cs="Times New Roman" w:eastAsia="Times New Roman" w:hAnsi="Times New Roman"/>
                  <w:sz w:val="13"/>
                  <w:szCs w:val="13"/>
                  <w:color w:val="0000FF"/>
                </w:rPr>
                <w:t>Directors, Executive Officers and Corporate Governance</w:t>
              </w:r>
            </w:hyperlink>
          </w:p>
        </w:tc>
        <w:tc>
          <w:tcPr>
            <w:tcW w:w="1260" w:type="dxa"/>
            <w:vAlign w:val="bottom"/>
            <w:gridSpan w:val="5"/>
          </w:tcPr>
          <w:p>
            <w:pPr>
              <w:spacing w:after="0"/>
              <w:rPr>
                <w:sz w:val="24"/>
                <w:szCs w:val="24"/>
                <w:color w:val="auto"/>
              </w:rPr>
            </w:pPr>
          </w:p>
        </w:tc>
        <w:tc>
          <w:tcPr>
            <w:tcW w:w="540" w:type="dxa"/>
            <w:vAlign w:val="bottom"/>
            <w:tcBorders>
              <w:top w:val="single" w:sz="8" w:color="0000FF"/>
            </w:tcBorders>
            <w:gridSpan w:val="4"/>
          </w:tcPr>
          <w:p>
            <w:pPr>
              <w:spacing w:after="0"/>
              <w:rPr>
                <w:sz w:val="24"/>
                <w:szCs w:val="24"/>
                <w:color w:val="auto"/>
              </w:rPr>
            </w:pPr>
          </w:p>
        </w:tc>
        <w:tc>
          <w:tcPr>
            <w:tcW w:w="2980" w:type="dxa"/>
            <w:vAlign w:val="bottom"/>
            <w:gridSpan w:val="3"/>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w w:val="99"/>
              </w:rPr>
            </w:pPr>
            <w:hyperlink w:anchor="page109">
              <w:r>
                <w:rPr>
                  <w:rFonts w:ascii="Times New Roman" w:cs="Times New Roman" w:eastAsia="Times New Roman" w:hAnsi="Times New Roman"/>
                  <w:sz w:val="13"/>
                  <w:szCs w:val="13"/>
                  <w:color w:val="0000FF"/>
                  <w:w w:val="99"/>
                </w:rPr>
                <w:t>Executive Compensation</w:t>
              </w:r>
            </w:hyperlink>
          </w:p>
        </w:tc>
        <w:tc>
          <w:tcPr>
            <w:tcW w:w="6460" w:type="dxa"/>
            <w:vAlign w:val="bottom"/>
            <w:gridSpan w:val="16"/>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23"/>
          </w:tcPr>
          <w:p>
            <w:pPr>
              <w:spacing w:after="0"/>
              <w:rPr>
                <w:rFonts w:ascii="Times New Roman" w:cs="Times New Roman" w:eastAsia="Times New Roman" w:hAnsi="Times New Roman"/>
                <w:sz w:val="13"/>
                <w:szCs w:val="13"/>
                <w:color w:val="0000FF"/>
              </w:rPr>
            </w:pPr>
            <w:hyperlink w:anchor="page109">
              <w:r>
                <w:rPr>
                  <w:rFonts w:ascii="Times New Roman" w:cs="Times New Roman" w:eastAsia="Times New Roman" w:hAnsi="Times New Roman"/>
                  <w:sz w:val="13"/>
                  <w:szCs w:val="13"/>
                  <w:color w:val="0000FF"/>
                </w:rPr>
                <w:t>Security Ownership of Certain Beneficial Owners and Management and Related Stockholder Matters</w:t>
              </w:r>
            </w:hyperlink>
          </w:p>
        </w:tc>
        <w:tc>
          <w:tcPr>
            <w:tcW w:w="2440" w:type="dxa"/>
            <w:vAlign w:val="bottom"/>
            <w:gridSpan w:val="2"/>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13.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gridSpan w:val="25"/>
          </w:tcPr>
          <w:p>
            <w:pPr>
              <w:spacing w:after="0"/>
              <w:rPr>
                <w:rFonts w:ascii="Times New Roman" w:cs="Times New Roman" w:eastAsia="Times New Roman" w:hAnsi="Times New Roman"/>
                <w:sz w:val="13"/>
                <w:szCs w:val="13"/>
                <w:color w:val="0000FF"/>
              </w:rPr>
            </w:pPr>
            <w:hyperlink w:anchor="page109">
              <w:r>
                <w:rPr>
                  <w:rFonts w:ascii="Times New Roman" w:cs="Times New Roman" w:eastAsia="Times New Roman" w:hAnsi="Times New Roman"/>
                  <w:sz w:val="13"/>
                  <w:szCs w:val="13"/>
                  <w:color w:val="0000FF"/>
                </w:rPr>
                <w:t>Certain Relationships and Related Transactions, and Director Independence</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14.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top w:val="single" w:sz="8" w:color="0000FF"/>
            </w:tcBorders>
            <w:gridSpan w:val="17"/>
          </w:tcPr>
          <w:p>
            <w:pPr>
              <w:spacing w:after="0"/>
              <w:rPr>
                <w:rFonts w:ascii="Times New Roman" w:cs="Times New Roman" w:eastAsia="Times New Roman" w:hAnsi="Times New Roman"/>
                <w:sz w:val="13"/>
                <w:szCs w:val="13"/>
                <w:color w:val="0000FF"/>
              </w:rPr>
            </w:pPr>
            <w:hyperlink w:anchor="page109">
              <w:r>
                <w:rPr>
                  <w:rFonts w:ascii="Times New Roman" w:cs="Times New Roman" w:eastAsia="Times New Roman" w:hAnsi="Times New Roman"/>
                  <w:sz w:val="13"/>
                  <w:szCs w:val="13"/>
                  <w:color w:val="0000FF"/>
                </w:rPr>
                <w:t>Principal Accountant Fees and Services</w:t>
              </w:r>
            </w:hyperlink>
          </w:p>
        </w:tc>
        <w:tc>
          <w:tcPr>
            <w:tcW w:w="3800" w:type="dxa"/>
            <w:vAlign w:val="bottom"/>
            <w:gridSpan w:val="8"/>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c>
          <w:tcPr>
            <w:tcW w:w="0" w:type="dxa"/>
            <w:vAlign w:val="bottom"/>
          </w:tcPr>
          <w:p>
            <w:pPr>
              <w:spacing w:after="0"/>
              <w:rPr>
                <w:sz w:val="1"/>
                <w:szCs w:val="1"/>
                <w:color w:val="auto"/>
              </w:rPr>
            </w:pPr>
          </w:p>
        </w:tc>
      </w:tr>
      <w:tr>
        <w:trPr>
          <w:trHeight w:val="292"/>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gridSpan w:val="8"/>
          </w:tcPr>
          <w:p>
            <w:pPr>
              <w:jc w:val="center"/>
              <w:ind w:right="2720"/>
              <w:spacing w:after="0"/>
              <w:rPr>
                <w:rFonts w:ascii="Times New Roman" w:cs="Times New Roman" w:eastAsia="Times New Roman" w:hAnsi="Times New Roman"/>
                <w:sz w:val="13"/>
                <w:szCs w:val="13"/>
                <w:b w:val="1"/>
                <w:bCs w:val="1"/>
                <w:color w:val="0000FF"/>
                <w:w w:val="97"/>
              </w:rPr>
            </w:pPr>
            <w:hyperlink w:anchor="page110">
              <w:r>
                <w:rPr>
                  <w:rFonts w:ascii="Times New Roman" w:cs="Times New Roman" w:eastAsia="Times New Roman" w:hAnsi="Times New Roman"/>
                  <w:sz w:val="13"/>
                  <w:szCs w:val="13"/>
                  <w:b w:val="1"/>
                  <w:bCs w:val="1"/>
                  <w:color w:val="0000FF"/>
                  <w:w w:val="97"/>
                </w:rPr>
                <w:t>PART IV</w:t>
              </w:r>
            </w:hyperlink>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15.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8"/>
          </w:tcPr>
          <w:p>
            <w:pPr>
              <w:spacing w:after="0"/>
              <w:rPr>
                <w:rFonts w:ascii="Times New Roman" w:cs="Times New Roman" w:eastAsia="Times New Roman" w:hAnsi="Times New Roman"/>
                <w:sz w:val="13"/>
                <w:szCs w:val="13"/>
                <w:color w:val="0000FF"/>
              </w:rPr>
            </w:pPr>
            <w:hyperlink w:anchor="page110">
              <w:r>
                <w:rPr>
                  <w:rFonts w:ascii="Times New Roman" w:cs="Times New Roman" w:eastAsia="Times New Roman" w:hAnsi="Times New Roman"/>
                  <w:sz w:val="13"/>
                  <w:szCs w:val="13"/>
                  <w:color w:val="0000FF"/>
                </w:rPr>
                <w:t>Exhibits and Financial Statement Schedules</w:t>
              </w:r>
            </w:hyperlink>
          </w:p>
        </w:tc>
        <w:tc>
          <w:tcPr>
            <w:tcW w:w="540" w:type="dxa"/>
            <w:vAlign w:val="bottom"/>
            <w:tcBorders>
              <w:top w:val="single" w:sz="8" w:color="0000FF"/>
            </w:tcBorders>
            <w:gridSpan w:val="4"/>
          </w:tcPr>
          <w:p>
            <w:pPr>
              <w:spacing w:after="0"/>
              <w:rPr>
                <w:sz w:val="24"/>
                <w:szCs w:val="24"/>
                <w:color w:val="auto"/>
              </w:rPr>
            </w:pPr>
          </w:p>
        </w:tc>
        <w:tc>
          <w:tcPr>
            <w:tcW w:w="2980" w:type="dxa"/>
            <w:vAlign w:val="bottom"/>
            <w:gridSpan w:val="3"/>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0" w:type="dxa"/>
            <w:vAlign w:val="bottom"/>
          </w:tcPr>
          <w:p>
            <w:pPr>
              <w:spacing w:after="0"/>
              <w:rPr>
                <w:sz w:val="1"/>
                <w:szCs w:val="1"/>
                <w:color w:val="auto"/>
              </w:rPr>
            </w:pPr>
          </w:p>
        </w:tc>
      </w:tr>
      <w:tr>
        <w:trPr>
          <w:trHeight w:val="292"/>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top w:val="single" w:sz="8" w:color="0000FF"/>
            </w:tcBorders>
            <w:gridSpan w:val="12"/>
          </w:tcPr>
          <w:p>
            <w:pPr>
              <w:spacing w:after="0"/>
              <w:rPr>
                <w:rFonts w:ascii="Times New Roman" w:cs="Times New Roman" w:eastAsia="Times New Roman" w:hAnsi="Times New Roman"/>
                <w:sz w:val="13"/>
                <w:szCs w:val="13"/>
                <w:color w:val="0000FF"/>
              </w:rPr>
            </w:pPr>
            <w:hyperlink w:anchor="page113">
              <w:r>
                <w:rPr>
                  <w:rFonts w:ascii="Times New Roman" w:cs="Times New Roman" w:eastAsia="Times New Roman" w:hAnsi="Times New Roman"/>
                  <w:sz w:val="13"/>
                  <w:szCs w:val="13"/>
                  <w:color w:val="0000FF"/>
                </w:rPr>
                <w:t>Signatures</w:t>
              </w:r>
            </w:hyperlink>
          </w:p>
        </w:tc>
        <w:tc>
          <w:tcPr>
            <w:tcW w:w="5480" w:type="dxa"/>
            <w:vAlign w:val="bottom"/>
            <w:gridSpan w:val="13"/>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111</w:t>
            </w:r>
          </w:p>
        </w:tc>
        <w:tc>
          <w:tcPr>
            <w:tcW w:w="0" w:type="dxa"/>
            <w:vAlign w:val="bottom"/>
          </w:tcPr>
          <w:p>
            <w:pPr>
              <w:spacing w:after="0"/>
              <w:rPr>
                <w:sz w:val="1"/>
                <w:szCs w:val="1"/>
                <w:color w:val="auto"/>
              </w:rPr>
            </w:pPr>
          </w:p>
        </w:tc>
      </w:tr>
      <w:tr>
        <w:trPr>
          <w:trHeight w:val="1144"/>
        </w:trPr>
        <w:tc>
          <w:tcPr>
            <w:tcW w:w="6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60" w:type="dxa"/>
            <w:vAlign w:val="bottom"/>
            <w:tcBorders>
              <w:top w:val="single" w:sz="8" w:color="0000FF"/>
              <w:bottom w:val="single" w:sz="8" w:color="EEEEEE"/>
            </w:tcBorders>
          </w:tcPr>
          <w:p>
            <w:pPr>
              <w:spacing w:after="0"/>
              <w:rPr>
                <w:sz w:val="24"/>
                <w:szCs w:val="24"/>
                <w:color w:val="auto"/>
              </w:rPr>
            </w:pPr>
          </w:p>
        </w:tc>
        <w:tc>
          <w:tcPr>
            <w:tcW w:w="80" w:type="dxa"/>
            <w:vAlign w:val="bottom"/>
            <w:tcBorders>
              <w:top w:val="single" w:sz="8" w:color="0000FF"/>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82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68" w:right="68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25" w:lineRule="exact"/>
        <w:rPr>
          <w:sz w:val="20"/>
          <w:szCs w:val="20"/>
          <w:color w:val="auto"/>
        </w:rPr>
      </w:pPr>
    </w:p>
    <w:p>
      <w:pPr>
        <w:ind w:left="40" w:right="60" w:firstLine="420"/>
        <w:spacing w:after="0" w:line="158" w:lineRule="exact"/>
        <w:rPr>
          <w:sz w:val="20"/>
          <w:szCs w:val="20"/>
          <w:color w:val="auto"/>
        </w:rPr>
      </w:pPr>
      <w:r>
        <w:rPr>
          <w:rFonts w:ascii="Times New Roman" w:cs="Times New Roman" w:eastAsia="Times New Roman" w:hAnsi="Times New Roman"/>
          <w:sz w:val="13"/>
          <w:szCs w:val="13"/>
          <w:b w:val="1"/>
          <w:bCs w:val="1"/>
          <w:i w:val="1"/>
          <w:iCs w:val="1"/>
          <w:color w:val="auto"/>
        </w:rPr>
        <w:t>In this annual report on Form 10-K, or the Report, except where the context suggests otherwise, the terms “Company,” “we,” “our” or “us” refer to PennantPark Floating Rate Capital Ltd. and its wholly-owned consolidated subsidiaries; “1940 Act” refers to the Investment Company Act of 1940, as amended; “2023 Notes” refers to our 4.3% Series A notes due 2023; “2026 Notes” refers to our 4.25% Notes due 2026; “2031 Asset-Backed Debt” refers to (i) the issuance of the Class A -1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b w:val="1"/>
          <w:bCs w:val="1"/>
          <w:i w:val="1"/>
          <w:iCs w:val="1"/>
          <w:color w:val="auto"/>
        </w:rPr>
        <w:t>‑</w:t>
      </w:r>
      <w:r>
        <w:rPr>
          <w:rFonts w:ascii="Times New Roman" w:cs="Times New Roman" w:eastAsia="Times New Roman" w:hAnsi="Times New Roman"/>
          <w:sz w:val="13"/>
          <w:szCs w:val="13"/>
          <w:b w:val="1"/>
          <w:bCs w:val="1"/>
          <w:i w:val="1"/>
          <w:iCs w:val="1"/>
          <w:color w:val="auto"/>
        </w:rPr>
        <w:t>1 Senior Secured Floating Rate Notes due 2031 by the Securitization Issuers in connection with the Debt Securitization; "2036 Asset- Backed Debt" refers to the issuance of the AAA(sf) Class A-1 Notes, AAA(sf) Class A-2 Notes, AA(sf) Class B Notes, A(sf) Class C Notes, BBB-(sf) Class D Notes, and the borrowing issuance of AAA(sf) Class A-1 floating rate loans, or the "Class A-1 Loans" with the 2036- Secured Notes; “2036-R Asset-Backed Debt” refers to the issuance by the 2036-R Securitization Issuers of the following classes of notes pursuant the 2036 -R Indenture (i) $203 million of A-1-R Notes, which bear interest at the three-month secured overnight financing rate (“SOFR”) plus 1.75%, (ii) $10.5 million of A -2-R Notes, which bear interest at three- month SOFR plus 1.90%, (iii) $12 million of Class B-R Notes, which bear interest at three-month SOFR plus 2.05%, (iv) $28 million of C-R Notes, which bear interest at three-month SOFR plus 2.75% and (v) $21 million of D-R Notes, which bear interest at three-month SOFR plus 4.30% (collectively, the “Secured Notes”), (B) the issuance by a 2036-R Securitization Issuer of $64 million of</w:t>
      </w:r>
    </w:p>
    <w:p>
      <w:pPr>
        <w:spacing w:after="0" w:line="7" w:lineRule="exact"/>
        <w:rPr>
          <w:sz w:val="20"/>
          <w:szCs w:val="20"/>
          <w:color w:val="auto"/>
        </w:rPr>
      </w:pPr>
    </w:p>
    <w:p>
      <w:pPr>
        <w:ind w:left="40" w:right="40"/>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subordinated notes pursuant to the 2036-R Indenture (the “Subordinated Notes”) and (C) the borrowing by the Securitization Issuer of $12.5 million of Class B-R Loans, which bear interest at three-month SOFR plus 2.05% (the “Class B-R Loans”; 2036 Debt Securitization" refers to the $350.6 million term debt securitization completed by the "2036 Securitization Issuers"; “2036 Indenture” refers to that certain indenture, dated as of February 22, 2024, by and 2036 Securitization Issuer and Wilmington Trust, National Association, as trustee and as collateral agent; “2036-R Indenture” refers to that certain Second Supplemental Indenture, dated July 25, 2024, by and between the Securitization Issuer, PennantPark CLO I, LLC and U.S. Bank Trust Company, National Association;“2036 Financing Subsidiary” refers to refers to PennantPark Floating Rate Funding I, LLC, a wholly -owned subsidiary of the Company; "2036 Securitization Issuer" refers to PennantPark CLO VIII, LLC; “2036-R Securitization” refers to the $351.0 million term debt securitization completed by the 2036-R Securitization Issuers; “2036-R Securitization Issuers” refer to PennantPark CLO I, Ltd., our wholly-owned and consolidated subsidiary, and PennantPark CLO I LLC, a wholly -owned subsidiary of PennantPark CLO I LLC; “BDC” refers to a business development company under the 1940 Act; “Code” refers to the Internal Revenue Code of 1986, as amended; “Credit Facility” refers to our multi-currency senior secured revolving credit facility, as amended from time to time, with Truist Bank and other lenders, or the “Lenders,” entered into on August 12, 2021; “Depositor” refers to PennantPark CLO I Depositor, LLC; “Debt Securitization” refers to the $ 301.4 million term debt securitization completed by the Securitization Issuers; “Funding I” refers to PennantPark Floating Rate Funding I, LLC; “PSSL” refers to PennantPark Senior Secured Loan Fund I LLC, an unconsolidated joint venture; “PTSF” refers to PennantPark-TSO Senior Loan Fund, LP, an unconsolidated limited partnership; “PennantPark Investment Administration” or “Administrator” refers to PennantPark Investment Administration, LLC; “PennantPark Investment Advisers” or “Investment Adviser” refer to PennantPark Investment Advisers, LLC; “Prior Credit Facility” refers to our multi-currency senior secured revolving credit facility, as amended and restated, with Truist Bank (formerly SunTrust Bank) and other lenders, originally entered into on June 23, 2011 and terminated on August 12, 2021; “RIC” refers to a regulated investment company under the Code; “SBCAA” refers to the Small Business Credit Availability Act; “Securitization Issuer” refers to PennantPark CLO I, Ltd.; “Securitization Issuers” refers to the Securitization Issuer and PennantPark CLO I, LLC; “Taxable Subsidiary”1 refers, collectively, to our consolidated subsidiaries PFLT Investment Holdings II, LLC and PFLT Investment Holdings, LLC. References to our portfolio, our investments, our multi-currency, senior secured revolving credit facility, as amended and restated, or the Credit Facility, and our business include investments we make through our subsidiaries. Some of the statements in this annual report constitute forward-looking statements, which apply to us and relate to future events, future performance or future financial condition. The forward -looking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Summary of Risk Factors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Investing in our common stock involves a high degree of risk. Some, but not all, of the risks and uncertainties that we face are related to:</w:t>
      </w:r>
    </w:p>
    <w:p>
      <w:pPr>
        <w:spacing w:after="0" w:line="163" w:lineRule="exact"/>
        <w:rPr>
          <w:sz w:val="20"/>
          <w:szCs w:val="20"/>
          <w:color w:val="auto"/>
        </w:rPr>
      </w:pPr>
    </w:p>
    <w:p>
      <w:pPr>
        <w:ind w:left="400" w:right="320"/>
        <w:spacing w:after="0" w:line="286" w:lineRule="auto"/>
        <w:rPr>
          <w:sz w:val="20"/>
          <w:szCs w:val="20"/>
          <w:color w:val="auto"/>
        </w:rPr>
      </w:pPr>
      <w:r>
        <w:rPr>
          <w:rFonts w:ascii="Times New Roman" w:cs="Times New Roman" w:eastAsia="Times New Roman" w:hAnsi="Times New Roman"/>
          <w:sz w:val="13"/>
          <w:szCs w:val="13"/>
          <w:color w:val="auto"/>
        </w:rPr>
        <w:t>•our ability to remain in compliance with the financial and operational covenants of the Credit Facility, as well as the risks associated with our wholly owned subsidiary, Funding I, and the restrictions imposed on Funding I by the Credit Facility;</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ability to operate in a highly competitive market for investment opportunities;</w:t>
      </w:r>
    </w:p>
    <w:p>
      <w:pPr>
        <w:spacing w:after="0" w:line="163" w:lineRule="exact"/>
        <w:rPr>
          <w:sz w:val="20"/>
          <w:szCs w:val="20"/>
          <w:color w:val="auto"/>
        </w:rPr>
      </w:pPr>
    </w:p>
    <w:p>
      <w:pPr>
        <w:ind w:left="400" w:right="240"/>
        <w:spacing w:after="0" w:line="286" w:lineRule="auto"/>
        <w:rPr>
          <w:sz w:val="20"/>
          <w:szCs w:val="20"/>
          <w:color w:val="auto"/>
        </w:rPr>
      </w:pPr>
      <w:r>
        <w:rPr>
          <w:rFonts w:ascii="Times New Roman" w:cs="Times New Roman" w:eastAsia="Times New Roman" w:hAnsi="Times New Roman"/>
          <w:sz w:val="13"/>
          <w:szCs w:val="13"/>
          <w:color w:val="auto"/>
        </w:rPr>
        <w:t>•the prospects of our portfolio companies and the ability of our portfolio companies to achieve their objectives, the decline or failure of which may result in our borrowers defaulting on their payments to us;</w:t>
      </w:r>
    </w:p>
    <w:p>
      <w:pPr>
        <w:spacing w:after="0" w:line="112" w:lineRule="exact"/>
        <w:rPr>
          <w:sz w:val="20"/>
          <w:szCs w:val="20"/>
          <w:color w:val="auto"/>
        </w:rPr>
      </w:pPr>
    </w:p>
    <w:p>
      <w:pPr>
        <w:ind w:left="400" w:right="1540"/>
        <w:spacing w:after="0" w:line="501" w:lineRule="auto"/>
        <w:rPr>
          <w:sz w:val="20"/>
          <w:szCs w:val="20"/>
          <w:color w:val="auto"/>
        </w:rPr>
      </w:pPr>
      <w:r>
        <w:rPr>
          <w:rFonts w:ascii="Times New Roman" w:cs="Times New Roman" w:eastAsia="Times New Roman" w:hAnsi="Times New Roman"/>
          <w:sz w:val="13"/>
          <w:szCs w:val="13"/>
          <w:color w:val="auto"/>
        </w:rPr>
        <w:t>•the ability of our Investment Adviser to hire and retain qualified personnel, to monitor and administer our investments and to manage our future growth effectively; •the impact of alternative reference rates on our business and certain investments;</w:t>
      </w:r>
    </w:p>
    <w:p>
      <w:pPr>
        <w:ind w:left="400" w:right="240"/>
        <w:spacing w:after="0" w:line="520" w:lineRule="auto"/>
        <w:rPr>
          <w:sz w:val="20"/>
          <w:szCs w:val="20"/>
          <w:color w:val="auto"/>
        </w:rPr>
      </w:pPr>
      <w:r>
        <w:rPr>
          <w:rFonts w:ascii="Times New Roman" w:cs="Times New Roman" w:eastAsia="Times New Roman" w:hAnsi="Times New Roman"/>
          <w:sz w:val="13"/>
          <w:szCs w:val="13"/>
          <w:color w:val="auto"/>
        </w:rPr>
        <w:t>•our reliance on information systems, the failure of which could result in delays or other problems with our business activities, and the susceptibility of such systems to cybersecurity threats; •our ability to replicate historical performance of other investment companies and funds with which our professionals have been affiliated;</w:t>
      </w:r>
    </w:p>
    <w:p>
      <w:pPr>
        <w:ind w:left="400"/>
        <w:spacing w:after="0" w:line="286" w:lineRule="auto"/>
        <w:rPr>
          <w:sz w:val="20"/>
          <w:szCs w:val="20"/>
          <w:color w:val="auto"/>
        </w:rPr>
      </w:pPr>
      <w:r>
        <w:rPr>
          <w:rFonts w:ascii="Times New Roman" w:cs="Times New Roman" w:eastAsia="Times New Roman" w:hAnsi="Times New Roman"/>
          <w:sz w:val="13"/>
          <w:szCs w:val="13"/>
          <w:color w:val="auto"/>
        </w:rPr>
        <w:t>•our ability to raise additional capital while remaining in compliance with certain annual distribution, asset coverage, asset composition and other regulatory requirements needed to maintain our status as a BDC and a RIC;</w:t>
      </w:r>
    </w:p>
    <w:p>
      <w:pPr>
        <w:spacing w:after="0" w:line="112" w:lineRule="exact"/>
        <w:rPr>
          <w:sz w:val="20"/>
          <w:szCs w:val="20"/>
          <w:color w:val="auto"/>
        </w:rPr>
      </w:pPr>
    </w:p>
    <w:p>
      <w:pPr>
        <w:ind w:left="400" w:right="160"/>
        <w:spacing w:after="0" w:line="286" w:lineRule="auto"/>
        <w:rPr>
          <w:sz w:val="20"/>
          <w:szCs w:val="20"/>
          <w:color w:val="auto"/>
        </w:rPr>
      </w:pPr>
      <w:r>
        <w:rPr>
          <w:rFonts w:ascii="Times New Roman" w:cs="Times New Roman" w:eastAsia="Times New Roman" w:hAnsi="Times New Roman"/>
          <w:sz w:val="13"/>
          <w:szCs w:val="13"/>
          <w:color w:val="auto"/>
        </w:rPr>
        <w:t>•the use of leverage to fund our investments, including the indebtedness resulting from the Credit Facility, 2026 Notes, 2031 Asset-Backed Debt, 2036-R Asset-Backed Debt, and 2036 Asset-Backed Debt, and the risk that we may fail to comply with the terms governing such indebtedness or maintain certain asset coverage ratio requirements;</w:t>
      </w:r>
    </w:p>
    <w:p>
      <w:pPr>
        <w:spacing w:after="0" w:line="112" w:lineRule="exact"/>
        <w:rPr>
          <w:sz w:val="20"/>
          <w:szCs w:val="20"/>
          <w:color w:val="auto"/>
        </w:rPr>
      </w:pPr>
    </w:p>
    <w:p>
      <w:pPr>
        <w:jc w:val="both"/>
        <w:ind w:left="400" w:right="4040"/>
        <w:spacing w:after="0" w:line="468" w:lineRule="auto"/>
        <w:rPr>
          <w:sz w:val="20"/>
          <w:szCs w:val="20"/>
          <w:color w:val="auto"/>
        </w:rPr>
      </w:pPr>
      <w:r>
        <w:rPr>
          <w:rFonts w:ascii="Times New Roman" w:cs="Times New Roman" w:eastAsia="Times New Roman" w:hAnsi="Times New Roman"/>
          <w:sz w:val="13"/>
          <w:szCs w:val="13"/>
          <w:color w:val="auto"/>
        </w:rPr>
        <w:t>•our issuance of debt or other securities and the impact of such issuances on the value of our common stock or NAV; •market conditions that may make it difficult for us to refinance or extend the maturity of our existing indebtedness; •potential conflicts of interest of our Investment Adviser and Administrator;</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425450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20" w:top="1312" w:right="660" w:bottom="1440" w:gutter="0" w:footer="0" w:header="0"/>
        </w:sectPr>
      </w:pPr>
    </w:p>
    <w:bookmarkStart w:id="3" w:name="page4"/>
    <w:bookmarkEnd w:id="3"/>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potential dilution caused by any future issuances of subscription rights or warrants;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impact of recent financial reform legislation and uncertainty about any future laws and regulations on our business and our portfolio companies;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investment objectives and decisions advanced by the board of directors or the Investment Adviser which are not subject to stockholder approval and potential activism by our shareholders;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illiquid nature of the assets in which we invest and our valuation procedures with respect to such assets;</w:t>
      </w:r>
    </w:p>
    <w:p>
      <w:pPr>
        <w:spacing w:after="0" w:line="163" w:lineRule="exact"/>
        <w:rPr>
          <w:sz w:val="20"/>
          <w:szCs w:val="20"/>
          <w:color w:val="auto"/>
        </w:rPr>
      </w:pPr>
    </w:p>
    <w:p>
      <w:pPr>
        <w:ind w:left="440" w:right="340"/>
        <w:spacing w:after="0" w:line="286" w:lineRule="auto"/>
        <w:rPr>
          <w:sz w:val="20"/>
          <w:szCs w:val="20"/>
          <w:color w:val="auto"/>
        </w:rPr>
      </w:pPr>
      <w:r>
        <w:rPr>
          <w:rFonts w:ascii="Times New Roman" w:cs="Times New Roman" w:eastAsia="Times New Roman" w:hAnsi="Times New Roman"/>
          <w:sz w:val="13"/>
          <w:szCs w:val="13"/>
          <w:color w:val="auto"/>
        </w:rPr>
        <w:t>•making investments in loans bearing a variable-rate of interest, or floating rate loans, first lien secured debt, second lien secured debt, subordinated debt and the equity of certain portfolio companies, and the risks of making such investments in privately held middle-market companies;</w:t>
      </w:r>
    </w:p>
    <w:p>
      <w:pPr>
        <w:spacing w:after="0" w:line="112" w:lineRule="exact"/>
        <w:rPr>
          <w:sz w:val="20"/>
          <w:szCs w:val="20"/>
          <w:color w:val="auto"/>
        </w:rPr>
      </w:pPr>
    </w:p>
    <w:p>
      <w:pPr>
        <w:ind w:left="440" w:right="360"/>
        <w:spacing w:after="0" w:line="286" w:lineRule="auto"/>
        <w:rPr>
          <w:sz w:val="20"/>
          <w:szCs w:val="20"/>
          <w:color w:val="auto"/>
        </w:rPr>
      </w:pPr>
      <w:r>
        <w:rPr>
          <w:rFonts w:ascii="Times New Roman" w:cs="Times New Roman" w:eastAsia="Times New Roman" w:hAnsi="Times New Roman"/>
          <w:sz w:val="13"/>
          <w:szCs w:val="13"/>
          <w:color w:val="auto"/>
        </w:rPr>
        <w:t>•the Investment Adviser’s incentive to make speculative investments to earn a greater incentive fee and, in some instances, our obligation to pay incentive compensation to our Investment Adviser even after we incur a loss;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investment in derivatives and the use of leverage;</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potential dilution of our common stock which may result from issuances of our common stock below the then current NAV per share;</w:t>
      </w:r>
    </w:p>
    <w:p>
      <w:pPr>
        <w:spacing w:after="0" w:line="163"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3"/>
          <w:szCs w:val="13"/>
          <w:color w:val="auto"/>
        </w:rPr>
        <w:t>•our allocation of net proceeds from offering in ways which you may not agree and our inability to invest proceeds from offerings in new investment opportunities, which could negatively affect our financial performance;</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•tax liabilities resulting from receiving our stock as a distribution;</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measures we have taken to deter takeover attempts, which may adversely impact the price of our common stock;</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interests in connection with the debt securitizations and the offering of the 2031 Asset-Backed Debt, 2036-R Asset-Backed Debt, and 2036 Asset-Backed Debt by the securitization issuers;</w:t>
      </w:r>
    </w:p>
    <w:p>
      <w:pPr>
        <w:spacing w:after="0" w:line="163" w:lineRule="exact"/>
        <w:rPr>
          <w:sz w:val="20"/>
          <w:szCs w:val="20"/>
          <w:color w:val="auto"/>
        </w:rPr>
      </w:pPr>
    </w:p>
    <w:p>
      <w:pPr>
        <w:ind w:left="440" w:right="140"/>
        <w:spacing w:after="0" w:line="286" w:lineRule="auto"/>
        <w:rPr>
          <w:sz w:val="20"/>
          <w:szCs w:val="20"/>
          <w:color w:val="auto"/>
        </w:rPr>
      </w:pPr>
      <w:r>
        <w:rPr>
          <w:rFonts w:ascii="Times New Roman" w:cs="Times New Roman" w:eastAsia="Times New Roman" w:hAnsi="Times New Roman"/>
          <w:sz w:val="13"/>
          <w:szCs w:val="13"/>
          <w:color w:val="auto"/>
        </w:rPr>
        <w:t>•changes to political, economic or industry conditions or conditions affecting the financial and capital markets, could cause volatility or prolonged disruption of the capital markets and impact the value of our assets;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cash balances at financial institutions that exceed federally insured limits and the impact of adverse developments affecting the financial services industry;</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impact of economic sanction laws in the United States and other jurisdictions which may prohibit us and our affiliates from transacting with certain countries, individuals and companies;</w:t>
      </w:r>
    </w:p>
    <w:p>
      <w:pPr>
        <w:spacing w:after="0" w:line="163" w:lineRule="exact"/>
        <w:rPr>
          <w:sz w:val="20"/>
          <w:szCs w:val="20"/>
          <w:color w:val="auto"/>
        </w:rPr>
      </w:pPr>
    </w:p>
    <w:p>
      <w:pPr>
        <w:ind w:left="440" w:right="320"/>
        <w:spacing w:after="0" w:line="286" w:lineRule="auto"/>
        <w:rPr>
          <w:sz w:val="20"/>
          <w:szCs w:val="20"/>
          <w:color w:val="auto"/>
        </w:rPr>
      </w:pPr>
      <w:r>
        <w:rPr>
          <w:rFonts w:ascii="Times New Roman" w:cs="Times New Roman" w:eastAsia="Times New Roman" w:hAnsi="Times New Roman"/>
          <w:sz w:val="13"/>
          <w:szCs w:val="13"/>
          <w:color w:val="auto"/>
        </w:rPr>
        <w:t>•potential litigation, whether initiated by shareholders or other parties, and, with respect to the holders of our 2026 Notes, the ability to enforce civil judgments against us and our directors, officers and experts; and</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impact of global climate change on the operations of our portfolio companies.</w:t>
      </w:r>
    </w:p>
    <w:p>
      <w:pPr>
        <w:spacing w:after="0" w:line="163" w:lineRule="exact"/>
        <w:rPr>
          <w:sz w:val="20"/>
          <w:szCs w:val="20"/>
          <w:color w:val="auto"/>
        </w:rPr>
      </w:pPr>
    </w:p>
    <w:p>
      <w:pPr>
        <w:jc w:val="both"/>
        <w:ind w:left="440" w:right="120"/>
        <w:spacing w:after="0" w:line="268" w:lineRule="auto"/>
        <w:rPr>
          <w:sz w:val="20"/>
          <w:szCs w:val="20"/>
          <w:color w:val="auto"/>
        </w:rPr>
      </w:pPr>
      <w:r>
        <w:rPr>
          <w:rFonts w:ascii="Times New Roman" w:cs="Times New Roman" w:eastAsia="Times New Roman" w:hAnsi="Times New Roman"/>
          <w:sz w:val="13"/>
          <w:szCs w:val="13"/>
          <w:color w:val="auto"/>
        </w:rPr>
        <w:t>•we have in the past, and may in the future, identify material weaknesses in our internal controls over financial reporting, or otherwise fail to maintain effective internal controls over financial reporting, which may result in future financial statements containing errors that will be undetected and could impact the operations of our business including our ability to obtain financing, the cost of any financing we obtain or require additional expenditures of resources to comply with applicable requirements.</w:t>
      </w:r>
    </w:p>
    <w:p>
      <w:pPr>
        <w:spacing w:after="0" w:line="123" w:lineRule="exact"/>
        <w:rPr>
          <w:sz w:val="20"/>
          <w:szCs w:val="20"/>
          <w:color w:val="auto"/>
        </w:rPr>
      </w:pPr>
    </w:p>
    <w:p>
      <w:pPr>
        <w:ind w:left="80" w:right="300" w:firstLine="420"/>
        <w:spacing w:after="0" w:line="286" w:lineRule="auto"/>
        <w:rPr>
          <w:sz w:val="20"/>
          <w:szCs w:val="20"/>
          <w:color w:val="auto"/>
        </w:rPr>
      </w:pPr>
      <w:r>
        <w:rPr>
          <w:rFonts w:ascii="Times New Roman" w:cs="Times New Roman" w:eastAsia="Times New Roman" w:hAnsi="Times New Roman"/>
          <w:sz w:val="13"/>
          <w:szCs w:val="13"/>
          <w:color w:val="auto"/>
        </w:rPr>
        <w:t>Additional risks and uncertainties not currently known to us or that we currently deem to be immaterial may also have a material adverse effect on our business, financial condition and/or operating results. For a more detailed discussion of the risks that you should consider prior to investing in our securities, see Item “1A. Risk Factors” below.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Business</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General Business of PennantPark Floating Rate Capital Ltd.</w:t>
      </w:r>
    </w:p>
    <w:p>
      <w:pPr>
        <w:spacing w:after="0" w:line="131" w:lineRule="exact"/>
        <w:rPr>
          <w:sz w:val="20"/>
          <w:szCs w:val="20"/>
          <w:color w:val="auto"/>
        </w:rPr>
      </w:pPr>
    </w:p>
    <w:p>
      <w:pPr>
        <w:ind w:left="80" w:right="320" w:firstLine="420"/>
        <w:spacing w:after="0" w:line="286" w:lineRule="auto"/>
        <w:rPr>
          <w:sz w:val="20"/>
          <w:szCs w:val="20"/>
          <w:color w:val="auto"/>
        </w:rPr>
      </w:pPr>
      <w:r>
        <w:rPr>
          <w:rFonts w:ascii="Times New Roman" w:cs="Times New Roman" w:eastAsia="Times New Roman" w:hAnsi="Times New Roman"/>
          <w:sz w:val="13"/>
          <w:szCs w:val="13"/>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76" w:lineRule="exact"/>
        <w:rPr>
          <w:sz w:val="20"/>
          <w:szCs w:val="20"/>
          <w:color w:val="auto"/>
        </w:rPr>
      </w:pPr>
    </w:p>
    <w:p>
      <w:pPr>
        <w:ind w:left="80" w:right="100" w:firstLine="420"/>
        <w:spacing w:after="0" w:line="256" w:lineRule="auto"/>
        <w:rPr>
          <w:sz w:val="20"/>
          <w:szCs w:val="20"/>
          <w:color w:val="auto"/>
        </w:rPr>
      </w:pPr>
      <w:r>
        <w:rPr>
          <w:rFonts w:ascii="Times New Roman" w:cs="Times New Roman" w:eastAsia="Times New Roman" w:hAnsi="Times New Roman"/>
          <w:sz w:val="13"/>
          <w:szCs w:val="13"/>
          <w:color w:val="auto"/>
        </w:rPr>
        <w:t>We believe that floating rate loans to U.S. middle-market companies offer attractive risk- reward to investors due to a limited amount of capital available for such companies. We use the term “middle- 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96" w:lineRule="exact"/>
        <w:rPr>
          <w:sz w:val="20"/>
          <w:szCs w:val="20"/>
          <w:color w:val="auto"/>
        </w:rPr>
      </w:pPr>
    </w:p>
    <w:p>
      <w:pPr>
        <w:ind w:left="80" w:right="100" w:firstLine="420"/>
        <w:spacing w:after="0" w:line="259" w:lineRule="auto"/>
        <w:rPr>
          <w:sz w:val="20"/>
          <w:szCs w:val="20"/>
          <w:color w:val="auto"/>
        </w:rPr>
      </w:pPr>
      <w:r>
        <w:rPr>
          <w:rFonts w:ascii="Times New Roman" w:cs="Times New Roman" w:eastAsia="Times New Roman" w:hAnsi="Times New Roman"/>
          <w:sz w:val="13"/>
          <w:szCs w:val="13"/>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440" w:right="660" w:bottom="1440" w:gutter="0" w:footer="0" w:header="0"/>
        </w:sectPr>
      </w:pPr>
    </w:p>
    <w:bookmarkStart w:id="4" w:name="page5"/>
    <w:bookmarkEnd w:id="4"/>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Floating Rate Capital Ltd.</w:t>
      </w:r>
    </w:p>
    <w:p>
      <w:pPr>
        <w:spacing w:after="0" w:line="131"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6"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investments activities in securities or other assets that are wholly owned by us. The Company does not intend to create or acquire primary control of an entity which primarily engages in investment activities of securities or other assets other than entities wholly owned by the Company. We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 Adviser and Administrator</w:t>
      </w:r>
    </w:p>
    <w:p>
      <w:pPr>
        <w:spacing w:after="0" w:line="131"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$22.4 billion in 704 companies with more than 200 different financial sponsors through its managed funds, which includes investments by the Company totaling $6.3 billion in 512 companies.</w:t>
      </w:r>
    </w:p>
    <w:p>
      <w:pPr>
        <w:spacing w:after="0" w:line="96"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Market Opportunity</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We believe that the limited amount of capital available to middle-market companies, coupled with the desire of these companies for flexible sources of capital, creates an attractive investment environment for us.</w:t>
      </w:r>
    </w:p>
    <w:p>
      <w:pPr>
        <w:spacing w:after="0" w:line="74" w:lineRule="exact"/>
        <w:rPr>
          <w:sz w:val="20"/>
          <w:szCs w:val="20"/>
          <w:color w:val="auto"/>
        </w:rPr>
      </w:pPr>
    </w:p>
    <w:p>
      <w:pPr>
        <w:ind w:left="540" w:right="540"/>
        <w:spacing w:after="0" w:line="28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middle-market companies have faced difficulty raising debt in private markets.</w:t>
      </w:r>
      <w:r>
        <w:rPr>
          <w:rFonts w:ascii="Times New Roman" w:cs="Times New Roman" w:eastAsia="Times New Roman" w:hAnsi="Times New Roman"/>
          <w:sz w:val="13"/>
          <w:szCs w:val="13"/>
          <w:color w:val="auto"/>
        </w:rPr>
        <w:t xml:space="preserve"> From time to time, banks, finance companies, hedge funds and collateralized loan obligation, or CLO, funds have withdrawn, and may again withdraw, capital from the middle-market, resulting in opportunities for alternative funding sources.</w:t>
      </w:r>
    </w:p>
    <w:p>
      <w:pPr>
        <w:spacing w:after="0" w:line="72" w:lineRule="exact"/>
        <w:rPr>
          <w:sz w:val="20"/>
          <w:szCs w:val="20"/>
          <w:color w:val="auto"/>
        </w:rPr>
      </w:pPr>
    </w:p>
    <w:p>
      <w:pPr>
        <w:ind w:left="540" w:right="120"/>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middle-market companies have faced difficulty in raising debt through the capital markets.</w:t>
      </w:r>
      <w:r>
        <w:rPr>
          <w:rFonts w:ascii="Times New Roman" w:cs="Times New Roman" w:eastAsia="Times New Roman" w:hAnsi="Times New Roman"/>
          <w:sz w:val="13"/>
          <w:szCs w:val="13"/>
          <w:color w:val="auto"/>
        </w:rPr>
        <w:t xml:space="preserve"> 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6" w:lineRule="exact"/>
        <w:rPr>
          <w:sz w:val="20"/>
          <w:szCs w:val="20"/>
          <w:color w:val="auto"/>
        </w:rPr>
      </w:pPr>
    </w:p>
    <w:p>
      <w:pPr>
        <w:ind w:left="540"/>
        <w:spacing w:after="0" w:line="27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that credit market dislocation for middle -market companies improves the risk-reward on our investments.</w:t>
      </w:r>
      <w:r>
        <w:rPr>
          <w:rFonts w:ascii="Times New Roman" w:cs="Times New Roman" w:eastAsia="Times New Roman" w:hAnsi="Times New Roman"/>
          <w:sz w:val="13"/>
          <w:szCs w:val="13"/>
          <w:color w:val="auto"/>
        </w:rPr>
        <w:t xml:space="preserve"> From time to time, market participants have reduced lending to middle-market and non-investment grade borrowers. As a result, we believe there is less competition in our market, more conservative capital structures, higher yields and stronger covenants.</w:t>
      </w:r>
    </w:p>
    <w:p>
      <w:pPr>
        <w:spacing w:after="0" w:line="241" w:lineRule="exact"/>
        <w:rPr>
          <w:sz w:val="20"/>
          <w:szCs w:val="20"/>
          <w:color w:val="auto"/>
        </w:rPr>
      </w:pPr>
    </w:p>
    <w:p>
      <w:pPr>
        <w:jc w:val="both"/>
        <w:ind w:left="540" w:right="100"/>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there is a large pool of uninvested private equity capital likely to seek to combine their capital with sources of debt capital to complete private investments.</w:t>
      </w:r>
      <w:r>
        <w:rPr>
          <w:rFonts w:ascii="Times New Roman" w:cs="Times New Roman" w:eastAsia="Times New Roman" w:hAnsi="Times New Roman"/>
          <w:sz w:val="13"/>
          <w:szCs w:val="13"/>
          <w:color w:val="auto"/>
        </w:rPr>
        <w:t xml:space="preserve"> 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86" w:lineRule="exact"/>
        <w:rPr>
          <w:sz w:val="20"/>
          <w:szCs w:val="20"/>
          <w:color w:val="auto"/>
        </w:rPr>
      </w:pPr>
    </w:p>
    <w:p>
      <w:pPr>
        <w:ind w:left="540" w:right="40"/>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there is substantial supply of opportunities resulting from maturing loans that seek refinancing.</w:t>
      </w:r>
      <w:r>
        <w:rPr>
          <w:rFonts w:ascii="Times New Roman" w:cs="Times New Roman" w:eastAsia="Times New Roman" w:hAnsi="Times New Roman"/>
          <w:sz w:val="13"/>
          <w:szCs w:val="13"/>
          <w:color w:val="auto"/>
        </w:rPr>
        <w:t xml:space="preserve"> A high volume of 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Competitive Advantages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believe that we have the following competitive advantages over other capital providers to middle-market companies: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a)Experienced Management Team</w:t>
      </w:r>
    </w:p>
    <w:p>
      <w:pPr>
        <w:spacing w:after="0" w:line="131" w:lineRule="exact"/>
        <w:rPr>
          <w:sz w:val="20"/>
          <w:szCs w:val="20"/>
          <w:color w:val="auto"/>
        </w:rPr>
      </w:pPr>
    </w:p>
    <w:p>
      <w:pPr>
        <w:jc w:val="both"/>
        <w:ind w:right="80" w:firstLine="420"/>
        <w:spacing w:after="0" w:line="268" w:lineRule="auto"/>
        <w:rPr>
          <w:sz w:val="20"/>
          <w:szCs w:val="20"/>
          <w:color w:val="auto"/>
        </w:rPr>
      </w:pPr>
      <w:r>
        <w:rPr>
          <w:rFonts w:ascii="Times New Roman" w:cs="Times New Roman" w:eastAsia="Times New Roman" w:hAnsi="Times New Roman"/>
          <w:sz w:val="13"/>
          <w:szCs w:val="13"/>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have resulted in a strong reputation across the capital markets.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4" w:right="660" w:bottom="1440" w:gutter="0" w:footer="0" w:header="0"/>
        </w:sectPr>
      </w:pPr>
    </w:p>
    <w:bookmarkStart w:id="5" w:name="page6"/>
    <w:bookmarkEnd w:id="5"/>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b)Disciplined Investment Approach with Strong Value Orientation</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91" w:lineRule="exact"/>
        <w:rPr>
          <w:sz w:val="20"/>
          <w:szCs w:val="20"/>
          <w:color w:val="auto"/>
        </w:rPr>
      </w:pPr>
    </w:p>
    <w:p>
      <w:pPr>
        <w:jc w:val="both"/>
        <w:ind w:right="40" w:firstLine="420"/>
        <w:spacing w:after="0" w:line="268" w:lineRule="auto"/>
        <w:rPr>
          <w:sz w:val="20"/>
          <w:szCs w:val="20"/>
          <w:color w:val="auto"/>
        </w:rPr>
      </w:pPr>
      <w:r>
        <w:rPr>
          <w:rFonts w:ascii="Times New Roman" w:cs="Times New Roman" w:eastAsia="Times New Roman" w:hAnsi="Times New Roman"/>
          <w:sz w:val="13"/>
          <w:szCs w:val="13"/>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to engaging in extensive due diligence, our Investment Adviser seeks to reduce risk by focusing on businesses with:</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•strong competitive positions;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•positive cash flow that is steady and stable;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•experienced management teams with strong track records;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•potential for growth and viable exit strategies;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•capital structures offering appropriate risk-adjusted terms and covenants.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c)Ability to Source and Evaluate Transactions through our Investment Adviser’s Proactive Research Capability and Established Network</w:t>
      </w:r>
    </w:p>
    <w:p>
      <w:pPr>
        <w:spacing w:after="0" w:line="131"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d)Flexible Transaction Structuring</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6"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76"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Competition</w:t>
      </w:r>
    </w:p>
    <w:p>
      <w:pPr>
        <w:spacing w:after="0" w:line="13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9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Leverage</w:t>
      </w:r>
    </w:p>
    <w:p>
      <w:pPr>
        <w:spacing w:after="0" w:line="167" w:lineRule="exact"/>
        <w:rPr>
          <w:sz w:val="20"/>
          <w:szCs w:val="20"/>
          <w:color w:val="auto"/>
        </w:rPr>
      </w:pPr>
    </w:p>
    <w:p>
      <w:pPr>
        <w:ind w:right="160" w:firstLine="420"/>
        <w:spacing w:after="0" w:line="254" w:lineRule="auto"/>
        <w:rPr>
          <w:sz w:val="20"/>
          <w:szCs w:val="20"/>
          <w:color w:val="auto"/>
        </w:rPr>
      </w:pPr>
      <w:r>
        <w:rPr>
          <w:rFonts w:ascii="Times New Roman" w:cs="Times New Roman" w:eastAsia="Times New Roman" w:hAnsi="Times New Roman"/>
          <w:sz w:val="13"/>
          <w:szCs w:val="13"/>
          <w:color w:val="auto"/>
        </w:rPr>
        <w:t>As of September 30, 2024, we maintained a $636.0 million Credit Facility, which matures in August 2029, with the Lenders. The Credit Facility currently bears interest at SOFR (or an alternative risk- free floating interest rate index) plus 225 basis points and, after the revolving period ends in August 2027, the rate will reset to Base Rate (or an alternative risk-free floating interest rate index) plus 250 basis points. The Credit Facility is secured by all of the assets held by Funding I, under which we had $443.9 million outstanding as of September 30, 2024. The Credit Facility had a weighted average interest rate of 7.5%, exclusive of the fee on undrawn commitments as of September 30, 2024. The Credit Facility had a weighted average interest rate of 7.7%, exclusive of the fee on undrawn commitments as of September 30, 2023. As of September 30, 2024 and 2023, we had $192.1 million and $376.6 million of unused borrowing capacity under our Credit Facility, respectively, subject to the regulatory restrictions. We believe that our capital resources will provide us with the flexibility to take advantage of market opportunities when they arise. Our use of leverage, as calculated under the asset coverage requirements of the 1940 Act, may generally range between 140% and 170% of our net assets, or approximately 60% to 65% of our managed assets. We cannot assure investors that our leverage will remain within the range. The amount of leverage that we employ will depend on our assessment of the market and other factors at the time of any proposed borrowing.</w:t>
      </w:r>
    </w:p>
    <w:p>
      <w:pPr>
        <w:spacing w:after="0" w:line="137"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In November 2017, we issued $138.6 million aggregate principal amount of our 2023 Notes that matured on December 15, 2023. The 2023 Notes were issued pursuant to a deed of trust between the Company and Mishmeret Trust Company, Ltd. as trustee, in November 2017. In connection with this offering, we dual listed our common stock on the TASE. On February 7, 2024, the Company filed a notice with the Israel Securities Authority and the Tel Aviv Stock Exchange Ltd (the "TASE")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6" w:name="page7"/>
    <w:bookmarkEnd w:id="6"/>
    <w:p>
      <w:pPr>
        <w:ind w:right="40"/>
        <w:spacing w:after="0" w:line="286" w:lineRule="auto"/>
        <w:rPr>
          <w:sz w:val="20"/>
          <w:szCs w:val="20"/>
          <w:color w:val="auto"/>
        </w:rPr>
      </w:pPr>
      <w:r>
        <w:rPr>
          <w:rFonts w:ascii="Times New Roman" w:cs="Times New Roman" w:eastAsia="Times New Roman" w:hAnsi="Times New Roman"/>
          <w:sz w:val="13"/>
          <w:szCs w:val="13"/>
          <w:color w:val="auto"/>
        </w:rPr>
        <w:t>voluntarily requesting to delist the Company's common stock from trading on the TASE. The last day of trading on the TASE was May 6, 2024 and the delisting of the Company's common stock form the TASE took effect on May 8, 2024.</w:t>
      </w:r>
    </w:p>
    <w:p>
      <w:pPr>
        <w:spacing w:after="0" w:line="112"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The 2023 Notes paid interest at a rate of 4.3% per year. Interest on the 2023 Notes was payable semi-annually in arrears on June 15 and December 15 of each year, commencing June 15, 2018. The principal on the 2023 Notes was payable in four annual installments as follows: 15% of the original principal amount on December 15, 2020, 15% of the original principal amount on December 15, 2021, 15% of the original principal amount on December 15, 2022 and 55% of the original principal amount on December 15, 2023. On December 15, 2023, the remaining outstanding 2023 Notes were repaid in full.</w:t>
      </w:r>
    </w:p>
    <w:p>
      <w:pPr>
        <w:spacing w:after="0" w:line="127"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In March 2021, and in October 2021, we issued $ 100.0 million and $85.0 million, respectively, in aggregate principal amount of our 2026 Notes at a public offering price per note of 99.4% and 101.5%, respectively. As of September 30, 2024 and 2023, we had $185.0 million and $185.0 million in aggregate principal amount of 2026 Notes outstanding, respectively. The 2026 Notes were issued pursuant to the base Indenture, dated March 23, 2021, between the Company and American Stock Transfer &amp; Trust Company, LLC (the “Trustee”), as supplemented by the First Supplemental Indenture, dated March 23, 2021, between the Company and the Trustee. The 2026 Notes are due on April 1, 2026 and may be redeemed in whole or in part at the Company’s option. 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37" w:lineRule="exact"/>
        <w:rPr>
          <w:sz w:val="20"/>
          <w:szCs w:val="20"/>
          <w:color w:val="auto"/>
        </w:rPr>
      </w:pPr>
    </w:p>
    <w:p>
      <w:pPr>
        <w:ind w:right="140" w:firstLine="420"/>
        <w:spacing w:after="0" w:line="256"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As of both September 30, 2024 and 2023, the Company had zero and $228.0 million of 2031 Asset-Backed Debt outstanding with a weighted average interest rate of zero and 7.1%, respectively. See “Management’s Discussion and Analysis of Financial Condition and Results of Operations—Liquidity and Capital Resources” for more information.</w:t>
      </w:r>
    </w:p>
    <w:p>
      <w:pPr>
        <w:spacing w:after="0" w:line="96"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In July 2024, the 2031 Asset-Backed Debt was refinanced through a $351.0 million debt securitization in the form of a collateralized loan obligation, or the "2036-R Asset-Backed Debt". The 2036-R Asset-Backed Debt was executed through: (A) the issuance by the 2036-R Securitization Issuers of the following classes of notes pursuant that certain indenture, dated September 19, 2019, by and among the 2036-R Securitization Issuers and U.S. Bank Trust Company, National Association, as amended by the second supplemental indenture, dated June 25, 2024): (i) $203 million of A-1-R Notes, which bear interest at the three-month SOFR plus 1.75%, (ii) $10.5 million of A-2-R Notes, which bear interest at three-month SOFR plus 1.90%, (iii) $ 12 million of Class B-R Notes, which bear interest at three-month SOFR plus 2.05%, (iv) $28 million of C-R Notes, which bear interest at three-month SOFR plus 2.75% and (v) $21 million of D-R Notes, which bear interest at three-month SOFR plus 4.30%, (B) the issuance by the issuer of $64 million of subordinated notes pursuant to the Indenture and (C) the borrowing by one of the 2036-R Securitization Issuers of $12.5 million of Class B -R Loans, which bear interest at three-month SOFR plus 2.05%, pursuant to a credit agreement, by and among the 2036 -R Securitization Issuers, the various financial institutions and other persons party thereto, as lenders and U.S. Bank Trust Company, National Association, as loan agent and as trustee. The 2036-R Asset-Backed Debt matures in July 2036. As of September 30, 2024, the Company had $266.0 million of 2036-R Asset-Backed Debt outstanding with a weighted average interest rate of 7.2%. As of September 30, 2024, the unamortized fees on the 2036-R Asset-Backed Debt were $0.8 million.</w:t>
      </w:r>
    </w:p>
    <w:p>
      <w:pPr>
        <w:spacing w:after="0" w:line="98"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In February 2024, the 2036 Asset-Backed Debt was issued by the 2036 Securitization Issuer. The 2036 Asset- 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 three-month secured overnight financing rate published by the Federal Reserve Bank of New York (“SOFR”) plus 2.30%, (ii) $14 million of AAA(sf) Class A-2 Notes, which bear interest at three-month SOFR plus 2.70%, (iii) $24.5 million of AA(sf) Class B Notes, which bear interest at three-month SOFR plus 2.90%, (iv) $28 million of A(sf) Class C Notes, which bear interest at three-month SOFR plus 3.90%, (v) $ 21 million of BBB -(sf) Class D Notes, which bear interest at three-month SOFR plus 5.90%, (together, the “Secured Notes”), and (vi) $63.6 million of subordinated notes (“Subordinated Notes”) and (B) the borrowing of $60.0 million AAA(sf) Class A-1 Senior Secured Floating Rate Loans (the “Class A-1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annualized interest on the 2036 Asset-Backed Debt will be paid, to the extent of funds available. The Debt is scheduled to mature on April 18, 2036. The 2036 Asset-Backed Debt is included in the Consolidated Statement of Assets and Liabilities as debt of the Company and the Subordinated Notes of the 2036-Securitization Issuer were eliminated in consolidation. As of September 30, 2024, the Company had $287.0 million of 2036 Asset-Backed Debt outstanding with a weighted average interest rate of 8.1%. As of September 30, 2024, the unamortized fees on the 2036 Asset-Backed Debt were $2.9 million.</w:t>
      </w:r>
    </w:p>
    <w:p>
      <w:pPr>
        <w:spacing w:after="0" w:line="132"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In April 2021, we formed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September 30, 2024, our capital commitment of $15.3 million is fully funded and we hold 23.08% of the total outstanding Class A Units of PTSF and a 4.99% voting interest in the general partner which manages PTSF.</w:t>
      </w:r>
    </w:p>
    <w:p>
      <w:pPr>
        <w:spacing w:after="0" w:line="12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September 30, 2024 and 2023, our asset coverage ratio, as computed in accordance with the 1940 Act, was 174% and 230%, respectively. See “Management’s Discussion and Analysis of Financial Condition and Results of Operations” for more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Policy Overview</w:t>
      </w:r>
    </w:p>
    <w:p>
      <w:pPr>
        <w:spacing w:after="0" w:line="131"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seek to create a diversified portfolio primarily of floating rate loans by generally targeting an investment size of $ 5 million to $30 million in securities, on average, of middle-market companies. We expect this investment size to vary proportionately with the size of our capital base. We generally expect that first lien secured debt will represent at least 65% of our overall portfolio. We also generally expect to invest up to 35% of our overall portfolio opportunistically in other types of investments, including second lien secured debt, subordinated debt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4" w:right="660" w:bottom="1440" w:gutter="0" w:footer="0" w:header="0"/>
        </w:sectPr>
      </w:pPr>
    </w:p>
    <w:bookmarkStart w:id="7" w:name="page8"/>
    <w:bookmarkEnd w:id="7"/>
    <w:p>
      <w:pPr>
        <w:ind w:right="60"/>
        <w:spacing w:after="0" w:line="286" w:lineRule="auto"/>
        <w:rPr>
          <w:sz w:val="20"/>
          <w:szCs w:val="20"/>
          <w:color w:val="auto"/>
        </w:rPr>
      </w:pPr>
      <w:r>
        <w:rPr>
          <w:rFonts w:ascii="Times New Roman" w:cs="Times New Roman" w:eastAsia="Times New Roman" w:hAnsi="Times New Roman"/>
          <w:sz w:val="13"/>
          <w:szCs w:val="13"/>
          <w:color w:val="auto"/>
        </w:rPr>
        <w:t>loans,”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12"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27"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has the authority to modify or waive certain of our operating policies and strategies without prior notice and without stockholder approval (except as required by the 1940 Act) .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First Lien Secured Debt</w:t>
      </w:r>
    </w:p>
    <w:p>
      <w:pPr>
        <w:spacing w:after="0" w:line="16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Second Lien Secured Debt</w:t>
      </w:r>
    </w:p>
    <w:p>
      <w:pPr>
        <w:spacing w:after="0" w:line="167" w:lineRule="exact"/>
        <w:rPr>
          <w:sz w:val="20"/>
          <w:szCs w:val="20"/>
          <w:color w:val="auto"/>
        </w:rPr>
      </w:pPr>
    </w:p>
    <w:p>
      <w:pPr>
        <w:ind w:firstLine="420"/>
        <w:spacing w:after="0" w:line="260" w:lineRule="auto"/>
        <w:rPr>
          <w:sz w:val="20"/>
          <w:szCs w:val="20"/>
          <w:color w:val="auto"/>
        </w:rPr>
      </w:pPr>
      <w:r>
        <w:rPr>
          <w:rFonts w:ascii="Times New Roman" w:cs="Times New Roman" w:eastAsia="Times New Roman" w:hAnsi="Times New Roman"/>
          <w:sz w:val="13"/>
          <w:szCs w:val="13"/>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Subordinated Debt</w:t>
      </w:r>
    </w:p>
    <w:p>
      <w:pPr>
        <w:spacing w:after="0" w:line="167"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Structurally, subordinated debt usually ranks junior in priority of payment to first lien secured debt and second lien secured debt, and is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Selection Criteria</w:t>
      </w:r>
    </w:p>
    <w:p>
      <w:pPr>
        <w:spacing w:after="0" w:line="131" w:lineRule="exact"/>
        <w:rPr>
          <w:sz w:val="20"/>
          <w:szCs w:val="20"/>
          <w:color w:val="auto"/>
        </w:rPr>
      </w:pPr>
    </w:p>
    <w:p>
      <w:pPr>
        <w:jc w:val="both"/>
        <w:ind w:right="60" w:firstLine="420"/>
        <w:spacing w:after="0" w:line="286" w:lineRule="auto"/>
        <w:rPr>
          <w:sz w:val="20"/>
          <w:szCs w:val="20"/>
          <w:color w:val="auto"/>
        </w:rPr>
      </w:pPr>
      <w:r>
        <w:rPr>
          <w:rFonts w:ascii="Times New Roman" w:cs="Times New Roman" w:eastAsia="Times New Roman" w:hAnsi="Times New Roman"/>
          <w:sz w:val="13"/>
          <w:szCs w:val="13"/>
          <w:color w:val="auto"/>
        </w:rPr>
        <w:t>We are committed to a value-oriented philosophy used by the senior investment professionals of our Investment Adviser who manage our portfolio and seek to minimize the risk of capital loss without foregoing potential for capital appreciation.</w:t>
      </w:r>
    </w:p>
    <w:p>
      <w:pPr>
        <w:spacing w:after="0" w:line="76" w:lineRule="exact"/>
        <w:rPr>
          <w:sz w:val="20"/>
          <w:szCs w:val="20"/>
          <w:color w:val="auto"/>
        </w:rPr>
      </w:pPr>
    </w:p>
    <w:p>
      <w:pPr>
        <w:jc w:val="both"/>
        <w:ind w:right="60" w:firstLine="420"/>
        <w:spacing w:after="0" w:line="268" w:lineRule="auto"/>
        <w:rPr>
          <w:sz w:val="20"/>
          <w:szCs w:val="20"/>
          <w:color w:val="auto"/>
        </w:rPr>
      </w:pPr>
      <w:r>
        <w:rPr>
          <w:rFonts w:ascii="Times New Roman" w:cs="Times New Roman" w:eastAsia="Times New Roman" w:hAnsi="Times New Roman"/>
          <w:sz w:val="13"/>
          <w:szCs w:val="13"/>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a)Leading and defensible competitive market positions</w:t>
      </w:r>
    </w:p>
    <w:p>
      <w:pPr>
        <w:spacing w:after="0" w:line="131"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The Investment Adviser invests in portfolio companies that it believes have developed strong positions within their markets. The Investment Adviser also seeks to invest in portfolio companies that it believes possess competitive advantages in, for example, scale, scope, customer loyalty, product pricing or product quality as compared to their competitors to protect their market position.</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b)Investing in stable borrowers with positive cash flow</w:t>
      </w:r>
    </w:p>
    <w:p>
      <w:pPr>
        <w:spacing w:after="0" w:line="13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 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c)Proven management teams</w:t>
      </w:r>
    </w:p>
    <w:p>
      <w:pPr>
        <w:spacing w:after="0" w:line="131"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d)Financial sponsorship</w:t>
      </w:r>
    </w:p>
    <w:p>
      <w:pPr>
        <w:spacing w:after="0" w:line="131"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34" w:right="640" w:bottom="1440" w:gutter="0" w:footer="0" w:header="0"/>
        </w:sectPr>
      </w:pPr>
    </w:p>
    <w:bookmarkStart w:id="8" w:name="page9"/>
    <w:bookmarkEnd w:id="8"/>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e)Investments in different borrowers, industries and geographies</w:t>
      </w:r>
    </w:p>
    <w:p>
      <w:pPr>
        <w:spacing w:after="0" w:line="131"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f)Viable exit strategy</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Due Diligence</w:t>
      </w:r>
    </w:p>
    <w:p>
      <w:pPr>
        <w:spacing w:after="0" w:line="131" w:lineRule="exact"/>
        <w:rPr>
          <w:sz w:val="20"/>
          <w:szCs w:val="20"/>
          <w:color w:val="auto"/>
        </w:rPr>
      </w:pPr>
    </w:p>
    <w:p>
      <w:pPr>
        <w:jc w:val="both"/>
        <w:ind w:right="520" w:firstLine="420"/>
        <w:spacing w:after="0" w:line="262" w:lineRule="auto"/>
        <w:rPr>
          <w:sz w:val="20"/>
          <w:szCs w:val="20"/>
          <w:color w:val="auto"/>
        </w:rPr>
      </w:pPr>
      <w:r>
        <w:rPr>
          <w:rFonts w:ascii="Times New Roman" w:cs="Times New Roman" w:eastAsia="Times New Roman" w:hAnsi="Times New Roman"/>
          <w:sz w:val="13"/>
          <w:szCs w:val="13"/>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due diligence may include: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•review of historical and prospective financial information;</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•research relating to the portfolio company’s management, industry, markets, products and services and competitors;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•interviews with management, employees, customers and vendors of the potential portfolio company;</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•on-site visits;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•review of loan documents;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•background checks.</w:t>
      </w:r>
    </w:p>
    <w:p>
      <w:pPr>
        <w:spacing w:after="0" w:line="127"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Additional due diligence with respect to any investment may be conducted on our behalf by attorneys and accountants prior to the closing of the investment, as well as other outside advisers, as appropriate.</w:t>
      </w:r>
    </w:p>
    <w:p>
      <w:pPr>
        <w:spacing w:after="0" w:line="76"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Structure</w:t>
      </w:r>
    </w:p>
    <w:p>
      <w:pPr>
        <w:spacing w:after="0" w:line="131"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87" w:lineRule="exact"/>
        <w:rPr>
          <w:sz w:val="20"/>
          <w:szCs w:val="20"/>
          <w:color w:val="auto"/>
        </w:rPr>
      </w:pPr>
    </w:p>
    <w:p>
      <w:pPr>
        <w:jc w:val="both"/>
        <w:ind w:firstLine="420"/>
        <w:spacing w:after="0" w:line="286" w:lineRule="auto"/>
        <w:rPr>
          <w:sz w:val="20"/>
          <w:szCs w:val="20"/>
          <w:color w:val="auto"/>
        </w:rPr>
      </w:pPr>
      <w:r>
        <w:rPr>
          <w:rFonts w:ascii="Times New Roman" w:cs="Times New Roman" w:eastAsia="Times New Roman" w:hAnsi="Times New Roman"/>
          <w:sz w:val="13"/>
          <w:szCs w:val="13"/>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76" w:lineRule="exact"/>
        <w:rPr>
          <w:sz w:val="20"/>
          <w:szCs w:val="20"/>
          <w:color w:val="auto"/>
        </w:rPr>
      </w:pPr>
    </w:p>
    <w:p>
      <w:pPr>
        <w:jc w:val="both"/>
        <w:ind w:firstLine="420"/>
        <w:spacing w:after="0" w:line="262" w:lineRule="auto"/>
        <w:rPr>
          <w:sz w:val="20"/>
          <w:szCs w:val="20"/>
          <w:color w:val="auto"/>
        </w:rPr>
      </w:pPr>
      <w:r>
        <w:rPr>
          <w:rFonts w:ascii="Times New Roman" w:cs="Times New Roman" w:eastAsia="Times New Roman" w:hAnsi="Times New Roman"/>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 only payments in the early years with cash or payment -in -kind,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91" w:lineRule="exact"/>
        <w:rPr>
          <w:sz w:val="20"/>
          <w:szCs w:val="20"/>
          <w:color w:val="auto"/>
        </w:rPr>
      </w:pPr>
    </w:p>
    <w:p>
      <w:pPr>
        <w:ind w:right="340" w:firstLine="420"/>
        <w:spacing w:after="0" w:line="268" w:lineRule="auto"/>
        <w:rPr>
          <w:sz w:val="20"/>
          <w:szCs w:val="20"/>
          <w:color w:val="auto"/>
        </w:rPr>
      </w:pPr>
      <w:r>
        <w:rPr>
          <w:rFonts w:ascii="Times New Roman" w:cs="Times New Roman" w:eastAsia="Times New Roman" w:hAnsi="Times New Roman"/>
          <w:sz w:val="13"/>
          <w:szCs w:val="13"/>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87" w:lineRule="exact"/>
        <w:rPr>
          <w:sz w:val="20"/>
          <w:szCs w:val="20"/>
          <w:color w:val="auto"/>
        </w:rPr>
      </w:pPr>
    </w:p>
    <w:p>
      <w:pPr>
        <w:ind w:left="540" w:right="1620"/>
        <w:spacing w:after="0" w:line="443" w:lineRule="auto"/>
        <w:rPr>
          <w:sz w:val="20"/>
          <w:szCs w:val="20"/>
          <w:color w:val="auto"/>
        </w:rPr>
      </w:pPr>
      <w:r>
        <w:rPr>
          <w:rFonts w:ascii="Times New Roman" w:cs="Times New Roman" w:eastAsia="Times New Roman" w:hAnsi="Times New Roman"/>
          <w:sz w:val="13"/>
          <w:szCs w:val="13"/>
          <w:color w:val="auto"/>
        </w:rPr>
        <w:t>•requiring a total return on our investments (including both interest in the form of a floor and potential equity appreciation) that compensates us for credit risk; •incorporating “put” rights and call protection into the investment structure; and</w:t>
      </w:r>
    </w:p>
    <w:p>
      <w:pPr>
        <w:ind w:left="540" w:right="300"/>
        <w:spacing w:after="0" w:line="268" w:lineRule="auto"/>
        <w:rPr>
          <w:sz w:val="20"/>
          <w:szCs w:val="20"/>
          <w:color w:val="auto"/>
        </w:rPr>
      </w:pPr>
      <w:r>
        <w:rPr>
          <w:rFonts w:ascii="Times New Roman" w:cs="Times New Roman" w:eastAsia="Times New Roman" w:hAnsi="Times New Roman"/>
          <w:sz w:val="13"/>
          <w:szCs w:val="13"/>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87"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30" w:right="720" w:bottom="1440" w:gutter="0" w:footer="0" w:header="0"/>
        </w:sectPr>
      </w:pPr>
    </w:p>
    <w:bookmarkStart w:id="9" w:name="page10"/>
    <w:bookmarkEnd w:id="9"/>
    <w:p>
      <w:pPr>
        <w:jc w:val="both"/>
        <w:ind w:firstLine="420"/>
        <w:spacing w:after="0" w:line="286" w:lineRule="auto"/>
        <w:rPr>
          <w:sz w:val="20"/>
          <w:szCs w:val="20"/>
          <w:color w:val="auto"/>
        </w:rPr>
      </w:pPr>
      <w:r>
        <w:rPr>
          <w:rFonts w:ascii="Times New Roman" w:cs="Times New Roman" w:eastAsia="Times New Roman" w:hAnsi="Times New Roman"/>
          <w:sz w:val="13"/>
          <w:szCs w:val="13"/>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Ongoing Relationships with Portfolio Companies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Monitoring</w:t>
      </w:r>
    </w:p>
    <w:p>
      <w:pPr>
        <w:spacing w:after="0" w:line="131"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Investment Adviser has several methods of evaluating and monitoring the performance and fair value of our investments, which may include the following: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•assessment of success in adhering to a portfolio company’s business plan and compliance with covenants;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•periodic or regular contact with portfolio company management and, if appropriate, the financial or strategic sponsor, to discuss financial position, requirements and accomplishments;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•comparisons to other portfolio companies in the industry, if any;</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•attendance at and participation in board meetings or presentations by portfolio companies;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•review of periodic financial statements and financial projections for portfolio companies.</w:t>
      </w:r>
    </w:p>
    <w:p>
      <w:pPr>
        <w:spacing w:after="0" w:line="127" w:lineRule="exact"/>
        <w:rPr>
          <w:sz w:val="20"/>
          <w:szCs w:val="20"/>
          <w:color w:val="auto"/>
        </w:rPr>
      </w:pPr>
    </w:p>
    <w:p>
      <w:pPr>
        <w:jc w:val="both"/>
        <w:ind w:firstLine="420"/>
        <w:spacing w:after="0" w:line="259" w:lineRule="auto"/>
        <w:rPr>
          <w:sz w:val="20"/>
          <w:szCs w:val="20"/>
          <w:color w:val="auto"/>
        </w:rPr>
      </w:pPr>
      <w:r>
        <w:rPr>
          <w:rFonts w:ascii="Times New Roman" w:cs="Times New Roman" w:eastAsia="Times New Roman" w:hAnsi="Times New Roman"/>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Managerial Assistance</w:t>
      </w:r>
    </w:p>
    <w:p>
      <w:pPr>
        <w:spacing w:after="0" w:line="131"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We offer significant managerial assistance to our portfolio companies. As a BDC, we are required to make available such significant managerial assistance within the meaning of Section 2(a) (47) of the 1940 Act. See “Regulation” for more information.</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Staffing</w:t>
      </w:r>
    </w:p>
    <w:p>
      <w:pPr>
        <w:spacing w:after="0" w:line="131"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Corporate Information</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 xml:space="preserve">Our administrative and principal executive offices are located at 1691 Michigan Avenue, Miami Beach, Florida. Our common stock is quoted on The New York Stock Exchange, under the symbol “PFLT.” Our phone number is (786) 297-9500, and our Internet website address is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xml:space="preserve"> that contains material that we file with the SEC on the Electronic Data Gathering, Analysis and Retrieval, or EDGAR, Database.</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34" w:right="72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i w:val="1"/>
          <w:iCs w:val="1"/>
          <w:color w:val="auto"/>
        </w:rPr>
        <w:t>Our Portfolio</w:t>
      </w:r>
    </w:p>
    <w:p>
      <w:pPr>
        <w:spacing w:after="0" w:line="131"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Aerospace and Defense</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Energy/Utilities</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Auto Sector</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Environmental Services</w:t>
            </w:r>
          </w:p>
        </w:tc>
      </w:tr>
      <w:tr>
        <w:trPr>
          <w:trHeight w:val="156"/>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Beverage, Food and Tobacco</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Financial Services</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Broadcasting and Entertainment</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Grocery</w:t>
            </w:r>
          </w:p>
        </w:tc>
      </w:tr>
      <w:tr>
        <w:trPr>
          <w:trHeight w:val="156"/>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Buildings and Real Estate</w:t>
            </w:r>
          </w:p>
        </w:tc>
        <w:tc>
          <w:tcPr>
            <w:tcW w:w="494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  Healthcare, Education and Childcare</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Building Materials</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High Tech Industries</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Business Services</w:t>
            </w:r>
          </w:p>
        </w:tc>
        <w:tc>
          <w:tcPr>
            <w:tcW w:w="494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  Home &amp; Office Furnishings, Housewares &amp; Durable Consumer Products</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Cable Television</w:t>
            </w:r>
          </w:p>
        </w:tc>
        <w:tc>
          <w:tcPr>
            <w:tcW w:w="494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  Hotels, Motels, Inns and Gaming</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Capital Equipment</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Insurance</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Cargo Transportation</w:t>
            </w:r>
          </w:p>
        </w:tc>
        <w:tc>
          <w:tcPr>
            <w:tcW w:w="494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  Leisure, Amusement, Motion Picture, Entertainment</w:t>
            </w:r>
          </w:p>
        </w:tc>
      </w:tr>
      <w:tr>
        <w:trPr>
          <w:trHeight w:val="156"/>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Chemicals, Plastics and Rubber</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Logistics</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Communications</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Manufacturing/Basic Industries</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Consumer Products</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Media</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Consumer Services</w:t>
            </w:r>
          </w:p>
        </w:tc>
        <w:tc>
          <w:tcPr>
            <w:tcW w:w="494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  Mining, Steel, Iron and Non-Precious Metals</w:t>
            </w:r>
          </w:p>
        </w:tc>
      </w:tr>
      <w:tr>
        <w:trPr>
          <w:trHeight w:val="156"/>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Containers Packaging &amp; Glass</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Oil and Gas</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Distribution</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Media</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Diversified/Conglomerate Manufacturing</w:t>
            </w:r>
          </w:p>
        </w:tc>
        <w:tc>
          <w:tcPr>
            <w:tcW w:w="494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  Personal, Food and Miscellaneous Services</w:t>
            </w:r>
          </w:p>
        </w:tc>
      </w:tr>
      <w:tr>
        <w:trPr>
          <w:trHeight w:val="15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Diversified/Conglomerate Services</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Printing and Publishing</w:t>
            </w:r>
          </w:p>
        </w:tc>
      </w:tr>
      <w:tr>
        <w:trPr>
          <w:trHeight w:val="156"/>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Diversified Natural Resources, Precious Metals and Minerals</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Retail</w:t>
            </w:r>
          </w:p>
        </w:tc>
      </w:tr>
      <w:tr>
        <w:trPr>
          <w:trHeight w:val="170"/>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Education</w:t>
            </w:r>
          </w:p>
        </w:tc>
        <w:tc>
          <w:tcPr>
            <w:tcW w:w="1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Wholesale</w:t>
            </w:r>
          </w:p>
        </w:tc>
      </w:tr>
    </w:tbl>
    <w:p>
      <w:pPr>
        <w:ind w:left="340" w:hanging="178"/>
        <w:spacing w:after="0"/>
        <w:tabs>
          <w:tab w:leader="none" w:pos="3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Electronics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Listed below are our top ten portfolio companies and industries represented as a percentage of our consolidated portfolio assets (excluding cash and cash equivalents) as of September 30: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300" w:type="dxa"/>
            <w:vAlign w:val="bottom"/>
          </w:tcPr>
          <w:p>
            <w:pPr>
              <w:ind w:left="128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6"/>
                <w:szCs w:val="16"/>
                <w:b w:val="1"/>
                <w:bCs w:val="1"/>
                <w:color w:val="auto"/>
                <w:vertAlign w:val="superscript"/>
              </w:rPr>
              <w:t>(1)</w:t>
            </w:r>
          </w:p>
        </w:tc>
        <w:tc>
          <w:tcPr>
            <w:tcW w:w="38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By Light Professional IT Services, LLC</w:t>
            </w:r>
          </w:p>
        </w:tc>
        <w:tc>
          <w:tcPr>
            <w:tcW w:w="2300" w:type="dxa"/>
            <w:vAlign w:val="bottom"/>
            <w:shd w:val="clear" w:color="auto" w:fill="CCECFF"/>
          </w:tcPr>
          <w:p>
            <w:pPr>
              <w:ind w:left="2040"/>
              <w:spacing w:after="0"/>
              <w:rPr>
                <w:sz w:val="20"/>
                <w:szCs w:val="20"/>
                <w:color w:val="auto"/>
              </w:rPr>
            </w:pPr>
            <w:r>
              <w:rPr>
                <w:rFonts w:ascii="Times New Roman" w:cs="Times New Roman" w:eastAsia="Times New Roman" w:hAnsi="Times New Roman"/>
                <w:sz w:val="13"/>
                <w:szCs w:val="13"/>
                <w:color w:val="auto"/>
              </w:rPr>
              <w:t>4 %</w:t>
            </w:r>
          </w:p>
        </w:tc>
        <w:tc>
          <w:tcPr>
            <w:tcW w:w="38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NORA Acquisition, LLC</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w w:val="77"/>
              </w:rPr>
              <w:t>5 %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Marketplace Events LLC</w:t>
            </w:r>
          </w:p>
        </w:tc>
        <w:tc>
          <w:tcPr>
            <w:tcW w:w="23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3</w:t>
            </w:r>
          </w:p>
        </w:tc>
        <w:tc>
          <w:tcPr>
            <w:tcW w:w="3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By Light Professional IT Services, LLC</w:t>
            </w: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Loving Tan Intermediate II, Inc.</w:t>
            </w:r>
          </w:p>
        </w:tc>
        <w:tc>
          <w:tcPr>
            <w:tcW w:w="2300" w:type="dxa"/>
            <w:vAlign w:val="bottom"/>
            <w:shd w:val="clear" w:color="auto" w:fill="CCECFF"/>
          </w:tcPr>
          <w:p>
            <w:pPr>
              <w:ind w:left="2040"/>
              <w:spacing w:after="0"/>
              <w:rPr>
                <w:sz w:val="20"/>
                <w:szCs w:val="20"/>
                <w:color w:val="auto"/>
              </w:rPr>
            </w:pPr>
            <w:r>
              <w:rPr>
                <w:rFonts w:ascii="Times New Roman" w:cs="Times New Roman" w:eastAsia="Times New Roman" w:hAnsi="Times New Roman"/>
                <w:sz w:val="13"/>
                <w:szCs w:val="13"/>
                <w:color w:val="auto"/>
              </w:rPr>
              <w:t>3</w:t>
            </w:r>
          </w:p>
        </w:tc>
        <w:tc>
          <w:tcPr>
            <w:tcW w:w="38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Marketplace Events LLC</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C5MI Holdco, LLC</w:t>
            </w:r>
          </w:p>
        </w:tc>
        <w:tc>
          <w:tcPr>
            <w:tcW w:w="23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3</w:t>
            </w:r>
          </w:p>
        </w:tc>
        <w:tc>
          <w:tcPr>
            <w:tcW w:w="3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Lightspeed Buyer Inc.</w:t>
            </w: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RTIC Parent Holdings, LLC</w:t>
            </w:r>
          </w:p>
        </w:tc>
        <w:tc>
          <w:tcPr>
            <w:tcW w:w="2300" w:type="dxa"/>
            <w:vAlign w:val="bottom"/>
            <w:shd w:val="clear" w:color="auto" w:fill="CCECFF"/>
          </w:tcPr>
          <w:p>
            <w:pPr>
              <w:ind w:left="2040"/>
              <w:spacing w:after="0"/>
              <w:rPr>
                <w:sz w:val="20"/>
                <w:szCs w:val="20"/>
                <w:color w:val="auto"/>
              </w:rPr>
            </w:pPr>
            <w:r>
              <w:rPr>
                <w:rFonts w:ascii="Times New Roman" w:cs="Times New Roman" w:eastAsia="Times New Roman" w:hAnsi="Times New Roman"/>
                <w:sz w:val="13"/>
                <w:szCs w:val="13"/>
                <w:color w:val="auto"/>
              </w:rPr>
              <w:t>3</w:t>
            </w:r>
          </w:p>
        </w:tc>
        <w:tc>
          <w:tcPr>
            <w:tcW w:w="38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Loving Tan Intermediate II, Inc.</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NFS - CFP Holdings LLC</w:t>
            </w:r>
          </w:p>
        </w:tc>
        <w:tc>
          <w:tcPr>
            <w:tcW w:w="2300" w:type="dxa"/>
            <w:vAlign w:val="bottom"/>
            <w:vMerge w:val="restart"/>
          </w:tcPr>
          <w:p>
            <w:pPr>
              <w:ind w:left="2040"/>
              <w:spacing w:after="0"/>
              <w:rPr>
                <w:sz w:val="20"/>
                <w:szCs w:val="20"/>
                <w:color w:val="auto"/>
              </w:rPr>
            </w:pPr>
            <w:r>
              <w:rPr>
                <w:rFonts w:ascii="Times New Roman" w:cs="Times New Roman" w:eastAsia="Times New Roman" w:hAnsi="Times New Roman"/>
                <w:sz w:val="13"/>
                <w:szCs w:val="13"/>
                <w:color w:val="auto"/>
              </w:rPr>
              <w:t>2</w:t>
            </w:r>
          </w:p>
        </w:tc>
        <w:tc>
          <w:tcPr>
            <w:tcW w:w="3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Ox Two, LLC</w:t>
            </w:r>
          </w:p>
        </w:tc>
        <w:tc>
          <w:tcPr>
            <w:tcW w:w="100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40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38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ARGANO, LLC</w:t>
            </w:r>
          </w:p>
        </w:tc>
        <w:tc>
          <w:tcPr>
            <w:tcW w:w="2300" w:type="dxa"/>
            <w:vAlign w:val="bottom"/>
            <w:shd w:val="clear" w:color="auto" w:fill="CCECFF"/>
          </w:tcPr>
          <w:p>
            <w:pPr>
              <w:ind w:left="2040"/>
              <w:spacing w:after="0"/>
              <w:rPr>
                <w:sz w:val="20"/>
                <w:szCs w:val="20"/>
                <w:color w:val="auto"/>
              </w:rPr>
            </w:pPr>
            <w:r>
              <w:rPr>
                <w:rFonts w:ascii="Times New Roman" w:cs="Times New Roman" w:eastAsia="Times New Roman" w:hAnsi="Times New Roman"/>
                <w:sz w:val="13"/>
                <w:szCs w:val="13"/>
                <w:color w:val="auto"/>
              </w:rPr>
              <w:t>2</w:t>
            </w:r>
          </w:p>
        </w:tc>
        <w:tc>
          <w:tcPr>
            <w:tcW w:w="38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Lash Opco, LLC</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Big Top Holdings, LLC</w:t>
            </w:r>
          </w:p>
        </w:tc>
        <w:tc>
          <w:tcPr>
            <w:tcW w:w="23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2</w:t>
            </w:r>
          </w:p>
        </w:tc>
        <w:tc>
          <w:tcPr>
            <w:tcW w:w="3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Apex Service Partners, LLC</w:t>
            </w: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Aeronix, Inc.</w:t>
            </w:r>
          </w:p>
        </w:tc>
        <w:tc>
          <w:tcPr>
            <w:tcW w:w="2300" w:type="dxa"/>
            <w:vAlign w:val="bottom"/>
            <w:shd w:val="clear" w:color="auto" w:fill="CCECFF"/>
          </w:tcPr>
          <w:p>
            <w:pPr>
              <w:ind w:left="2040"/>
              <w:spacing w:after="0"/>
              <w:rPr>
                <w:sz w:val="20"/>
                <w:szCs w:val="20"/>
                <w:color w:val="auto"/>
              </w:rPr>
            </w:pPr>
            <w:r>
              <w:rPr>
                <w:rFonts w:ascii="Times New Roman" w:cs="Times New Roman" w:eastAsia="Times New Roman" w:hAnsi="Times New Roman"/>
                <w:sz w:val="13"/>
                <w:szCs w:val="13"/>
                <w:color w:val="auto"/>
              </w:rPr>
              <w:t>2</w:t>
            </w:r>
          </w:p>
        </w:tc>
        <w:tc>
          <w:tcPr>
            <w:tcW w:w="38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Kinetic Purchaser, LLC</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System Planning and Analysis, Inc. (f/k/a Management Consulting</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Carnegie Dartlet, LLC</w:t>
            </w:r>
          </w:p>
        </w:tc>
        <w:tc>
          <w:tcPr>
            <w:tcW w:w="23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2</w:t>
            </w:r>
          </w:p>
        </w:tc>
        <w:tc>
          <w:tcPr>
            <w:tcW w:w="3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&amp; Research, LLC)</w:t>
            </w: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2300" w:type="dxa"/>
            <w:vAlign w:val="bottom"/>
          </w:tcPr>
          <w:p>
            <w:pPr>
              <w:ind w:left="128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6"/>
                <w:szCs w:val="16"/>
                <w:b w:val="1"/>
                <w:bCs w:val="1"/>
                <w:color w:val="auto"/>
                <w:vertAlign w:val="superscript"/>
              </w:rPr>
              <w:t>(1)</w:t>
            </w:r>
          </w:p>
        </w:tc>
        <w:tc>
          <w:tcPr>
            <w:tcW w:w="38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0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Professional Services</w:t>
            </w:r>
          </w:p>
        </w:tc>
        <w:tc>
          <w:tcPr>
            <w:tcW w:w="2300" w:type="dxa"/>
            <w:vAlign w:val="bottom"/>
            <w:shd w:val="clear" w:color="auto" w:fill="CCECFF"/>
          </w:tcPr>
          <w:p>
            <w:pPr>
              <w:ind w:left="2000"/>
              <w:spacing w:after="0"/>
              <w:rPr>
                <w:sz w:val="20"/>
                <w:szCs w:val="20"/>
                <w:color w:val="auto"/>
              </w:rPr>
            </w:pPr>
            <w:r>
              <w:rPr>
                <w:rFonts w:ascii="Times New Roman" w:cs="Times New Roman" w:eastAsia="Times New Roman" w:hAnsi="Times New Roman"/>
                <w:sz w:val="13"/>
                <w:szCs w:val="13"/>
                <w:color w:val="auto"/>
              </w:rPr>
              <w:t>8 %</w:t>
            </w:r>
          </w:p>
        </w:tc>
        <w:tc>
          <w:tcPr>
            <w:tcW w:w="3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3"/>
                <w:szCs w:val="13"/>
                <w:color w:val="auto"/>
              </w:rPr>
              <w:t>Media</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w w:val="77"/>
              </w:rPr>
              <w:t>9 %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2300" w:type="dxa"/>
            <w:vAlign w:val="bottom"/>
          </w:tcPr>
          <w:p>
            <w:pPr>
              <w:ind w:left="2000"/>
              <w:spacing w:after="0"/>
              <w:rPr>
                <w:sz w:val="20"/>
                <w:szCs w:val="20"/>
                <w:color w:val="auto"/>
              </w:rPr>
            </w:pPr>
            <w:r>
              <w:rPr>
                <w:rFonts w:ascii="Times New Roman" w:cs="Times New Roman" w:eastAsia="Times New Roman" w:hAnsi="Times New Roman"/>
                <w:sz w:val="13"/>
                <w:szCs w:val="13"/>
                <w:color w:val="auto"/>
              </w:rPr>
              <w:t>7</w:t>
            </w:r>
          </w:p>
        </w:tc>
        <w:tc>
          <w:tcPr>
            <w:tcW w:w="3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2300" w:type="dxa"/>
            <w:vAlign w:val="bottom"/>
            <w:shd w:val="clear" w:color="auto" w:fill="CCECFF"/>
          </w:tcPr>
          <w:p>
            <w:pPr>
              <w:ind w:left="2000"/>
              <w:spacing w:after="0"/>
              <w:rPr>
                <w:sz w:val="20"/>
                <w:szCs w:val="20"/>
                <w:color w:val="auto"/>
              </w:rPr>
            </w:pPr>
            <w:r>
              <w:rPr>
                <w:rFonts w:ascii="Times New Roman" w:cs="Times New Roman" w:eastAsia="Times New Roman" w:hAnsi="Times New Roman"/>
                <w:sz w:val="13"/>
                <w:szCs w:val="13"/>
                <w:color w:val="auto"/>
              </w:rPr>
              <w:t>6</w:t>
            </w:r>
          </w:p>
        </w:tc>
        <w:tc>
          <w:tcPr>
            <w:tcW w:w="3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3"/>
                <w:szCs w:val="13"/>
                <w:color w:val="auto"/>
              </w:rPr>
              <w:t>Personal Products</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 Services</w:t>
            </w:r>
          </w:p>
        </w:tc>
        <w:tc>
          <w:tcPr>
            <w:tcW w:w="2300" w:type="dxa"/>
            <w:vAlign w:val="bottom"/>
          </w:tcPr>
          <w:p>
            <w:pPr>
              <w:ind w:left="2000"/>
              <w:spacing w:after="0"/>
              <w:rPr>
                <w:sz w:val="20"/>
                <w:szCs w:val="20"/>
                <w:color w:val="auto"/>
              </w:rPr>
            </w:pPr>
            <w:r>
              <w:rPr>
                <w:rFonts w:ascii="Times New Roman" w:cs="Times New Roman" w:eastAsia="Times New Roman" w:hAnsi="Times New Roman"/>
                <w:sz w:val="13"/>
                <w:szCs w:val="13"/>
                <w:color w:val="auto"/>
              </w:rPr>
              <w:t>6</w:t>
            </w:r>
          </w:p>
        </w:tc>
        <w:tc>
          <w:tcPr>
            <w:tcW w:w="3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Professional Services</w:t>
            </w: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Personal Products</w:t>
            </w:r>
          </w:p>
        </w:tc>
        <w:tc>
          <w:tcPr>
            <w:tcW w:w="2300" w:type="dxa"/>
            <w:vAlign w:val="bottom"/>
            <w:shd w:val="clear" w:color="auto" w:fill="CCECFF"/>
          </w:tcPr>
          <w:p>
            <w:pPr>
              <w:ind w:left="2000"/>
              <w:spacing w:after="0"/>
              <w:rPr>
                <w:sz w:val="20"/>
                <w:szCs w:val="20"/>
                <w:color w:val="auto"/>
              </w:rPr>
            </w:pPr>
            <w:r>
              <w:rPr>
                <w:rFonts w:ascii="Times New Roman" w:cs="Times New Roman" w:eastAsia="Times New Roman" w:hAnsi="Times New Roman"/>
                <w:sz w:val="13"/>
                <w:szCs w:val="13"/>
                <w:color w:val="auto"/>
              </w:rPr>
              <w:t>6</w:t>
            </w:r>
          </w:p>
        </w:tc>
        <w:tc>
          <w:tcPr>
            <w:tcW w:w="3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3"/>
                <w:szCs w:val="13"/>
                <w:color w:val="auto"/>
              </w:rPr>
              <w:t>Aerospace and Defense</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Diversified Consumer Services</w:t>
            </w:r>
          </w:p>
        </w:tc>
        <w:tc>
          <w:tcPr>
            <w:tcW w:w="2300" w:type="dxa"/>
            <w:vAlign w:val="bottom"/>
          </w:tcPr>
          <w:p>
            <w:pPr>
              <w:ind w:left="2000"/>
              <w:spacing w:after="0"/>
              <w:rPr>
                <w:sz w:val="20"/>
                <w:szCs w:val="20"/>
                <w:color w:val="auto"/>
              </w:rPr>
            </w:pPr>
            <w:r>
              <w:rPr>
                <w:rFonts w:ascii="Times New Roman" w:cs="Times New Roman" w:eastAsia="Times New Roman" w:hAnsi="Times New Roman"/>
                <w:sz w:val="13"/>
                <w:szCs w:val="13"/>
                <w:color w:val="auto"/>
              </w:rPr>
              <w:t>5</w:t>
            </w:r>
          </w:p>
        </w:tc>
        <w:tc>
          <w:tcPr>
            <w:tcW w:w="3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Media: Diversified and Production</w:t>
            </w: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Technology</w:t>
            </w:r>
          </w:p>
        </w:tc>
        <w:tc>
          <w:tcPr>
            <w:tcW w:w="2300" w:type="dxa"/>
            <w:vAlign w:val="bottom"/>
            <w:shd w:val="clear" w:color="auto" w:fill="CCECFF"/>
          </w:tcPr>
          <w:p>
            <w:pPr>
              <w:ind w:left="2000"/>
              <w:spacing w:after="0"/>
              <w:rPr>
                <w:sz w:val="20"/>
                <w:szCs w:val="20"/>
                <w:color w:val="auto"/>
              </w:rPr>
            </w:pPr>
            <w:r>
              <w:rPr>
                <w:rFonts w:ascii="Times New Roman" w:cs="Times New Roman" w:eastAsia="Times New Roman" w:hAnsi="Times New Roman"/>
                <w:sz w:val="13"/>
                <w:szCs w:val="13"/>
                <w:color w:val="auto"/>
              </w:rPr>
              <w:t>5</w:t>
            </w:r>
          </w:p>
        </w:tc>
        <w:tc>
          <w:tcPr>
            <w:tcW w:w="3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3"/>
                <w:szCs w:val="13"/>
                <w:color w:val="auto"/>
              </w:rPr>
              <w:t>High Tech Industries</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2300" w:type="dxa"/>
            <w:vAlign w:val="bottom"/>
          </w:tcPr>
          <w:p>
            <w:pPr>
              <w:ind w:left="2000"/>
              <w:spacing w:after="0"/>
              <w:rPr>
                <w:sz w:val="20"/>
                <w:szCs w:val="20"/>
                <w:color w:val="auto"/>
              </w:rPr>
            </w:pPr>
            <w:r>
              <w:rPr>
                <w:rFonts w:ascii="Times New Roman" w:cs="Times New Roman" w:eastAsia="Times New Roman" w:hAnsi="Times New Roman"/>
                <w:sz w:val="13"/>
                <w:szCs w:val="13"/>
                <w:color w:val="auto"/>
              </w:rPr>
              <w:t>5</w:t>
            </w:r>
          </w:p>
        </w:tc>
        <w:tc>
          <w:tcPr>
            <w:tcW w:w="3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Healthcare Technology</w:t>
            </w: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Leisure Products</w:t>
            </w:r>
          </w:p>
        </w:tc>
        <w:tc>
          <w:tcPr>
            <w:tcW w:w="2300" w:type="dxa"/>
            <w:vAlign w:val="bottom"/>
            <w:shd w:val="clear" w:color="auto" w:fill="CCECFF"/>
          </w:tcPr>
          <w:p>
            <w:pPr>
              <w:ind w:left="2000"/>
              <w:spacing w:after="0"/>
              <w:rPr>
                <w:sz w:val="20"/>
                <w:szCs w:val="20"/>
                <w:color w:val="auto"/>
              </w:rPr>
            </w:pPr>
            <w:r>
              <w:rPr>
                <w:rFonts w:ascii="Times New Roman" w:cs="Times New Roman" w:eastAsia="Times New Roman" w:hAnsi="Times New Roman"/>
                <w:sz w:val="13"/>
                <w:szCs w:val="13"/>
                <w:color w:val="auto"/>
              </w:rPr>
              <w:t>4</w:t>
            </w:r>
          </w:p>
        </w:tc>
        <w:tc>
          <w:tcPr>
            <w:tcW w:w="3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100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2300" w:type="dxa"/>
            <w:vAlign w:val="bottom"/>
          </w:tcPr>
          <w:p>
            <w:pPr>
              <w:ind w:left="2000"/>
              <w:spacing w:after="0"/>
              <w:rPr>
                <w:sz w:val="20"/>
                <w:szCs w:val="20"/>
                <w:color w:val="auto"/>
              </w:rPr>
            </w:pPr>
            <w:r>
              <w:rPr>
                <w:rFonts w:ascii="Times New Roman" w:cs="Times New Roman" w:eastAsia="Times New Roman" w:hAnsi="Times New Roman"/>
                <w:sz w:val="13"/>
                <w:szCs w:val="13"/>
                <w:color w:val="auto"/>
              </w:rPr>
              <w:t>4</w:t>
            </w:r>
          </w:p>
        </w:tc>
        <w:tc>
          <w:tcPr>
            <w:tcW w:w="3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IT Services</w:t>
            </w: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Excludes investments in PSSL.</w:t>
      </w:r>
    </w:p>
    <w:p>
      <w:pPr>
        <w:spacing w:after="0" w:line="107"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 Risks Relating to our Business and Structure—There are significant potential conflicts of interest which could impact our investment returns” for more information.</w:t>
      </w:r>
    </w:p>
    <w:p>
      <w:pPr>
        <w:spacing w:after="0" w:line="10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30" w:right="6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We have entered into an agreement with the Investment Adviser, or the Investment Management Agreement, under which the Investment Adviser, subject to the overall supervision of our board of directors, manages the day -to-day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the Investment Adviser:</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•determines the composition of our portfolio, the nature and timing of the changes to our portfolio and the manner of implementing such changes;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•identifies, evaluates and negotiates the structure of the investments we make (including performing due diligence on our prospective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•closes and monitors the investments we make;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•provides us with such other investment advisory, research and related services as we may need from time to time.</w:t>
      </w:r>
    </w:p>
    <w:p>
      <w:pPr>
        <w:spacing w:after="0" w:line="127"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Advisory Fees</w:t>
      </w:r>
    </w:p>
    <w:p>
      <w:pPr>
        <w:spacing w:after="0" w:line="131"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2024, 2023, and 2022, the Company recorded earned a base management expense of $14.9 million, $11.4 million and $11.9 million, respectively.</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is a hypothetical example of the calculation of average adjusted gross assets:</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Gross assets as of December 31, 20XX = $160 million</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U.S. Treasury bills and temporary draws on credit facilities as of December 31, 20XX = $10 million</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Adjusted gross assets as of December 31, 20XX = $150 million</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Gross assets as of March 31, 20XX = $200 million</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U.S. Treasury bills and temporary draws on credit facilities as of March 31, 20XX = $20 million</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Adjusted gross assets as of March 31, 20XX = $180 million</w:t>
      </w:r>
    </w:p>
    <w:p>
      <w:pPr>
        <w:spacing w:after="0" w:line="127"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27" w:lineRule="exact"/>
        <w:rPr>
          <w:sz w:val="20"/>
          <w:szCs w:val="20"/>
          <w:color w:val="auto"/>
        </w:rPr>
      </w:pPr>
    </w:p>
    <w:p>
      <w:pPr>
        <w:ind w:right="60" w:firstLine="420"/>
        <w:spacing w:after="0" w:line="252"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facility and distribution paid on any issued and outstanding preferred stock, but excluding the incentive fee). Pre -Incentive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 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 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2.9167% in any calendar quarter. These calculations are pro-rated for any share issuances or repurchases during the relevant quarter, if applicable. For the years ended September 30, 2024, 2023,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2022, the Investment Adviser earned $18.1 million, $16.9 million and $11.6 million, respectively, in incentive fees on net investment income from us.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is a graphical representation of the calculation of quarterly incentive fee based on Pre-Incentive Fee Net Investment Income: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Pre-Incentive Fee Net Investment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(expressed as a percentage of the value of net assets)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0" w:right="68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2770505</wp:posOffset>
            </wp:positionH>
            <wp:positionV relativeFrom="page">
              <wp:posOffset>1101090</wp:posOffset>
            </wp:positionV>
            <wp:extent cx="201231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123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i w:val="1"/>
          <w:iCs w:val="1"/>
          <w:color w:val="auto"/>
        </w:rPr>
        <w:t>Percentage of Pre-Incentive Fee Net Investment Income</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i w:val="1"/>
          <w:iCs w:val="1"/>
          <w:color w:val="auto"/>
        </w:rPr>
        <w:t>allocated to income-related portion of incentive fee</w:t>
      </w:r>
    </w:p>
    <w:p>
      <w:pPr>
        <w:spacing w:after="0" w:line="113" w:lineRule="exact"/>
        <w:rPr>
          <w:sz w:val="20"/>
          <w:szCs w:val="20"/>
          <w:color w:val="auto"/>
        </w:rPr>
      </w:pPr>
    </w:p>
    <w:p>
      <w:pPr>
        <w:ind w:right="340" w:firstLine="420"/>
        <w:spacing w:after="0" w:line="262"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2024, 2023, and 2022, we accrued an incentive fee on capital gains of zero, respectively, as calculated under the Investment Management Agreement (as described above).</w:t>
      </w:r>
    </w:p>
    <w:p>
      <w:pPr>
        <w:spacing w:after="0" w:line="91"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2024, 2023, and 2022 was zero,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Examples of Quarterly Incentive Fee Calculation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 1: Income Related Portion of Incentive Fee (*):</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1:</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1.25%</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1.75%</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 0.25%</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0.80%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 does not exceed hurdle; therefore, there is no incentive fee.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2:</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2.70%</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1.75%</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 0.25%</w:t>
      </w:r>
    </w:p>
    <w:p>
      <w:pPr>
        <w:spacing w:after="0" w:line="1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2.25%</w:t>
      </w:r>
    </w:p>
    <w:p>
      <w:pPr>
        <w:spacing w:after="0" w:line="187" w:lineRule="exact"/>
        <w:rPr>
          <w:sz w:val="20"/>
          <w:szCs w:val="20"/>
          <w:color w:val="auto"/>
        </w:rPr>
      </w:pPr>
    </w:p>
    <w:p>
      <w:pPr>
        <w:ind w:left="1080"/>
        <w:spacing w:after="0"/>
        <w:tabs>
          <w:tab w:leader="none" w:pos="2220" w:val="left"/>
        </w:tabs>
        <w:rPr>
          <w:sz w:val="20"/>
          <w:szCs w:val="20"/>
          <w:color w:val="auto"/>
        </w:rPr>
      </w:pPr>
      <w:r>
        <w:rPr>
          <w:rFonts w:ascii="Times New Roman" w:cs="Times New Roman" w:eastAsia="Times New Roman" w:hAnsi="Times New Roman"/>
          <w:sz w:val="13"/>
          <w:szCs w:val="13"/>
          <w:color w:val="auto"/>
        </w:rPr>
        <w:t>Incentive fee</w:t>
      </w:r>
      <w:r>
        <w:rPr>
          <w:sz w:val="20"/>
          <w:szCs w:val="20"/>
          <w:color w:val="auto"/>
        </w:rPr>
        <w:tab/>
      </w:r>
      <w:r>
        <w:rPr>
          <w:rFonts w:ascii="Times New Roman" w:cs="Times New Roman" w:eastAsia="Times New Roman" w:hAnsi="Times New Roman"/>
          <w:sz w:val="13"/>
          <w:szCs w:val="13"/>
          <w:color w:val="auto"/>
        </w:rPr>
        <w:t>= 50% X Pre-Incentive Fee Net Investment Income, subject to “catch-up”</w:t>
      </w:r>
    </w:p>
    <w:p>
      <w:pPr>
        <w:spacing w:after="0" w:line="21" w:lineRule="exact"/>
        <w:rPr>
          <w:sz w:val="20"/>
          <w:szCs w:val="20"/>
          <w:color w:val="auto"/>
        </w:rPr>
      </w:pPr>
    </w:p>
    <w:p>
      <w:pPr>
        <w:ind w:left="2340" w:hanging="101"/>
        <w:spacing w:after="0"/>
        <w:tabs>
          <w:tab w:leader="none" w:pos="2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 X (2.25% - 1.75%)</w:t>
      </w:r>
    </w:p>
    <w:p>
      <w:pPr>
        <w:spacing w:after="0" w:line="6" w:lineRule="exact"/>
        <w:rPr>
          <w:rFonts w:ascii="Times New Roman" w:cs="Times New Roman" w:eastAsia="Times New Roman" w:hAnsi="Times New Roman"/>
          <w:sz w:val="13"/>
          <w:szCs w:val="13"/>
          <w:color w:val="auto"/>
        </w:rPr>
      </w:pPr>
    </w:p>
    <w:p>
      <w:pPr>
        <w:ind w:left="2340" w:hanging="101"/>
        <w:spacing w:after="0"/>
        <w:tabs>
          <w:tab w:leader="none" w:pos="2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0.25%</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color w:val="auto"/>
        </w:rPr>
        <w:t>Alternative 3:</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4.00%</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1.75%</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 0.25%</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3.55%</w:t>
      </w:r>
    </w:p>
    <w:p>
      <w:pPr>
        <w:spacing w:after="0" w:line="15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8"/>
              </w:rPr>
              <w:t>= 20%</w:t>
            </w:r>
          </w:p>
        </w:tc>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X Pre-Incentive Fee Net Investment Income, subject to “catch-up” </w:t>
            </w:r>
            <w:r>
              <w:rPr>
                <w:rFonts w:ascii="Times New Roman" w:cs="Times New Roman" w:eastAsia="Times New Roman" w:hAnsi="Times New Roman"/>
                <w:sz w:val="16"/>
                <w:szCs w:val="16"/>
                <w:color w:val="auto"/>
                <w:vertAlign w:val="superscript"/>
              </w:rPr>
              <w:t>(3)</w:t>
            </w:r>
          </w:p>
        </w:tc>
      </w:tr>
      <w:tr>
        <w:trPr>
          <w:trHeight w:val="156"/>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8"/>
              </w:rPr>
              <w:t>= 50%</w:t>
            </w:r>
          </w:p>
        </w:tc>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X “catch-up” + (20% x (Pre-Incentive Fee Net Investment Income - 2.9167%))</w:t>
            </w: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Catch-up</w:t>
            </w: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2.9167% - 1.75%</w:t>
            </w:r>
          </w:p>
        </w:tc>
      </w:tr>
    </w:tbl>
    <w:p>
      <w:pPr>
        <w:ind w:left="2340" w:hanging="101"/>
        <w:spacing w:after="0"/>
        <w:tabs>
          <w:tab w:leader="none" w:pos="23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1.1667%</w:t>
      </w:r>
    </w:p>
    <w:p>
      <w:pPr>
        <w:spacing w:after="0" w:line="6" w:lineRule="exact"/>
        <w:rPr>
          <w:rFonts w:ascii="Times New Roman" w:cs="Times New Roman" w:eastAsia="Times New Roman" w:hAnsi="Times New Roman"/>
          <w:sz w:val="13"/>
          <w:szCs w:val="13"/>
          <w:color w:val="auto"/>
        </w:rPr>
      </w:pPr>
    </w:p>
    <w:p>
      <w:pPr>
        <w:ind w:left="2340" w:hanging="101"/>
        <w:spacing w:after="0"/>
        <w:tabs>
          <w:tab w:leader="none" w:pos="23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 X 1.1667%) + (20% X (3.55% - 2.9167%))</w:t>
      </w:r>
    </w:p>
    <w:p>
      <w:pPr>
        <w:spacing w:after="0" w:line="6" w:lineRule="exact"/>
        <w:rPr>
          <w:rFonts w:ascii="Times New Roman" w:cs="Times New Roman" w:eastAsia="Times New Roman" w:hAnsi="Times New Roman"/>
          <w:sz w:val="13"/>
          <w:szCs w:val="13"/>
          <w:color w:val="auto"/>
        </w:rPr>
      </w:pPr>
    </w:p>
    <w:p>
      <w:pPr>
        <w:ind w:left="2340" w:hanging="101"/>
        <w:spacing w:after="0"/>
        <w:tabs>
          <w:tab w:leader="none" w:pos="23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0.5833% + (20% X 0.6333%)</w:t>
      </w:r>
    </w:p>
    <w:p>
      <w:pPr>
        <w:spacing w:after="0" w:line="6" w:lineRule="exact"/>
        <w:rPr>
          <w:rFonts w:ascii="Times New Roman" w:cs="Times New Roman" w:eastAsia="Times New Roman" w:hAnsi="Times New Roman"/>
          <w:sz w:val="13"/>
          <w:szCs w:val="13"/>
          <w:color w:val="auto"/>
        </w:rPr>
      </w:pPr>
    </w:p>
    <w:p>
      <w:pPr>
        <w:ind w:left="2340" w:hanging="101"/>
        <w:spacing w:after="0"/>
        <w:tabs>
          <w:tab w:leader="none" w:pos="23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0.5833% + 0.1267%</w:t>
      </w:r>
    </w:p>
    <w:p>
      <w:pPr>
        <w:spacing w:after="0" w:line="6" w:lineRule="exact"/>
        <w:rPr>
          <w:rFonts w:ascii="Times New Roman" w:cs="Times New Roman" w:eastAsia="Times New Roman" w:hAnsi="Times New Roman"/>
          <w:sz w:val="13"/>
          <w:szCs w:val="13"/>
          <w:color w:val="auto"/>
        </w:rPr>
      </w:pPr>
    </w:p>
    <w:p>
      <w:pPr>
        <w:ind w:left="2340" w:hanging="101"/>
        <w:spacing w:after="0"/>
        <w:tabs>
          <w:tab w:leader="none" w:pos="23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0.71%</w:t>
      </w:r>
    </w:p>
    <w:p>
      <w:pPr>
        <w:spacing w:after="0" w:line="14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The hypothetical amount of Pre-Incentive Fee Net Investment Income shown is based on a percentage of total net assets.</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Represents 7.0% annualized hurdle.</w:t>
      </w:r>
    </w:p>
    <w:p>
      <w:pPr>
        <w:spacing w:after="0" w:line="18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0"/>
          <w:szCs w:val="10"/>
          <w:color w:val="auto"/>
        </w:rPr>
        <w:t>Represents 1.0% annualized base management fee.</w:t>
      </w:r>
    </w:p>
    <w:p>
      <w:pPr>
        <w:spacing w:after="0" w:line="1" w:lineRule="exact"/>
        <w:rPr>
          <w:sz w:val="20"/>
          <w:szCs w:val="20"/>
          <w:color w:val="auto"/>
        </w:rPr>
      </w:pPr>
    </w:p>
    <w:p>
      <w:pPr>
        <w:ind w:right="180"/>
        <w:spacing w:after="0" w:line="206"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 2: Capital Gains Portion of Incentive Fee: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1:</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1: $20 million investment made in Company A (“Investment A”), and $30 million investment made in Company B (“Investment B”)</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2: Investment A sold for $50 million and fair market value (“FMV”) of Investment B determined to be $32 million</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3: FMV of Investment B determined to be $25 million</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4: Investment B sold for $31 million</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The capital gains portion of the incentive fee, if any, would be: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1: None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2: $6 million capital gains incentive fee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$30 million realized capital gains on sale of Investment A multiplied by 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3: None</w:t>
      </w:r>
    </w:p>
    <w:p>
      <w:pPr>
        <w:spacing w:after="0" w:line="127" w:lineRule="exact"/>
        <w:rPr>
          <w:sz w:val="20"/>
          <w:szCs w:val="20"/>
          <w:color w:val="auto"/>
        </w:rPr>
      </w:pPr>
    </w:p>
    <w:p>
      <w:pPr>
        <w:ind w:left="140" w:right="120"/>
        <w:spacing w:after="0" w:line="286" w:lineRule="auto"/>
        <w:rPr>
          <w:sz w:val="20"/>
          <w:szCs w:val="20"/>
          <w:color w:val="auto"/>
        </w:rPr>
      </w:pPr>
      <w:r>
        <w:rPr>
          <w:rFonts w:ascii="Times New Roman" w:cs="Times New Roman" w:eastAsia="Times New Roman" w:hAnsi="Times New Roman"/>
          <w:sz w:val="13"/>
          <w:szCs w:val="13"/>
          <w:color w:val="auto"/>
        </w:rPr>
        <w:t>$5 million cumulative fee (20% multiplied by $25 million ($30 million cumulative capital gains less $5 million cumulative capital depreciation)) less $6 million (previous capital gains fee paid in Year 2)</w:t>
      </w:r>
    </w:p>
    <w:p>
      <w:pPr>
        <w:spacing w:after="0" w:line="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4: $200,000 capital gains incentive fee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$6.2 million cumulative fee ($31 million cumulative realized capital gains multiplied by 20%) less $6 million (previous capital gains fee paid in Year 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2:</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line="286" w:lineRule="auto"/>
        <w:rPr>
          <w:sz w:val="20"/>
          <w:szCs w:val="20"/>
          <w:color w:val="auto"/>
        </w:rPr>
      </w:pPr>
      <w:r>
        <w:rPr>
          <w:rFonts w:ascii="Times New Roman" w:cs="Times New Roman" w:eastAsia="Times New Roman" w:hAnsi="Times New Roman"/>
          <w:sz w:val="13"/>
          <w:szCs w:val="13"/>
          <w:color w:val="auto"/>
        </w:rPr>
        <w:t>Year 1: $20 million investment made in Company A (“Investment A”), $30 million investment made in Company B (“Investment B”) and $25 million investment made in Company C (“Investment C”)</w:t>
      </w:r>
    </w:p>
    <w:p>
      <w:pPr>
        <w:spacing w:after="0" w:line="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2: Investment A sold for $50 million, FMV of Investment B determined to be $25 million and FMV of Investment C determined to be $25 million</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3: FMV of Investment B determined to be $27 million and Investment C sold for $30 million</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4: FMV of Investment B determined to be $35 million</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5: Investment B sold for $20 million</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The capital gains portion of the incentive fee, if any, would be: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2" w:right="700" w:bottom="1440" w:gutter="0" w:footer="0" w:header="0"/>
        </w:sectPr>
      </w:pPr>
    </w:p>
    <w:bookmarkStart w:id="14" w:name="page15"/>
    <w:bookmarkEnd w:id="14"/>
    <w:p>
      <w:pPr>
        <w:ind w:left="140"/>
        <w:spacing w:after="0"/>
        <w:rPr>
          <w:sz w:val="20"/>
          <w:szCs w:val="20"/>
          <w:color w:val="auto"/>
        </w:rPr>
      </w:pPr>
      <w:r>
        <w:rPr>
          <w:rFonts w:ascii="Times New Roman" w:cs="Times New Roman" w:eastAsia="Times New Roman" w:hAnsi="Times New Roman"/>
          <w:sz w:val="13"/>
          <w:szCs w:val="13"/>
          <w:color w:val="auto"/>
        </w:rPr>
        <w:t>Year 1: None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2: $5 million capital gains incentive fee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20% multiplied by $25 million ($30 million realized capital gains on sale of Investment A less $5 million unrealized capital depreciation on Investment B)</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Year 3: $1.4 million capital gains incentive fee </w:t>
      </w:r>
      <w:r>
        <w:rPr>
          <w:rFonts w:ascii="Times New Roman" w:cs="Times New Roman" w:eastAsia="Times New Roman" w:hAnsi="Times New Roman"/>
          <w:sz w:val="16"/>
          <w:szCs w:val="16"/>
          <w:color w:val="auto"/>
          <w:vertAlign w:val="superscript"/>
        </w:rPr>
        <w:t>(1)</w:t>
      </w:r>
    </w:p>
    <w:p>
      <w:pPr>
        <w:spacing w:after="0" w:line="103" w:lineRule="exact"/>
        <w:rPr>
          <w:sz w:val="20"/>
          <w:szCs w:val="20"/>
          <w:color w:val="auto"/>
        </w:rPr>
      </w:pPr>
    </w:p>
    <w:p>
      <w:pPr>
        <w:ind w:left="140" w:right="20"/>
        <w:spacing w:after="0" w:line="286" w:lineRule="auto"/>
        <w:rPr>
          <w:sz w:val="20"/>
          <w:szCs w:val="20"/>
          <w:color w:val="auto"/>
        </w:rPr>
      </w:pPr>
      <w:r>
        <w:rPr>
          <w:rFonts w:ascii="Times New Roman" w:cs="Times New Roman" w:eastAsia="Times New Roman" w:hAnsi="Times New Roman"/>
          <w:sz w:val="13"/>
          <w:szCs w:val="13"/>
          <w:color w:val="auto"/>
        </w:rPr>
        <w:t>$6.4 million cumulative fee (20% multiplied by $32 million ($35 million cumulative realized capital gains less $3 million unrealized capital depreciation)) less $5 million (previous capital gains fee paid in Year 2)</w:t>
      </w:r>
    </w:p>
    <w:p>
      <w:pPr>
        <w:spacing w:after="0" w:line="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4: $0.6 million capital gains incentive fee</w:t>
      </w:r>
    </w:p>
    <w:p>
      <w:pPr>
        <w:spacing w:after="0" w:line="127" w:lineRule="exact"/>
        <w:rPr>
          <w:sz w:val="20"/>
          <w:szCs w:val="20"/>
          <w:color w:val="auto"/>
        </w:rPr>
      </w:pPr>
    </w:p>
    <w:p>
      <w:pPr>
        <w:ind w:left="140" w:right="440"/>
        <w:spacing w:after="0" w:line="286" w:lineRule="auto"/>
        <w:rPr>
          <w:sz w:val="20"/>
          <w:szCs w:val="20"/>
          <w:color w:val="auto"/>
        </w:rPr>
      </w:pPr>
      <w:r>
        <w:rPr>
          <w:rFonts w:ascii="Times New Roman" w:cs="Times New Roman" w:eastAsia="Times New Roman" w:hAnsi="Times New Roman"/>
          <w:sz w:val="13"/>
          <w:szCs w:val="13"/>
          <w:color w:val="auto"/>
        </w:rPr>
        <w:t>$7 million cumulative fee (20% multiplied by $35 million ($ 35 million cumulative realized capital gains without regard to $5 million of unrealized appreciation)) less $6.4 million (previous cumulative capital gains fee paid in Year 2 of $5 million and Year 3 of $1.4 million)</w:t>
      </w:r>
    </w:p>
    <w:p>
      <w:pPr>
        <w:spacing w:after="0" w:line="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5: None</w:t>
      </w:r>
    </w:p>
    <w:p>
      <w:pPr>
        <w:spacing w:after="0" w:line="127" w:lineRule="exact"/>
        <w:rPr>
          <w:sz w:val="20"/>
          <w:szCs w:val="20"/>
          <w:color w:val="auto"/>
        </w:rPr>
      </w:pPr>
    </w:p>
    <w:p>
      <w:pPr>
        <w:ind w:left="140" w:right="220"/>
        <w:spacing w:after="0" w:line="286" w:lineRule="auto"/>
        <w:rPr>
          <w:sz w:val="20"/>
          <w:szCs w:val="20"/>
          <w:color w:val="auto"/>
        </w:rPr>
      </w:pPr>
      <w:r>
        <w:rPr>
          <w:rFonts w:ascii="Times New Roman" w:cs="Times New Roman" w:eastAsia="Times New Roman" w:hAnsi="Times New Roman"/>
          <w:sz w:val="13"/>
          <w:szCs w:val="13"/>
          <w:color w:val="auto"/>
        </w:rPr>
        <w:t>$7 million cumulative fee (20% multiplied by $35 million ($ 35 million cumulative realized capital gains without regard to $10 million realized capital losses in subsequent year)) less $7 million (previous cumulative capital gains fee paid in Years 2, 3 and Year 4)</w:t>
      </w:r>
    </w:p>
    <w:p>
      <w:pPr>
        <w:spacing w:after="0" w:line="124" w:lineRule="exact"/>
        <w:rPr>
          <w:sz w:val="20"/>
          <w:szCs w:val="20"/>
          <w:color w:val="auto"/>
        </w:rPr>
      </w:pPr>
    </w:p>
    <w:p>
      <w:pPr>
        <w:ind w:right="200"/>
        <w:spacing w:after="0" w:line="213"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As illustrated in Year 3 of Alternative 2 above, if we were to be wound up on a date other than December 31 of any year after year 3, we may have paid aggregate capital gain incentive fees that are more than the amount of such fees that would be payable if we had been wound up on December 31 of such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of the Investment Adviser</w:t>
      </w:r>
    </w:p>
    <w:p>
      <w:pPr>
        <w:spacing w:after="0" w:line="131"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Advisers is a registered investment adviser under the Investment Advisers Act of 1940, as amended, or Advisers Act. The principal executive office of PennantPark Investment Advisers is located at 1691 Michigan Avenue, Miami Beach, Florida 33139.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Duration and Termination of Investment Management Agreement</w:t>
      </w:r>
    </w:p>
    <w:p>
      <w:pPr>
        <w:spacing w:after="0" w:line="1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Investment Management Agreement was reapproved by our board of directors, including a majority of our directors who are not interested persons of us or the Investment Adviser, in May 2024. Unless terminated earlier as described below, the Investment Management Agreement will continue in effect for a period of one year through May 2025.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257" w:lineRule="exact"/>
        <w:rPr>
          <w:sz w:val="20"/>
          <w:szCs w:val="20"/>
          <w:color w:val="auto"/>
        </w:rPr>
      </w:pPr>
    </w:p>
    <w:p>
      <w:pPr>
        <w:ind w:right="200" w:firstLine="420"/>
        <w:spacing w:after="0" w:line="262" w:lineRule="auto"/>
        <w:rPr>
          <w:sz w:val="20"/>
          <w:szCs w:val="20"/>
          <w:color w:val="auto"/>
        </w:rPr>
      </w:pPr>
      <w:r>
        <w:rPr>
          <w:rFonts w:ascii="Times New Roman" w:cs="Times New Roman" w:eastAsia="Times New Roman" w:hAnsi="Times New Roman"/>
          <w:sz w:val="13"/>
          <w:szCs w:val="13"/>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Administration Agreement</w:t>
      </w:r>
    </w:p>
    <w:p>
      <w:pPr>
        <w:spacing w:after="0" w:line="1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2024, 2023 and 2022, we recorded administrative expenses of approximately $2.2 million, $1.0 million and $0.6 million, respectively.</w:t>
      </w:r>
    </w:p>
    <w:p>
      <w:pPr>
        <w:spacing w:after="0" w:line="134"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Duration and Termination of Administration Agreement</w:t>
      </w:r>
    </w:p>
    <w:p>
      <w:pPr>
        <w:spacing w:after="0" w:line="131"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The Administration Agreement was reapproved by our board of directors, including a majority of our directors who are not interested persons of us, in May 2024. Unless terminated earlier as described below, our Administration Agreement will continue in effect for a period of one year through May 2025.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i w:val="1"/>
          <w:iCs w:val="1"/>
          <w:color w:val="auto"/>
        </w:rPr>
        <w:t>Indemnification</w:t>
      </w:r>
    </w:p>
    <w:p>
      <w:pPr>
        <w:spacing w:after="0" w:line="131"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License Agreement</w:t>
      </w:r>
    </w:p>
    <w:p>
      <w:pPr>
        <w:spacing w:after="0" w:line="131"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PennantPark Senior Secured Loan Fund I LLC</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September 30, 2024 and 2023, PSSL had total assets of $988.1 million and $869.4 million, respectively. PSSL’s portfolio consisted of investments in 109 portfolio companies as of September 30, 2024. As of September 30, 2024, at fair value, the largest investment in a single portfolio company in PSSL was $ 21.3 million and the five largest investments totaled $97.3 million. PSSL invests in portfolio companies in the same industries in which we may directly invest. As of September 30, 2023, at fair value, the largest investment in a single portfolio company in PSSL was $18.5 million and the five largest investments totaled $83.4 million.</w:t>
      </w:r>
    </w:p>
    <w:p>
      <w:pPr>
        <w:spacing w:after="0" w:line="130"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provide capital to PSSL in the form of first lien secured debt and equity interests. As of September 30, 2024 and 2023, we and Kemper owned 87.5% and 12.5%, respectively, of each of the outstanding first lien secured debt and equity interests. As of September 30, 2024 and 2023, our investment made in PSSL consisted of first lien secured debt of $237.7 million (zero unfunded) and $210.1 million (additional $27.6 million unfunded), respectively, and equity interests of $101.9 million (zero unfunded) and $90.0 million (additional $11.8 million unfunded),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Company and Regulated Investment Company Regulations</w:t>
      </w:r>
    </w:p>
    <w:p>
      <w:pPr>
        <w:spacing w:after="0" w:line="131"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91"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Qualifying Assets</w:t>
      </w:r>
    </w:p>
    <w:p>
      <w:pPr>
        <w:spacing w:after="0" w:line="131" w:lineRule="exact"/>
        <w:rPr>
          <w:sz w:val="20"/>
          <w:szCs w:val="20"/>
          <w:color w:val="auto"/>
        </w:rPr>
      </w:pPr>
    </w:p>
    <w:p>
      <w:pPr>
        <w:ind w:right="280" w:firstLine="420"/>
        <w:spacing w:after="0" w:line="286" w:lineRule="auto"/>
        <w:rPr>
          <w:sz w:val="20"/>
          <w:szCs w:val="20"/>
          <w:color w:val="auto"/>
        </w:rPr>
      </w:pPr>
      <w:r>
        <w:rPr>
          <w:rFonts w:ascii="Times New Roman" w:cs="Times New Roman" w:eastAsia="Times New Roman" w:hAnsi="Times New Roman"/>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76" w:lineRule="exact"/>
        <w:rPr>
          <w:sz w:val="20"/>
          <w:szCs w:val="20"/>
          <w:color w:val="auto"/>
        </w:rPr>
      </w:pPr>
    </w:p>
    <w:p>
      <w:pPr>
        <w:ind w:left="540" w:right="220"/>
        <w:spacing w:after="0" w:line="268" w:lineRule="auto"/>
        <w:rPr>
          <w:sz w:val="20"/>
          <w:szCs w:val="20"/>
          <w:color w:val="auto"/>
        </w:rPr>
      </w:pPr>
      <w:r>
        <w:rPr>
          <w:rFonts w:ascii="Times New Roman" w:cs="Times New Roman" w:eastAsia="Times New Roman" w:hAnsi="Times New Roman"/>
          <w:sz w:val="13"/>
          <w:szCs w:val="13"/>
          <w:color w:val="auto"/>
        </w:rPr>
        <w:t>(1)Securities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(a)is organized under the laws of, and has its principal place of business in, the United States;</w:t>
      </w:r>
    </w:p>
    <w:p>
      <w:pPr>
        <w:spacing w:after="0" w:line="127" w:lineRule="exact"/>
        <w:rPr>
          <w:sz w:val="20"/>
          <w:szCs w:val="20"/>
          <w:color w:val="auto"/>
        </w:rPr>
      </w:pPr>
    </w:p>
    <w:p>
      <w:pPr>
        <w:ind w:left="1080"/>
        <w:spacing w:after="0" w:line="286" w:lineRule="auto"/>
        <w:rPr>
          <w:sz w:val="20"/>
          <w:szCs w:val="20"/>
          <w:color w:val="auto"/>
        </w:rPr>
      </w:pPr>
      <w:r>
        <w:rPr>
          <w:rFonts w:ascii="Times New Roman" w:cs="Times New Roman" w:eastAsia="Times New Roman" w:hAnsi="Times New Roman"/>
          <w:sz w:val="13"/>
          <w:szCs w:val="13"/>
          <w:color w:val="auto"/>
        </w:rPr>
        <w:t>(b)is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(c)satisfies any of the following:</w:t>
      </w:r>
    </w:p>
    <w:p>
      <w:pPr>
        <w:spacing w:after="0" w:line="1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(i)does not have any class of securities listed on a national securities exchange;</w:t>
      </w:r>
    </w:p>
    <w:p>
      <w:pPr>
        <w:spacing w:after="0" w:line="1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(ii)has any class of securities listed on a national securities exchange subject to a maximum market capitalization of $250.0 million; or</w:t>
      </w:r>
    </w:p>
    <w:p>
      <w:pPr>
        <w:spacing w:after="0" w:line="127" w:lineRule="exact"/>
        <w:rPr>
          <w:sz w:val="20"/>
          <w:szCs w:val="20"/>
          <w:color w:val="auto"/>
        </w:rPr>
      </w:pPr>
    </w:p>
    <w:p>
      <w:pPr>
        <w:ind w:left="1600" w:right="100"/>
        <w:spacing w:after="0" w:line="286" w:lineRule="auto"/>
        <w:rPr>
          <w:sz w:val="20"/>
          <w:szCs w:val="20"/>
          <w:color w:val="auto"/>
        </w:rPr>
      </w:pPr>
      <w:r>
        <w:rPr>
          <w:rFonts w:ascii="Times New Roman" w:cs="Times New Roman" w:eastAsia="Times New Roman" w:hAnsi="Times New Roman"/>
          <w:sz w:val="13"/>
          <w:szCs w:val="13"/>
          <w:color w:val="auto"/>
        </w:rPr>
        <w:t>(iii)is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0" w:right="680" w:bottom="1440" w:gutter="0" w:footer="0" w:header="0"/>
        </w:sectPr>
      </w:pPr>
    </w:p>
    <w:bookmarkStart w:id="16" w:name="page17"/>
    <w:bookmarkEnd w:id="16"/>
    <w:p>
      <w:pPr>
        <w:ind w:left="540"/>
        <w:spacing w:after="0"/>
        <w:rPr>
          <w:sz w:val="20"/>
          <w:szCs w:val="20"/>
          <w:color w:val="auto"/>
        </w:rPr>
      </w:pPr>
      <w:r>
        <w:rPr>
          <w:rFonts w:ascii="Times New Roman" w:cs="Times New Roman" w:eastAsia="Times New Roman" w:hAnsi="Times New Roman"/>
          <w:sz w:val="13"/>
          <w:szCs w:val="13"/>
          <w:color w:val="auto"/>
        </w:rPr>
        <w:t>(2)Securities of any eligible portfolio company which we control.</w:t>
      </w:r>
    </w:p>
    <w:p>
      <w:pPr>
        <w:spacing w:after="0" w:line="127" w:lineRule="exact"/>
        <w:rPr>
          <w:sz w:val="20"/>
          <w:szCs w:val="20"/>
          <w:color w:val="auto"/>
        </w:rPr>
      </w:pPr>
    </w:p>
    <w:p>
      <w:pPr>
        <w:ind w:left="540" w:right="100"/>
        <w:spacing w:after="0" w:line="268" w:lineRule="auto"/>
        <w:rPr>
          <w:sz w:val="20"/>
          <w:szCs w:val="20"/>
          <w:color w:val="auto"/>
        </w:rPr>
      </w:pPr>
      <w:r>
        <w:rPr>
          <w:rFonts w:ascii="Times New Roman" w:cs="Times New Roman" w:eastAsia="Times New Roman" w:hAnsi="Times New Roman"/>
          <w:sz w:val="13"/>
          <w:szCs w:val="13"/>
          <w:color w:val="auto"/>
        </w:rPr>
        <w:t>(3)Securities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7" w:lineRule="exact"/>
        <w:rPr>
          <w:sz w:val="20"/>
          <w:szCs w:val="20"/>
          <w:color w:val="auto"/>
        </w:rPr>
      </w:pPr>
    </w:p>
    <w:p>
      <w:pPr>
        <w:ind w:left="540" w:right="180"/>
        <w:spacing w:after="0" w:line="286" w:lineRule="auto"/>
        <w:rPr>
          <w:sz w:val="20"/>
          <w:szCs w:val="20"/>
          <w:color w:val="auto"/>
        </w:rPr>
      </w:pPr>
      <w:r>
        <w:rPr>
          <w:rFonts w:ascii="Times New Roman" w:cs="Times New Roman" w:eastAsia="Times New Roman" w:hAnsi="Times New Roman"/>
          <w:sz w:val="13"/>
          <w:szCs w:val="13"/>
          <w:color w:val="auto"/>
        </w:rPr>
        <w:t>(4)Securities of an eligible portfolio company purchased from any person in a private transaction if there is no readily available market for such securities and we already own 60% of the outstanding equity of the eligible portfolio company.</w:t>
      </w:r>
    </w:p>
    <w:p>
      <w:pPr>
        <w:spacing w:after="0" w:line="76" w:lineRule="exact"/>
        <w:rPr>
          <w:sz w:val="20"/>
          <w:szCs w:val="20"/>
          <w:color w:val="auto"/>
        </w:rPr>
      </w:pPr>
    </w:p>
    <w:p>
      <w:pPr>
        <w:ind w:left="540" w:right="360"/>
        <w:spacing w:after="0" w:line="286" w:lineRule="auto"/>
        <w:rPr>
          <w:sz w:val="20"/>
          <w:szCs w:val="20"/>
          <w:color w:val="auto"/>
        </w:rPr>
      </w:pPr>
      <w:r>
        <w:rPr>
          <w:rFonts w:ascii="Times New Roman" w:cs="Times New Roman" w:eastAsia="Times New Roman" w:hAnsi="Times New Roman"/>
          <w:sz w:val="13"/>
          <w:szCs w:val="13"/>
          <w:color w:val="auto"/>
        </w:rPr>
        <w:t>(5)Securities received in exchange for or distributed on or with respect to securities described in (1) through (4) above, or pursuant to the exercise of warrants or rights relating to such securities.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(6)Cash, cash equivalents, U.S. government securities or high-quality debt securities maturing in one year or less from the time of investment.</w:t>
      </w:r>
    </w:p>
    <w:p>
      <w:pPr>
        <w:spacing w:after="0" w:line="127" w:lineRule="exact"/>
        <w:rPr>
          <w:sz w:val="20"/>
          <w:szCs w:val="20"/>
          <w:color w:val="auto"/>
        </w:rPr>
      </w:pPr>
    </w:p>
    <w:p>
      <w:pPr>
        <w:ind w:right="520" w:firstLine="420"/>
        <w:spacing w:after="0" w:line="286" w:lineRule="auto"/>
        <w:rPr>
          <w:sz w:val="20"/>
          <w:szCs w:val="20"/>
          <w:color w:val="auto"/>
        </w:rPr>
      </w:pPr>
      <w:r>
        <w:rPr>
          <w:rFonts w:ascii="Times New Roman" w:cs="Times New Roman" w:eastAsia="Times New Roman" w:hAnsi="Times New Roman"/>
          <w:sz w:val="13"/>
          <w:szCs w:val="13"/>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Assistance to Portfolio Companies</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Temporary Investments</w:t>
      </w:r>
    </w:p>
    <w:p>
      <w:pPr>
        <w:spacing w:after="0" w:line="131"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Senior Securities</w:t>
      </w:r>
    </w:p>
    <w:p>
      <w:pPr>
        <w:spacing w:after="0" w:line="131"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Joint Code of Ethics and Code of Conduct</w:t>
      </w:r>
    </w:p>
    <w:p>
      <w:pPr>
        <w:spacing w:after="0" w:line="131"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 xml:space="preserve">We and PennantPark Investment Advisers have adopted a joint code of ethics pursuant to Rule 17j- 1 under the 1940 Act and a code of conduct that establish procedures for personal immaterial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 addition, the joint code of ethics is attached as an exhibit to this Report and is available on the EDGAR Database on the SEC’s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Proxy Voting Policies and Procedures</w:t>
      </w:r>
    </w:p>
    <w:p>
      <w:pPr>
        <w:spacing w:after="0" w:line="131" w:lineRule="exact"/>
        <w:rPr>
          <w:sz w:val="20"/>
          <w:szCs w:val="20"/>
          <w:color w:val="auto"/>
        </w:rPr>
      </w:pPr>
    </w:p>
    <w:p>
      <w:pPr>
        <w:ind w:right="240" w:firstLine="420"/>
        <w:spacing w:after="0" w:line="268" w:lineRule="auto"/>
        <w:rPr>
          <w:sz w:val="20"/>
          <w:szCs w:val="20"/>
          <w:color w:val="auto"/>
        </w:rPr>
      </w:pPr>
      <w:r>
        <w:rPr>
          <w:rFonts w:ascii="Times New Roman" w:cs="Times New Roman" w:eastAsia="Times New Roman" w:hAnsi="Times New Roman"/>
          <w:sz w:val="13"/>
          <w:szCs w:val="13"/>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i w:val="1"/>
          <w:iCs w:val="1"/>
          <w:color w:val="auto"/>
        </w:rPr>
        <w:t>Introduction</w:t>
      </w:r>
    </w:p>
    <w:p>
      <w:pPr>
        <w:spacing w:after="0" w:line="129" w:lineRule="exact"/>
        <w:rPr>
          <w:sz w:val="20"/>
          <w:szCs w:val="20"/>
          <w:color w:val="auto"/>
        </w:rPr>
      </w:pPr>
    </w:p>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76" w:lineRule="exact"/>
        <w:rPr>
          <w:sz w:val="20"/>
          <w:szCs w:val="20"/>
          <w:color w:val="auto"/>
        </w:rPr>
      </w:pPr>
    </w:p>
    <w:p>
      <w:pPr>
        <w:ind w:left="420" w:right="1000"/>
        <w:spacing w:after="0" w:line="443" w:lineRule="auto"/>
        <w:rPr>
          <w:sz w:val="20"/>
          <w:szCs w:val="20"/>
          <w:color w:val="auto"/>
        </w:rPr>
      </w:pPr>
      <w:r>
        <w:rPr>
          <w:rFonts w:ascii="Times New Roman" w:cs="Times New Roman" w:eastAsia="Times New Roman" w:hAnsi="Times New Roman"/>
          <w:sz w:val="13"/>
          <w:szCs w:val="13"/>
          <w:color w:val="auto"/>
        </w:rPr>
        <w:t xml:space="preserve">These policies and procedures for voting proxies for our investment advisory clients are intended to comply with Section 206 of, and Rule 206(4)-6 under, the Advisers Act. </w:t>
      </w:r>
      <w:r>
        <w:rPr>
          <w:rFonts w:ascii="Times New Roman" w:cs="Times New Roman" w:eastAsia="Times New Roman" w:hAnsi="Times New Roman"/>
          <w:sz w:val="13"/>
          <w:szCs w:val="13"/>
          <w:i w:val="1"/>
          <w:iCs w:val="1"/>
          <w:color w:val="auto"/>
        </w:rPr>
        <w:t>Proxy Policies</w:t>
      </w:r>
    </w:p>
    <w:p>
      <w:pPr>
        <w:ind w:firstLine="420"/>
        <w:spacing w:after="0" w:line="268" w:lineRule="auto"/>
        <w:rPr>
          <w:sz w:val="20"/>
          <w:szCs w:val="20"/>
          <w:color w:val="auto"/>
        </w:rPr>
      </w:pPr>
      <w:r>
        <w:rPr>
          <w:rFonts w:ascii="Times New Roman" w:cs="Times New Roman" w:eastAsia="Times New Roman" w:hAnsi="Times New Roman"/>
          <w:sz w:val="13"/>
          <w:szCs w:val="13"/>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87"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34" w:right="700"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3"/>
          <w:szCs w:val="13"/>
          <w:i w:val="1"/>
          <w:iCs w:val="1"/>
          <w:color w:val="auto"/>
        </w:rPr>
        <w:t>Proxy Voting Records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You may obtain information about how we voted proxies, free of charge, by calling us collect at (786) 297-9500 or by making a written request for proxy voting information to: Richard 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Allorto Jr., Chief Financial Officer and Treasurer, 1691 Michigan Ave, Miami Beach, Florida 33139.</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Privacy Protection Principles</w:t>
      </w:r>
    </w:p>
    <w:p>
      <w:pPr>
        <w:spacing w:after="0" w:line="131"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6"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87"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74" w:lineRule="exact"/>
        <w:rPr>
          <w:sz w:val="20"/>
          <w:szCs w:val="20"/>
          <w:color w:val="auto"/>
        </w:rPr>
      </w:pPr>
    </w:p>
    <w:p>
      <w:pPr>
        <w:ind w:right="400" w:firstLine="420"/>
        <w:spacing w:after="0" w:line="289" w:lineRule="auto"/>
        <w:rPr>
          <w:sz w:val="20"/>
          <w:szCs w:val="20"/>
          <w:color w:val="auto"/>
        </w:rPr>
      </w:pPr>
      <w:r>
        <w:rPr>
          <w:rFonts w:ascii="Times New Roman" w:cs="Times New Roman" w:eastAsia="Times New Roman" w:hAnsi="Times New Roman"/>
          <w:sz w:val="13"/>
          <w:szCs w:val="13"/>
          <w:color w:val="auto"/>
        </w:rPr>
        <w:t xml:space="preserve">Our privacy protection policies are available, free of charge, on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 addition, the privacy policy is available on the EDGAR Database on the SEC’s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filed as an exhibit to our annual report on this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w:t>
      </w:r>
    </w:p>
    <w:p>
      <w:pPr>
        <w:spacing w:after="0" w:line="131"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will be periodically examined by the SEC for compliance with the 1940 Act.</w:t>
      </w:r>
    </w:p>
    <w:p>
      <w:pPr>
        <w:spacing w:after="0" w:line="127"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87"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Sarbanes-Oxley Act of 2002</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The Sarbanes-Oxley Act of 2002, as amended, or the Sarbanes-Oxley Act, imposes several regulatory requirements on publicly held companies and their insiders. Many of these requirements affect us.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example:</w:t>
      </w:r>
    </w:p>
    <w:p>
      <w:pPr>
        <w:spacing w:after="0" w:line="127" w:lineRule="exact"/>
        <w:rPr>
          <w:sz w:val="20"/>
          <w:szCs w:val="20"/>
          <w:color w:val="auto"/>
        </w:rPr>
      </w:pPr>
    </w:p>
    <w:p>
      <w:pPr>
        <w:ind w:left="540" w:right="60"/>
        <w:spacing w:after="0" w:line="286" w:lineRule="auto"/>
        <w:rPr>
          <w:sz w:val="20"/>
          <w:szCs w:val="20"/>
          <w:color w:val="auto"/>
        </w:rPr>
      </w:pPr>
      <w:r>
        <w:rPr>
          <w:rFonts w:ascii="Times New Roman" w:cs="Times New Roman" w:eastAsia="Times New Roman" w:hAnsi="Times New Roman"/>
          <w:sz w:val="13"/>
          <w:szCs w:val="13"/>
          <w:color w:val="auto"/>
        </w:rPr>
        <w:t>•pursuant to Rule 13a-14 under the Securities Exchange Act of 1934, as amended, or the Exchange Act, our Chief Executive Officer and Chief Financial Officer must certify the accuracy of the financial statements contained in our periodic reports;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•pursuant to Item 307 of Regulation S-K, our periodic reports must disclose our conclusions about the effectiveness of our disclosure controls and procedures;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•pursuant to Rule 13a-15 under the Exchange Act, our management must prepare an annual report regarding its assessment of our internal controls over financial reporting; and</w:t>
      </w:r>
    </w:p>
    <w:p>
      <w:pPr>
        <w:spacing w:after="0" w:line="127" w:lineRule="exact"/>
        <w:rPr>
          <w:sz w:val="20"/>
          <w:szCs w:val="20"/>
          <w:color w:val="auto"/>
        </w:rPr>
      </w:pPr>
    </w:p>
    <w:p>
      <w:pPr>
        <w:jc w:val="both"/>
        <w:ind w:left="540" w:right="440"/>
        <w:spacing w:after="0" w:line="268" w:lineRule="auto"/>
        <w:rPr>
          <w:sz w:val="20"/>
          <w:szCs w:val="20"/>
          <w:color w:val="auto"/>
        </w:rPr>
      </w:pPr>
      <w:r>
        <w:rPr>
          <w:rFonts w:ascii="Times New Roman" w:cs="Times New Roman" w:eastAsia="Times New Roman" w:hAnsi="Times New Roman"/>
          <w:sz w:val="13"/>
          <w:szCs w:val="13"/>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Sarbanes-Oxley Act requires us to review our current policies and procedures to determine whether we comply with the Sarbanes-Oxley Act and the regulations promulgated there-under.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continue to monitor our compliance with all regulations that are adopted under the Sarbanes-Oxley Act and continue to take actions necessary to ensure that we are in compliance with that act.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Election to be Treated as a RIC</w:t>
      </w:r>
    </w:p>
    <w:p>
      <w:pPr>
        <w:spacing w:after="0" w:line="131" w:lineRule="exact"/>
        <w:rPr>
          <w:sz w:val="20"/>
          <w:szCs w:val="20"/>
          <w:color w:val="auto"/>
        </w:rPr>
      </w:pPr>
    </w:p>
    <w:p>
      <w:pPr>
        <w:ind w:right="40" w:firstLine="420"/>
        <w:spacing w:after="0" w:line="260"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 -of-income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order to qualify as a RIC for federal income tax purposes, we must:</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•maintain an election to be treated as a BDC under the 1940 Act at all times during each taxable year;</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2" w:right="660" w:bottom="1440" w:gutter="0" w:footer="0" w:header="0"/>
        </w:sectPr>
      </w:pPr>
    </w:p>
    <w:bookmarkStart w:id="18" w:name="page19"/>
    <w:bookmarkEnd w:id="18"/>
    <w:p>
      <w:pPr>
        <w:ind w:left="540"/>
        <w:spacing w:after="0"/>
        <w:rPr>
          <w:sz w:val="20"/>
          <w:szCs w:val="20"/>
          <w:color w:val="auto"/>
        </w:rPr>
      </w:pPr>
      <w:r>
        <w:rPr>
          <w:rFonts w:ascii="Times New Roman" w:cs="Times New Roman" w:eastAsia="Times New Roman" w:hAnsi="Times New Roman"/>
          <w:sz w:val="13"/>
          <w:szCs w:val="13"/>
          <w:color w:val="auto"/>
        </w:rPr>
        <w:t>•diversify our holdings, or the Diversification Tests, so that at the end of each quarter of the taxable year:</w:t>
      </w:r>
    </w:p>
    <w:p>
      <w:pPr>
        <w:spacing w:after="0" w:line="127" w:lineRule="exact"/>
        <w:rPr>
          <w:sz w:val="20"/>
          <w:szCs w:val="20"/>
          <w:color w:val="auto"/>
        </w:rPr>
      </w:pPr>
    </w:p>
    <w:p>
      <w:pPr>
        <w:ind w:left="1080" w:right="120"/>
        <w:spacing w:after="0" w:line="286" w:lineRule="auto"/>
        <w:rPr>
          <w:sz w:val="20"/>
          <w:szCs w:val="20"/>
          <w:color w:val="auto"/>
        </w:rPr>
      </w:pPr>
      <w:r>
        <w:rPr>
          <w:rFonts w:ascii="Times New Roman" w:cs="Times New Roman" w:eastAsia="Times New Roman" w:hAnsi="Times New Roman"/>
          <w:sz w:val="13"/>
          <w:szCs w:val="13"/>
          <w:color w:val="auto"/>
        </w:rPr>
        <w:t>1)at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76" w:lineRule="exact"/>
        <w:rPr>
          <w:sz w:val="20"/>
          <w:szCs w:val="20"/>
          <w:color w:val="auto"/>
        </w:rPr>
      </w:pPr>
    </w:p>
    <w:p>
      <w:pPr>
        <w:jc w:val="both"/>
        <w:ind w:left="1080" w:right="40"/>
        <w:spacing w:after="0" w:line="268" w:lineRule="auto"/>
        <w:rPr>
          <w:sz w:val="20"/>
          <w:szCs w:val="20"/>
          <w:color w:val="auto"/>
        </w:rPr>
      </w:pPr>
      <w:r>
        <w:rPr>
          <w:rFonts w:ascii="Times New Roman" w:cs="Times New Roman" w:eastAsia="Times New Roman" w:hAnsi="Times New Roman"/>
          <w:sz w:val="13"/>
          <w:szCs w:val="13"/>
          <w:color w:val="auto"/>
        </w:rPr>
        <w:t>2)no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23"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 -year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32" w:lineRule="exact"/>
        <w:rPr>
          <w:sz w:val="20"/>
          <w:szCs w:val="20"/>
          <w:color w:val="auto"/>
        </w:rPr>
      </w:pPr>
    </w:p>
    <w:p>
      <w:pPr>
        <w:ind w:right="240" w:firstLine="420"/>
        <w:spacing w:after="0" w:line="262" w:lineRule="auto"/>
        <w:rPr>
          <w:sz w:val="20"/>
          <w:szCs w:val="20"/>
          <w:color w:val="auto"/>
        </w:rPr>
      </w:pPr>
      <w:r>
        <w:rPr>
          <w:rFonts w:ascii="Times New Roman" w:cs="Times New Roman" w:eastAsia="Times New Roman" w:hAnsi="Times New Roman"/>
          <w:sz w:val="13"/>
          <w:szCs w:val="13"/>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2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as a RIC</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91"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94"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Gain or loss realized by us from equity securities and warrants acquired by us, as well as any loss attributable to the lapse of such warrants, generally will be treated as capital gain or loss.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gain or loss generally will be long-term or short-term, depending on how long we held a particular warrant.</w:t>
      </w:r>
    </w:p>
    <w:p>
      <w:pPr>
        <w:spacing w:after="0" w:line="113"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94"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Qualify as a RIC</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91"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4" w:right="660" w:bottom="1440" w:gutter="0" w:footer="0" w:header="0"/>
        </w:sectPr>
      </w:pPr>
    </w:p>
    <w:bookmarkStart w:id="19" w:name="page20"/>
    <w:bookmarkEnd w:id="19"/>
    <w:p>
      <w:pPr>
        <w:ind w:left="80"/>
        <w:spacing w:after="0" w:line="259" w:lineRule="auto"/>
        <w:rPr>
          <w:sz w:val="20"/>
          <w:szCs w:val="20"/>
          <w:color w:val="auto"/>
        </w:rPr>
      </w:pPr>
      <w:r>
        <w:rPr>
          <w:rFonts w:ascii="Times New Roman" w:cs="Times New Roman" w:eastAsia="Times New Roman" w:hAnsi="Times New Roman"/>
          <w:sz w:val="13"/>
          <w:szCs w:val="13"/>
          <w:color w:val="auto"/>
        </w:rPr>
        <w:t>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Item 1A.</w:t>
      </w:r>
      <w:r>
        <w:rPr>
          <w:sz w:val="20"/>
          <w:szCs w:val="20"/>
          <w:color w:val="auto"/>
        </w:rPr>
        <w:tab/>
      </w:r>
      <w:r>
        <w:rPr>
          <w:rFonts w:ascii="Times New Roman" w:cs="Times New Roman" w:eastAsia="Times New Roman" w:hAnsi="Times New Roman"/>
          <w:sz w:val="12"/>
          <w:szCs w:val="12"/>
          <w:b w:val="1"/>
          <w:bCs w:val="1"/>
          <w:color w:val="auto"/>
        </w:rPr>
        <w:t>Risk Factors</w:t>
      </w:r>
    </w:p>
    <w:p>
      <w:pPr>
        <w:spacing w:after="0" w:line="127" w:lineRule="exact"/>
        <w:rPr>
          <w:sz w:val="20"/>
          <w:szCs w:val="20"/>
          <w:color w:val="auto"/>
        </w:rPr>
      </w:pPr>
    </w:p>
    <w:p>
      <w:pPr>
        <w:ind w:left="80" w:right="40" w:firstLine="420"/>
        <w:spacing w:after="0" w:line="260" w:lineRule="auto"/>
        <w:rPr>
          <w:sz w:val="20"/>
          <w:szCs w:val="20"/>
          <w:color w:val="auto"/>
        </w:rPr>
      </w:pPr>
      <w:r>
        <w:rPr>
          <w:rFonts w:ascii="Times New Roman" w:cs="Times New Roman" w:eastAsia="Times New Roman" w:hAnsi="Times New Roman"/>
          <w:sz w:val="13"/>
          <w:szCs w:val="13"/>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an investor may lose all or part of an investment.</w:t>
      </w:r>
    </w:p>
    <w:p>
      <w:pPr>
        <w:spacing w:after="0" w:line="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RISKS RELATING TO OUR BUSINESS AND STRUCTURE</w:t>
      </w:r>
    </w:p>
    <w:p>
      <w:pPr>
        <w:spacing w:after="0" w:line="125" w:lineRule="exact"/>
        <w:rPr>
          <w:sz w:val="20"/>
          <w:szCs w:val="20"/>
          <w:color w:val="auto"/>
        </w:rPr>
      </w:pPr>
    </w:p>
    <w:p>
      <w:pPr>
        <w:ind w:left="80" w:right="1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subject to various covenants under Funding I’s Credit Facility which, if not complied with, could result in reduced availability and/or mandatory prepayments under Funding I’s Credit Facility, our 2026 Notes, our 2031 Asset-Backed Debt, 2036-R Asset-Backed Debt, and our 2036 Asset-Backed Debt.</w:t>
      </w:r>
    </w:p>
    <w:p>
      <w:pPr>
        <w:spacing w:after="0" w:line="72" w:lineRule="exact"/>
        <w:rPr>
          <w:sz w:val="20"/>
          <w:szCs w:val="20"/>
          <w:color w:val="auto"/>
        </w:rPr>
      </w:pPr>
    </w:p>
    <w:p>
      <w:pPr>
        <w:ind w:left="80" w:right="60" w:firstLine="420"/>
        <w:spacing w:after="0" w:line="255" w:lineRule="auto"/>
        <w:rPr>
          <w:sz w:val="20"/>
          <w:szCs w:val="20"/>
          <w:color w:val="auto"/>
        </w:rPr>
      </w:pPr>
      <w:r>
        <w:rPr>
          <w:rFonts w:ascii="Times New Roman" w:cs="Times New Roman" w:eastAsia="Times New Roman" w:hAnsi="Times New Roman"/>
          <w:sz w:val="13"/>
          <w:szCs w:val="13"/>
          <w:color w:val="auto"/>
        </w:rPr>
        <w:t>In addition to the asset coverage ratio requirements, the Credit Facility contains various covenants applicable to Funding I, which restricts our ability to borrow funds, and, the indenture governing our 2026 Notes, the indentures governing our 2031 Asset-Backed Debt, 2036-R Asset-Backed Debt, the indenture governing our 2036 Asset-Backed Debt contain various covenants which, if not complied with, could accelerate repayment of the 2026 Notes, the 2031 Asset-Backed Debt, the 2036-R Asset-Backed Debt, and the 2036 Asset-Backed Debt, respectively. For example, the Credit Facility’s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requirement to retain our status as a RIC;</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requirement to maintain a minimum amount of stockholders’ equity; and</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requirement that our outstanding borrowings under the Credit Facility not exceed a certain percentage of the value of our portfolio.</w:t>
      </w:r>
    </w:p>
    <w:p>
      <w:pPr>
        <w:spacing w:after="0" w:line="127" w:lineRule="exact"/>
        <w:rPr>
          <w:sz w:val="20"/>
          <w:szCs w:val="20"/>
          <w:color w:val="auto"/>
        </w:rPr>
      </w:pPr>
    </w:p>
    <w:p>
      <w:pPr>
        <w:ind w:left="80" w:right="80" w:firstLine="420"/>
        <w:spacing w:after="0" w:line="259" w:lineRule="auto"/>
        <w:rPr>
          <w:sz w:val="20"/>
          <w:szCs w:val="20"/>
          <w:color w:val="auto"/>
        </w:rPr>
      </w:pPr>
      <w:r>
        <w:rPr>
          <w:rFonts w:ascii="Times New Roman" w:cs="Times New Roman" w:eastAsia="Times New Roman" w:hAnsi="Times New Roman"/>
          <w:sz w:val="13"/>
          <w:szCs w:val="13"/>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or to result in the ability of the trustee and our note holders to accelerate amounts due under the indenture governing our 2026 Notes or the indenture governing our 2031 Asset-Backed Debt, 2036-R Asset-Backed Debt or 2036 Asset- Backed Debt. This could have a material adverse effect on our operations, as it would reduce availability under the Credit Facility and could trigger mandatory prepayment obligations under the terms of the Credit Facility.</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competitive market for investment opportunities.</w:t>
      </w:r>
    </w:p>
    <w:p>
      <w:pPr>
        <w:spacing w:after="0" w:line="131" w:lineRule="exact"/>
        <w:rPr>
          <w:sz w:val="20"/>
          <w:szCs w:val="20"/>
          <w:color w:val="auto"/>
        </w:rPr>
      </w:pPr>
    </w:p>
    <w:p>
      <w:pPr>
        <w:ind w:left="80" w:right="120" w:firstLine="420"/>
        <w:spacing w:after="0" w:line="254" w:lineRule="auto"/>
        <w:rPr>
          <w:sz w:val="20"/>
          <w:szCs w:val="20"/>
          <w:color w:val="auto"/>
        </w:rPr>
      </w:pPr>
      <w:r>
        <w:rPr>
          <w:rFonts w:ascii="Times New Roman" w:cs="Times New Roman" w:eastAsia="Times New Roman" w:hAnsi="Times New Roman"/>
          <w:sz w:val="13"/>
          <w:szCs w:val="13"/>
          <w:color w:val="auto"/>
        </w:rPr>
        <w:t>A number of entities compete with us to make the types of investments that we make in middle- 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 -market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1" w:lineRule="exact"/>
        <w:rPr>
          <w:sz w:val="20"/>
          <w:szCs w:val="20"/>
          <w:color w:val="auto"/>
        </w:rPr>
      </w:pPr>
    </w:p>
    <w:p>
      <w:pPr>
        <w:ind w:left="80" w:right="20" w:firstLine="420"/>
        <w:spacing w:after="0" w:line="262" w:lineRule="auto"/>
        <w:rPr>
          <w:sz w:val="20"/>
          <w:szCs w:val="20"/>
          <w:color w:val="auto"/>
        </w:rPr>
      </w:pPr>
      <w:r>
        <w:rPr>
          <w:rFonts w:ascii="Times New Roman" w:cs="Times New Roman" w:eastAsia="Times New Roman" w:hAnsi="Times New Roman"/>
          <w:sz w:val="13"/>
          <w:szCs w:val="13"/>
          <w:color w:val="auto"/>
        </w:rPr>
        <w:t>Participants in our industry compete on several factors, including price, flexibility in transaction structuring, customer service, reputation, market knowledge and speed in decision- 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Our borrowers may default on their payments, which may have a materially negative effect on our financial performance.</w:t>
      </w:r>
    </w:p>
    <w:p>
      <w:pPr>
        <w:spacing w:after="0" w:line="131" w:lineRule="exact"/>
        <w:rPr>
          <w:sz w:val="20"/>
          <w:szCs w:val="20"/>
          <w:color w:val="auto"/>
        </w:rPr>
      </w:pPr>
    </w:p>
    <w:p>
      <w:pPr>
        <w:ind w:left="80" w:right="500" w:firstLine="420"/>
        <w:spacing w:after="0" w:line="286" w:lineRule="auto"/>
        <w:rPr>
          <w:sz w:val="20"/>
          <w:szCs w:val="20"/>
          <w:color w:val="auto"/>
        </w:rPr>
      </w:pPr>
      <w:r>
        <w:rPr>
          <w:rFonts w:ascii="Times New Roman" w:cs="Times New Roman" w:eastAsia="Times New Roman" w:hAnsi="Times New Roman"/>
          <w:sz w:val="13"/>
          <w:szCs w:val="13"/>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76" w:lineRule="exact"/>
        <w:rPr>
          <w:sz w:val="20"/>
          <w:szCs w:val="20"/>
          <w:color w:val="auto"/>
        </w:rPr>
      </w:pPr>
    </w:p>
    <w:p>
      <w:pPr>
        <w:ind w:left="80" w:right="40" w:firstLine="420"/>
        <w:spacing w:after="0" w:line="268" w:lineRule="auto"/>
        <w:rPr>
          <w:sz w:val="20"/>
          <w:szCs w:val="20"/>
          <w:color w:val="auto"/>
        </w:rPr>
      </w:pPr>
      <w:r>
        <w:rPr>
          <w:rFonts w:ascii="Times New Roman" w:cs="Times New Roman" w:eastAsia="Times New Roman" w:hAnsi="Times New Roman"/>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87" w:lineRule="exact"/>
        <w:rPr>
          <w:sz w:val="20"/>
          <w:szCs w:val="20"/>
          <w:color w:val="auto"/>
        </w:rPr>
      </w:pPr>
    </w:p>
    <w:p>
      <w:pPr>
        <w:ind w:left="80" w:right="180" w:firstLine="420"/>
        <w:spacing w:after="0" w:line="257" w:lineRule="auto"/>
        <w:rPr>
          <w:sz w:val="20"/>
          <w:szCs w:val="20"/>
          <w:color w:val="auto"/>
        </w:rPr>
      </w:pPr>
      <w:r>
        <w:rPr>
          <w:rFonts w:ascii="Times New Roman" w:cs="Times New Roman" w:eastAsia="Times New Roman" w:hAnsi="Times New Roman"/>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434" w:right="660" w:bottom="1440" w:gutter="0" w:footer="0" w:header="0"/>
        </w:sectPr>
      </w:pPr>
    </w:p>
    <w:bookmarkStart w:id="20" w:name="page21"/>
    <w:bookmarkEnd w:id="20"/>
    <w:p>
      <w:pPr>
        <w:ind w:right="80"/>
        <w:spacing w:after="0" w:line="262" w:lineRule="auto"/>
        <w:rPr>
          <w:sz w:val="20"/>
          <w:szCs w:val="20"/>
          <w:color w:val="auto"/>
        </w:rPr>
      </w:pPr>
      <w:r>
        <w:rPr>
          <w:rFonts w:ascii="Times New Roman" w:cs="Times New Roman" w:eastAsia="Times New Roman" w:hAnsi="Times New Roman"/>
          <w:sz w:val="13"/>
          <w:szCs w:val="13"/>
          <w:color w:val="auto"/>
        </w:rPr>
        <w:t>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adversely affect our financial condition and 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31"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91"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72"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2"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96"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exposed to risks associated with changes in interest rates that may affect our cost of capital and net investment income.</w:t>
      </w:r>
    </w:p>
    <w:p>
      <w:pPr>
        <w:spacing w:after="0" w:line="131"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01"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8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the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94" w:lineRule="exact"/>
        <w:rPr>
          <w:sz w:val="20"/>
          <w:szCs w:val="20"/>
          <w:color w:val="auto"/>
        </w:rPr>
      </w:pPr>
    </w:p>
    <w:p>
      <w:pPr>
        <w:ind w:right="40" w:firstLine="420"/>
        <w:spacing w:after="0" w:line="260" w:lineRule="auto"/>
        <w:rPr>
          <w:sz w:val="20"/>
          <w:szCs w:val="20"/>
          <w:color w:val="auto"/>
        </w:rPr>
      </w:pPr>
      <w:r>
        <w:rPr>
          <w:rFonts w:ascii="Times New Roman" w:cs="Times New Roman" w:eastAsia="Times New Roman" w:hAnsi="Times New Roman"/>
          <w:sz w:val="13"/>
          <w:szCs w:val="13"/>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any increases in our cost of borrowed funds would not be accompanied by increased interest income from such fixed-rate investments.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financial condition and results of operation depend on our ability to manage future growth effectively.</w:t>
      </w:r>
    </w:p>
    <w:p>
      <w:pPr>
        <w:spacing w:after="0" w:line="131"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34" w:right="6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31"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Our business depends on the communications and information systems, including financial and accounting systems, of the Investment Adviser, the Administrator and our external service providers. Any failure or interruption of such systems could cause delays or other problems in our activities. This, in turn, could have a material adverse effect on our business, financial condition and results of operations.</w:t>
      </w:r>
    </w:p>
    <w:p>
      <w:pPr>
        <w:spacing w:after="0" w:line="83"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2"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the subsequent testing by our independent registered public accounting firm (when undertaken, as noted below), may reveal deficiencies in our internal controls over financial reporting that are deemed to be significant deficiencies, material weaknesses or that may require prospective or retroactive changes to our consolidated financial statements or identify other areas for further attention or improvement. We have identified material weaknesses in our internal controls over financial reporting in the past and may identify other material weaknesses or significant deficiencies in the future. Inferior internal controls could also cause investors and lenders to lose confidence in our reported financial information, which could have a negative effect on the trading price of our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replicate the historical performance of other investment companies and funds with which our senior and other investment professionals have been or are affiliated.</w:t>
      </w:r>
    </w:p>
    <w:p>
      <w:pPr>
        <w:spacing w:after="0" w:line="131"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(i.e.,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failure on our part to maintain our status as a BDC would reduce our operating flexibility.</w:t>
      </w:r>
    </w:p>
    <w:p>
      <w:pPr>
        <w:spacing w:after="0" w:line="131"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Loss of RIC tax status would substantially reduce our net assets and income available for debt service and distributions.</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are deemed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an amount at least equal to the Excise Tax Avoidance Requirement.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have difficulty paying our Annual Distribution Requirement if we recognize income before or without receiving cash representing such income.</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94"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8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Legislation enacted in 2018 allows us to incur additional leverage.</w:t>
      </w:r>
    </w:p>
    <w:p>
      <w:pPr>
        <w:spacing w:after="0" w:line="131" w:lineRule="exact"/>
        <w:rPr>
          <w:sz w:val="20"/>
          <w:szCs w:val="20"/>
          <w:color w:val="auto"/>
        </w:rPr>
      </w:pPr>
    </w:p>
    <w:p>
      <w:pPr>
        <w:ind w:firstLine="420"/>
        <w:spacing w:after="0" w:line="253" w:lineRule="auto"/>
        <w:rPr>
          <w:sz w:val="20"/>
          <w:szCs w:val="20"/>
          <w:color w:val="auto"/>
        </w:rPr>
      </w:pPr>
      <w:r>
        <w:rPr>
          <w:rFonts w:ascii="Times New Roman" w:cs="Times New Roman" w:eastAsia="Times New Roman" w:hAnsi="Times New Roman"/>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such,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w:t>
      </w:r>
    </w:p>
    <w:p>
      <w:pPr>
        <w:spacing w:after="0" w:line="3" w:lineRule="exact"/>
        <w:rPr>
          <w:sz w:val="20"/>
          <w:szCs w:val="20"/>
          <w:color w:val="auto"/>
        </w:rPr>
      </w:pPr>
    </w:p>
    <w:p>
      <w:pPr>
        <w:ind w:left="5220" w:right="3440" w:hanging="5214"/>
        <w:spacing w:after="0" w:line="899" w:lineRule="auto"/>
        <w:tabs>
          <w:tab w:leader="none" w:pos="19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1940 Act permits BDCs to potentially increase their debt-to-equity ratio from a maximum of 1-to-1 to a maximum of 2-to-1.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151130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30" w:right="700" w:bottom="1440" w:gutter="0" w:footer="0" w:header="0"/>
        </w:sectPr>
      </w:pPr>
    </w:p>
    <w:bookmarkStart w:id="22" w:name="page23"/>
    <w:bookmarkEnd w:id="22"/>
    <w:p>
      <w:pPr>
        <w:ind w:right="500" w:firstLine="420"/>
        <w:spacing w:after="0" w:line="286" w:lineRule="auto"/>
        <w:rPr>
          <w:sz w:val="20"/>
          <w:szCs w:val="20"/>
          <w:color w:val="auto"/>
        </w:rPr>
      </w:pPr>
      <w:r>
        <w:rPr>
          <w:rFonts w:ascii="Times New Roman" w:cs="Times New Roman" w:eastAsia="Times New Roman" w:hAnsi="Times New Roman"/>
          <w:sz w:val="13"/>
          <w:szCs w:val="13"/>
          <w:color w:val="auto"/>
        </w:rPr>
        <w:t>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72"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72"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23" w:lineRule="exact"/>
        <w:rPr>
          <w:sz w:val="20"/>
          <w:szCs w:val="20"/>
          <w:color w:val="auto"/>
        </w:rPr>
      </w:pPr>
    </w:p>
    <w:p>
      <w:pPr>
        <w:ind w:right="40" w:firstLine="420"/>
        <w:spacing w:after="0" w:line="258" w:lineRule="auto"/>
        <w:rPr>
          <w:sz w:val="20"/>
          <w:szCs w:val="20"/>
          <w:color w:val="auto"/>
        </w:rPr>
      </w:pPr>
      <w:r>
        <w:rPr>
          <w:rFonts w:ascii="Times New Roman" w:cs="Times New Roman" w:eastAsia="Times New Roman" w:hAnsi="Times New Roman"/>
          <w:sz w:val="13"/>
          <w:szCs w:val="13"/>
          <w:color w:val="auto"/>
        </w:rPr>
        <w:t>As noted above, on April 5, 2018, our board of directors, including a “required majority” (as such term is defined in Section 57(o) of the 1940 Act), approved a reduction of our asset coverage ratio from 200% to 150%.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253"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Regulations governing our operation as a BDC will affect our ability to, and the way in which we, raise additional capital.</w:t>
      </w:r>
    </w:p>
    <w:p>
      <w:pPr>
        <w:spacing w:after="0" w:line="131"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limitations.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harm our business, financial condition and results of operations.</w:t>
      </w:r>
    </w:p>
    <w:p>
      <w:pPr>
        <w:spacing w:after="0" w:line="92" w:lineRule="exact"/>
        <w:rPr>
          <w:sz w:val="20"/>
          <w:szCs w:val="20"/>
          <w:color w:val="auto"/>
        </w:rPr>
      </w:pPr>
    </w:p>
    <w:p>
      <w:pPr>
        <w:ind w:left="540" w:right="60"/>
        <w:spacing w:after="0" w:line="26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Senior Securities.</w:t>
      </w:r>
      <w:r>
        <w:rPr>
          <w:rFonts w:ascii="Times New Roman" w:cs="Times New Roman" w:eastAsia="Times New Roman" w:hAnsi="Times New Roman"/>
          <w:sz w:val="13"/>
          <w:szCs w:val="13"/>
          <w:color w:val="auto"/>
        </w:rPr>
        <w:t xml:space="preserve"> As a result of issuing senior securities, including our 2026 Notes, we are exposed to typical risks associated with leverage, including 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7"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Additional Common Stock.</w:t>
      </w:r>
      <w:r>
        <w:rPr>
          <w:rFonts w:ascii="Times New Roman" w:cs="Times New Roman" w:eastAsia="Times New Roman" w:hAnsi="Times New Roman"/>
          <w:sz w:val="13"/>
          <w:szCs w:val="13"/>
          <w:color w:val="auto"/>
        </w:rPr>
        <w:t xml:space="preserve"> Our board of directors may decide to issue common stock to finance our operations rather than issuing debt or other 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N- 2,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23" w:name="page24"/>
    <w:bookmarkEnd w:id="23"/>
    <w:p>
      <w:pPr>
        <w:ind w:left="540" w:right="120"/>
        <w:spacing w:after="0" w:line="25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Securitization.</w:t>
      </w:r>
      <w:r>
        <w:rPr>
          <w:rFonts w:ascii="Times New Roman" w:cs="Times New Roman" w:eastAsia="Times New Roman" w:hAnsi="Times New Roman"/>
          <w:sz w:val="13"/>
          <w:szCs w:val="13"/>
          <w:color w:val="auto"/>
        </w:rPr>
        <w:t xml:space="preserve"> As a result of the completion of the Debt Securitization, we are exposed to typical risks associated with the securitization of loans to generate cash for funding new investments. As applicable accounting pronouncements and SEC staff guidance requires us to consolidate the Securitization Issuers’ financial statements with our financial statements, any debt issued by the Securitization Issuers would be generally treated as if it were issued by us for purposes of the asset coverage ratio applicable to us. We retain all of the equity in the Securitization Issuers and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currently use borrowed funds to make investments and are exposed to the typical risks associated with leverage.</w:t>
      </w:r>
    </w:p>
    <w:p>
      <w:pPr>
        <w:spacing w:after="0" w:line="131"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87" w:lineRule="exact"/>
        <w:rPr>
          <w:sz w:val="20"/>
          <w:szCs w:val="20"/>
          <w:color w:val="auto"/>
        </w:rPr>
      </w:pPr>
    </w:p>
    <w:p>
      <w:pPr>
        <w:ind w:right="280" w:firstLine="420"/>
        <w:spacing w:after="0" w:line="259" w:lineRule="auto"/>
        <w:rPr>
          <w:sz w:val="20"/>
          <w:szCs w:val="20"/>
          <w:color w:val="auto"/>
        </w:rPr>
      </w:pPr>
      <w:r>
        <w:rPr>
          <w:rFonts w:ascii="Times New Roman" w:cs="Times New Roman" w:eastAsia="Times New Roman" w:hAnsi="Times New Roman"/>
          <w:sz w:val="13"/>
          <w:szCs w:val="13"/>
          <w:color w:val="auto"/>
        </w:rPr>
        <w:t>Our current debt is governed by the terms of the Credit Facility, the indenture governing our 2026 Notes, the indenture governing the 2031 Asset-Backed Debt, the indenture governing the 2036-R Asset-Backed Debt, and the indenture governing the 2036 Asset-Backed Debt,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incur additional debt, it could increase the risk of investing in our shares.</w:t>
      </w:r>
    </w:p>
    <w:p>
      <w:pPr>
        <w:spacing w:after="0" w:line="131"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We have indebtedness outstanding pursuant to the Credit Facility, 2026 Notes, the 2031 Asset-Backed Debt, the 2036-R Asset- Backed Debt, and the 2036 Asset-Backed Debt and expect in the future to borrow additional amounts under the Credit Facility or otherwise, subject to market availability, and, may increase the size of the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the Credit Facility borrowings. In the case of a liquidation event, those lenders would receive proceeds before our stockholders. Any future debt issuance will increase our leverage and may be subordinate to the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34" w:lineRule="exact"/>
        <w:rPr>
          <w:sz w:val="20"/>
          <w:szCs w:val="20"/>
          <w:color w:val="auto"/>
        </w:rPr>
      </w:pPr>
    </w:p>
    <w:p>
      <w:pPr>
        <w:ind w:right="340" w:firstLine="420"/>
        <w:spacing w:after="0" w:line="268" w:lineRule="auto"/>
        <w:rPr>
          <w:sz w:val="20"/>
          <w:szCs w:val="20"/>
          <w:color w:val="auto"/>
        </w:rPr>
      </w:pPr>
      <w:r>
        <w:rPr>
          <w:rFonts w:ascii="Times New Roman" w:cs="Times New Roman" w:eastAsia="Times New Roman" w:hAnsi="Times New Roman"/>
          <w:sz w:val="13"/>
          <w:szCs w:val="13"/>
          <w:color w:val="auto"/>
        </w:rPr>
        <w:t>As noted above, on April 5, 2018, our board of directors, including a “required majority” (as such term is defined in Section 57(o) of the 1940 Act), and our stockholders, respectively, approved a reduction of our asset coverage ratio. As a result, the asset coverage requirement applicable to us for senior securities was reduced from 200% to 150%, so long as we comply with the applicable disclosure requirements, which may increase the risk of investing in us.</w:t>
      </w:r>
    </w:p>
    <w:p>
      <w:pPr>
        <w:spacing w:after="0" w:line="123"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and 2023, our asset coverage ratio, as computed in accordance with the 1940 Act, was 174% and 230%, respectively. Since our leverage was 135% and 76% of our net assets as of September 30, 2024 and 2023, respectively, we would have to receive an annual return of at least 4.0% and 2.4%, respectively, to cover annual interest payments.</w:t>
      </w:r>
    </w:p>
    <w:p>
      <w:pPr>
        <w:spacing w:after="0" w:line="112" w:lineRule="exact"/>
        <w:rPr>
          <w:sz w:val="20"/>
          <w:szCs w:val="20"/>
          <w:color w:val="auto"/>
        </w:rPr>
      </w:pPr>
    </w:p>
    <w:p>
      <w:pPr>
        <w:ind w:right="220" w:firstLine="420"/>
        <w:spacing w:after="0" w:line="259" w:lineRule="auto"/>
        <w:rPr>
          <w:sz w:val="20"/>
          <w:szCs w:val="20"/>
          <w:color w:val="auto"/>
        </w:rPr>
      </w:pPr>
      <w:r>
        <w:rPr>
          <w:rFonts w:ascii="Times New Roman" w:cs="Times New Roman" w:eastAsia="Times New Roman" w:hAnsi="Times New Roman"/>
          <w:sz w:val="13"/>
          <w:szCs w:val="13"/>
          <w:color w:val="auto"/>
        </w:rPr>
        <w:t>As of September 30, 2024, we had outstanding borrowings of $443.9 million under the Credit Facility, zero outstanding under our 2023 Notes, $185.0 million under our 2026 Notes, $266.0 million outstanding under the 2036-R Asset -Backed Debt, and $287.0 million outstanding under the 2036 Asset-Backed Debt. Our consolidated debt outstanding was $1,181.9 million and had a weighted average annual interest rate at the time of 7.0%, exclusive of the fees on the undrawn commitment on the Credit Facility. This example is for illustrative purposes only, and actual interest rates on the Credit Facility or any future borrowings are likely to fluctuate. The costs associated with our borrowings, including any increase in the management fee or incentive fee payable to our Investment Adviser, are and will be borne by our stockholders.</w:t>
      </w:r>
    </w:p>
    <w:p>
      <w:pPr>
        <w:spacing w:after="0" w:line="130"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The following table is designed to illustrate the effect on the return to a holder of our common stock of the leverage created by our use of borrowing as of September 30, 2024 of 55.8% of total assets (including such borrowed funds), at the current interest rate at the time of 7.0%,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Assumed return on portfolio (net of expenses) </w:t>
            </w:r>
            <w:r>
              <w:rPr>
                <w:rFonts w:ascii="Times New Roman" w:cs="Times New Roman" w:eastAsia="Times New Roman" w:hAnsi="Times New Roman"/>
                <w:sz w:val="16"/>
                <w:szCs w:val="16"/>
                <w:color w:val="auto"/>
                <w:vertAlign w:val="superscript"/>
              </w:rPr>
              <w:t>(1)</w:t>
            </w:r>
          </w:p>
        </w:tc>
        <w:tc>
          <w:tcPr>
            <w:tcW w:w="1920" w:type="dxa"/>
            <w:vAlign w:val="bottom"/>
            <w:shd w:val="clear" w:color="auto" w:fill="CCECFF"/>
          </w:tcPr>
          <w:p>
            <w:pPr>
              <w:jc w:val="right"/>
              <w:ind w:right="434"/>
              <w:spacing w:after="0"/>
              <w:rPr>
                <w:sz w:val="20"/>
                <w:szCs w:val="20"/>
                <w:color w:val="auto"/>
              </w:rPr>
            </w:pPr>
            <w:r>
              <w:rPr>
                <w:rFonts w:ascii="Times New Roman" w:cs="Times New Roman" w:eastAsia="Times New Roman" w:hAnsi="Times New Roman"/>
                <w:sz w:val="13"/>
                <w:szCs w:val="13"/>
                <w:color w:val="auto"/>
              </w:rPr>
              <w:t>(10.0 )%</w:t>
            </w:r>
          </w:p>
        </w:tc>
        <w:tc>
          <w:tcPr>
            <w:tcW w:w="1480" w:type="dxa"/>
            <w:vAlign w:val="bottom"/>
            <w:shd w:val="clear" w:color="auto" w:fill="CCECFF"/>
          </w:tcPr>
          <w:p>
            <w:pPr>
              <w:jc w:val="right"/>
              <w:ind w:right="474"/>
              <w:spacing w:after="0"/>
              <w:rPr>
                <w:sz w:val="20"/>
                <w:szCs w:val="20"/>
                <w:color w:val="auto"/>
              </w:rPr>
            </w:pPr>
            <w:r>
              <w:rPr>
                <w:rFonts w:ascii="Times New Roman" w:cs="Times New Roman" w:eastAsia="Times New Roman" w:hAnsi="Times New Roman"/>
                <w:sz w:val="13"/>
                <w:szCs w:val="13"/>
                <w:color w:val="auto"/>
              </w:rPr>
              <w:t>(5.0 )%</w:t>
            </w:r>
          </w:p>
        </w:tc>
        <w:tc>
          <w:tcPr>
            <w:tcW w:w="144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0 %</w:t>
            </w:r>
          </w:p>
        </w:tc>
        <w:tc>
          <w:tcPr>
            <w:tcW w:w="1320" w:type="dxa"/>
            <w:vAlign w:val="bottom"/>
            <w:shd w:val="clear" w:color="auto" w:fill="CCECFF"/>
          </w:tcPr>
          <w:p>
            <w:pPr>
              <w:jc w:val="right"/>
              <w:ind w:right="434"/>
              <w:spacing w:after="0"/>
              <w:rPr>
                <w:sz w:val="20"/>
                <w:szCs w:val="20"/>
                <w:color w:val="auto"/>
              </w:rPr>
            </w:pPr>
            <w:r>
              <w:rPr>
                <w:rFonts w:ascii="Times New Roman" w:cs="Times New Roman" w:eastAsia="Times New Roman" w:hAnsi="Times New Roman"/>
                <w:sz w:val="13"/>
                <w:szCs w:val="13"/>
                <w:color w:val="auto"/>
              </w:rPr>
              <w:t>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40" w:type="dxa"/>
            <w:vAlign w:val="bottom"/>
          </w:tcPr>
          <w:p>
            <w:pPr>
              <w:spacing w:after="0"/>
              <w:rPr>
                <w:sz w:val="16"/>
                <w:szCs w:val="16"/>
                <w:color w:val="auto"/>
              </w:rPr>
            </w:pPr>
          </w:p>
        </w:tc>
      </w:tr>
      <w:tr>
        <w:trPr>
          <w:trHeight w:val="219"/>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Corresponding return to common stockholders </w:t>
            </w:r>
            <w:r>
              <w:rPr>
                <w:rFonts w:ascii="Times New Roman" w:cs="Times New Roman" w:eastAsia="Times New Roman" w:hAnsi="Times New Roman"/>
                <w:sz w:val="16"/>
                <w:szCs w:val="16"/>
                <w:color w:val="auto"/>
                <w:vertAlign w:val="superscript"/>
              </w:rPr>
              <w:t>(2)</w:t>
            </w:r>
          </w:p>
        </w:tc>
        <w:tc>
          <w:tcPr>
            <w:tcW w:w="192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(33.5 )%</w:t>
            </w:r>
          </w:p>
        </w:tc>
        <w:tc>
          <w:tcPr>
            <w:tcW w:w="148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(21.5 )%</w:t>
            </w: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(9.5 )%</w:t>
            </w: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2.5 %</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40" w:type="dxa"/>
            <w:vAlign w:val="bottom"/>
          </w:tcPr>
          <w:p>
            <w:pPr>
              <w:spacing w:after="0"/>
              <w:rPr>
                <w:sz w:val="19"/>
                <w:szCs w:val="19"/>
                <w:color w:val="auto"/>
              </w:rPr>
            </w:pPr>
          </w:p>
        </w:tc>
      </w:tr>
    </w:tbl>
    <w:p>
      <w:pPr>
        <w:spacing w:after="0" w:line="23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The assumed portfolio return is required by regulation of the SEC and is not a prediction of, and does not represent, our projected or actual performance.</w:t>
      </w:r>
    </w:p>
    <w:p>
      <w:pPr>
        <w:ind w:right="120"/>
        <w:spacing w:after="0" w:line="213"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8"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72"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30" w:right="6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 the future determine to fund a portion of our investments with debt securities, which would magnify the potential for loss and the risks of investing in us.</w:t>
      </w:r>
    </w:p>
    <w:p>
      <w:pPr>
        <w:spacing w:after="0" w:line="131"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As a result of any issuance of debt securities and borrowings under the Credit Facility, the 2026 Notes, the 2036-R Asset-Backed Debt and the 2036 Asset -Backed Debt,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credit ratings may not reflect all risks of an investment in our debt securities.</w:t>
      </w:r>
    </w:p>
    <w:p>
      <w:pPr>
        <w:spacing w:after="0" w:line="131" w:lineRule="exact"/>
        <w:rPr>
          <w:sz w:val="20"/>
          <w:szCs w:val="20"/>
          <w:color w:val="auto"/>
        </w:rPr>
      </w:pPr>
    </w:p>
    <w:p>
      <w:pPr>
        <w:jc w:val="both"/>
        <w:ind w:right="200" w:firstLine="420"/>
        <w:spacing w:after="0" w:line="262" w:lineRule="auto"/>
        <w:rPr>
          <w:sz w:val="20"/>
          <w:szCs w:val="20"/>
          <w:color w:val="auto"/>
        </w:rPr>
      </w:pPr>
      <w:r>
        <w:rPr>
          <w:rFonts w:ascii="Times New Roman" w:cs="Times New Roman" w:eastAsia="Times New Roman" w:hAnsi="Times New Roman"/>
          <w:sz w:val="13"/>
          <w:szCs w:val="13"/>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31"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Our Credit Facility expires in August 2029. We utilize proceeds from the Credit Facility to make investments in our portfolio companies. The duration of many of our investments exceeds the duration of our indebtedness under the Credit Facility. This means that we will have to extend the maturity of the Credit Facility or refinance our indebtedness under the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the Credit Facility on terms as favorable as those in our existing Credit Facility. If we fail to extend or refinance the indebtedness outstanding under the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receive cash on our equity interests from Funding I.</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are significant potential conflicts of interest which could impact our investment returns.</w:t>
      </w:r>
    </w:p>
    <w:p>
      <w:pPr>
        <w:spacing w:after="0" w:line="1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96"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94"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91"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0" w:right="66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risks associated with cybersecurity and cyber incidents.</w:t>
      </w:r>
    </w:p>
    <w:p>
      <w:pPr>
        <w:spacing w:after="0" w:line="1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continues to be a key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experience fluctuations in our quarterly results.</w:t>
      </w:r>
    </w:p>
    <w:p>
      <w:pPr>
        <w:spacing w:after="0" w:line="131"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the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the Credit Facility. This is expected to mitigate volatility in our earnings and NAV. As a result, results for any period should not be relied upon as being indicative of future performance.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 the future issue securities for which there is no public market and for which we expect no public market to develop.</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New York Stock Exchange,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issue preferred stock, debt securities or convertible debt securities the NAV and market value of our common stock may become more volatile.</w:t>
      </w:r>
    </w:p>
    <w:p>
      <w:pPr>
        <w:spacing w:after="0" w:line="131" w:lineRule="exact"/>
        <w:rPr>
          <w:sz w:val="20"/>
          <w:szCs w:val="20"/>
          <w:color w:val="auto"/>
        </w:rPr>
      </w:pPr>
    </w:p>
    <w:p>
      <w:pPr>
        <w:ind w:right="140" w:firstLine="420"/>
        <w:spacing w:after="0" w:line="256" w:lineRule="auto"/>
        <w:rPr>
          <w:sz w:val="20"/>
          <w:szCs w:val="20"/>
          <w:color w:val="auto"/>
        </w:rPr>
      </w:pPr>
      <w:r>
        <w:rPr>
          <w:rFonts w:ascii="Times New Roman" w:cs="Times New Roman" w:eastAsia="Times New Roman" w:hAnsi="Times New Roman"/>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6"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ability to sell investments held by Funding I is limited.</w:t>
      </w:r>
    </w:p>
    <w:p>
      <w:pPr>
        <w:spacing w:after="0" w:line="131" w:lineRule="exact"/>
        <w:rPr>
          <w:sz w:val="20"/>
          <w:szCs w:val="20"/>
          <w:color w:val="auto"/>
        </w:rPr>
      </w:pPr>
    </w:p>
    <w:p>
      <w:pPr>
        <w:jc w:val="both"/>
        <w:ind w:right="100" w:firstLine="420"/>
        <w:spacing w:after="0" w:line="286" w:lineRule="auto"/>
        <w:rPr>
          <w:sz w:val="20"/>
          <w:szCs w:val="20"/>
          <w:color w:val="auto"/>
        </w:rPr>
      </w:pPr>
      <w:r>
        <w:rPr>
          <w:rFonts w:ascii="Times New Roman" w:cs="Times New Roman" w:eastAsia="Times New Roman" w:hAnsi="Times New Roman"/>
          <w:sz w:val="13"/>
          <w:szCs w:val="13"/>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trading market or market value of any publicly issued debt or convertible debt securities may be volatile.</w:t>
      </w:r>
    </w:p>
    <w:p>
      <w:pPr>
        <w:spacing w:after="0" w:line="131"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These factors include the following: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time remaining to the maturity of these debt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outstanding principal amount of debt securities with terms identical or similar to these debt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supply of debt securities trading in the secondary market, if any;</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redemption, repayment or convertible features, if any, of these debt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level, direction and volatility of market interest rates;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•market rates of interest higher or lower than rates borne by the debt securities.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0" w:right="680" w:bottom="1440" w:gutter="0" w:footer="0" w:header="0"/>
        </w:sectPr>
      </w:pPr>
    </w:p>
    <w:bookmarkStart w:id="26" w:name="page27"/>
    <w:bookmarkEnd w:id="26"/>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Terms relating to debt redemption may have a material adverse effect on the return on any debt securities.</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issue subscription rights or warrants for our common stock, your interest in us may be diluted as a result of such rights or warrants offering.</w:t>
      </w:r>
    </w:p>
    <w:p>
      <w:pPr>
        <w:spacing w:after="0" w:line="131"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87"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laws or regulations governing our operations or those of our portfolio companies may adversely affect our business.</w:t>
      </w:r>
    </w:p>
    <w:p>
      <w:pPr>
        <w:spacing w:after="0" w:line="19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come into effect. Accordingly, any change in law and regulations, changes in administration or control of U.S. Congress, changes in interpretations, or newly enacted laws or regulations could have a material adverse effect on our business or the business of our portfolio companies. See “Business— Regulation” for more information.</w:t>
      </w:r>
    </w:p>
    <w:p>
      <w:pPr>
        <w:spacing w:after="0" w:line="127"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Over the past several years, there also has been increasing regulatory attention to the extension of credit outside of the traditional banking sector, raising the possibility that some portion of the non-bank financial sector may be subject to new regulation. While it cannot be known at this time whether any regulation will be implemented or what form it will take, increased regulation of non-bank lending could be materially adverse to our business, financial conditions and results of operation. We may experience fluctuations in our quarterly results.</w:t>
      </w:r>
    </w:p>
    <w:p>
      <w:pPr>
        <w:spacing w:after="0" w:line="123"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board of directors may change our investment objectives, operating policies and strategies without prior notice or stockholder approval.</w:t>
      </w:r>
    </w:p>
    <w:p>
      <w:pPr>
        <w:spacing w:after="0" w:line="131"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has the authority to modify or waive certain of our operating policies and strategies without prior notice and without stockholder approval (except as required by the 1940 Act) .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135"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72"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impacted the BDC space.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THE ILLIQUID NATURE OF OUR PORTFOLIO ASSETS</w:t>
      </w:r>
    </w:p>
    <w:p>
      <w:pPr>
        <w:spacing w:after="0" w:line="125"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72"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96"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27" w:name="page28"/>
    <w:bookmarkEnd w:id="27"/>
    <w:p>
      <w:pPr>
        <w:ind w:right="80"/>
        <w:spacing w:after="0" w:line="286" w:lineRule="auto"/>
        <w:rPr>
          <w:sz w:val="20"/>
          <w:szCs w:val="20"/>
          <w:color w:val="auto"/>
        </w:rPr>
      </w:pPr>
      <w:r>
        <w:rPr>
          <w:rFonts w:ascii="Times New Roman" w:cs="Times New Roman" w:eastAsia="Times New Roman" w:hAnsi="Times New Roman"/>
          <w:sz w:val="13"/>
          <w:szCs w:val="13"/>
          <w:color w:val="auto"/>
        </w:rPr>
        <w:t>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76"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lack of liquidity in our investments may adversely affect our business.</w:t>
      </w:r>
    </w:p>
    <w:p>
      <w:pPr>
        <w:spacing w:after="0" w:line="131" w:lineRule="exact"/>
        <w:rPr>
          <w:sz w:val="20"/>
          <w:szCs w:val="20"/>
          <w:color w:val="auto"/>
        </w:rPr>
      </w:pPr>
    </w:p>
    <w:p>
      <w:pPr>
        <w:jc w:val="both"/>
        <w:ind w:right="320" w:firstLine="420"/>
        <w:spacing w:after="0" w:line="268" w:lineRule="auto"/>
        <w:rPr>
          <w:sz w:val="20"/>
          <w:szCs w:val="20"/>
          <w:color w:val="auto"/>
        </w:rPr>
      </w:pPr>
      <w:r>
        <w:rPr>
          <w:rFonts w:ascii="Times New Roman" w:cs="Times New Roman" w:eastAsia="Times New Roman" w:hAnsi="Times New Roman"/>
          <w:sz w:val="13"/>
          <w:szCs w:val="13"/>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8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9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general disruption in the credit markets could materially damage our business.</w:t>
      </w:r>
    </w:p>
    <w:p>
      <w:pPr>
        <w:spacing w:after="0" w:line="131"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an economic downturn or recession or an operational problem that affects our counterparties or us, and could materially damage our business.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invest in over-the-counter securities, which have and may continue to face liquidity constraints, to provide us with liquidity.</w:t>
      </w:r>
    </w:p>
    <w:p>
      <w:pPr>
        <w:spacing w:after="0" w:line="131"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The market for over- the -counter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OUR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prospective portfolio companies may be risky, and an investor could lose all or part of an investment.</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intend to invest primarily in floating rate loans, which may consist of first lien secured debt, second lien secured debt, subordinated debt and selected equity investments issued by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middle-market companies.</w:t>
      </w:r>
    </w:p>
    <w:p>
      <w:pPr>
        <w:spacing w:after="0" w:line="109"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b w:val="1"/>
          <w:bCs w:val="1"/>
          <w:i w:val="1"/>
          <w:iCs w:val="1"/>
          <w:color w:val="auto"/>
        </w:rPr>
        <w:t>Floating Rate Loans:</w:t>
      </w:r>
      <w:r>
        <w:rPr>
          <w:rFonts w:ascii="Times New Roman" w:cs="Times New Roman" w:eastAsia="Times New Roman" w:hAnsi="Times New Roman"/>
          <w:sz w:val="13"/>
          <w:szCs w:val="13"/>
          <w:color w:val="auto"/>
        </w:rPr>
        <w:t xml:space="preserve"> The floating rate loans we invest in are usually rated below investment grade or may also be unrated. Investments in 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 grade, variable-rate securities.</w:t>
      </w:r>
    </w:p>
    <w:p>
      <w:pPr>
        <w:spacing w:after="0" w:line="96" w:lineRule="exact"/>
        <w:rPr>
          <w:sz w:val="20"/>
          <w:szCs w:val="20"/>
          <w:color w:val="auto"/>
        </w:rPr>
      </w:pPr>
    </w:p>
    <w:p>
      <w:pPr>
        <w:ind w:left="880" w:right="40"/>
        <w:spacing w:after="0" w:line="255" w:lineRule="auto"/>
        <w:rPr>
          <w:sz w:val="20"/>
          <w:szCs w:val="20"/>
          <w:color w:val="auto"/>
        </w:rPr>
      </w:pPr>
      <w:r>
        <w:rPr>
          <w:rFonts w:ascii="Times New Roman" w:cs="Times New Roman" w:eastAsia="Times New Roman" w:hAnsi="Times New Roman"/>
          <w:sz w:val="13"/>
          <w:szCs w:val="13"/>
          <w:color w:val="auto"/>
        </w:rPr>
        <w:t>Floating rate loans are subject to the risk of non- payment of scheduled interest or principal. Such non- 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action could materially negatively affect our performance.</w:t>
      </w:r>
    </w:p>
    <w:p>
      <w:pPr>
        <w:spacing w:after="0" w:line="98" w:lineRule="exact"/>
        <w:rPr>
          <w:sz w:val="20"/>
          <w:szCs w:val="20"/>
          <w:color w:val="auto"/>
        </w:rPr>
      </w:pPr>
    </w:p>
    <w:p>
      <w:pPr>
        <w:ind w:left="880" w:right="80"/>
        <w:spacing w:after="0" w:line="257" w:lineRule="auto"/>
        <w:rPr>
          <w:sz w:val="20"/>
          <w:szCs w:val="20"/>
          <w:color w:val="auto"/>
        </w:rPr>
      </w:pPr>
      <w:r>
        <w:rPr>
          <w:rFonts w:ascii="Times New Roman" w:cs="Times New Roman" w:eastAsia="Times New Roman" w:hAnsi="Times New Roman"/>
          <w:sz w:val="13"/>
          <w:szCs w:val="13"/>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4" w:right="660" w:bottom="1440" w:gutter="0" w:footer="0" w:header="0"/>
        </w:sectPr>
      </w:pPr>
    </w:p>
    <w:bookmarkStart w:id="28" w:name="page29"/>
    <w:bookmarkEnd w:id="28"/>
    <w:p>
      <w:pPr>
        <w:ind w:left="880" w:right="40"/>
        <w:spacing w:after="0" w:line="259" w:lineRule="auto"/>
        <w:rPr>
          <w:sz w:val="20"/>
          <w:szCs w:val="20"/>
          <w:color w:val="auto"/>
        </w:rPr>
      </w:pPr>
      <w:r>
        <w:rPr>
          <w:rFonts w:ascii="Times New Roman" w:cs="Times New Roman" w:eastAsia="Times New Roman" w:hAnsi="Times New Roman"/>
          <w:sz w:val="13"/>
          <w:szCs w:val="13"/>
          <w:color w:val="auto"/>
        </w:rPr>
        <w:t>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 Floating rate loans can be first lien secured debt, second lien secured debt or subordinated debt.</w:t>
      </w:r>
    </w:p>
    <w:p>
      <w:pPr>
        <w:spacing w:after="0" w:line="90" w:lineRule="exact"/>
        <w:rPr>
          <w:sz w:val="20"/>
          <w:szCs w:val="20"/>
          <w:color w:val="auto"/>
        </w:rPr>
      </w:pPr>
    </w:p>
    <w:p>
      <w:pPr>
        <w:ind w:left="540"/>
        <w:spacing w:after="0" w:line="257" w:lineRule="auto"/>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b w:val="1"/>
          <w:bCs w:val="1"/>
          <w:i w:val="1"/>
          <w:iCs w:val="1"/>
          <w:color w:val="auto"/>
        </w:rPr>
        <w:t>First Lien Secured Debt:</w:t>
      </w:r>
      <w:r>
        <w:rPr>
          <w:rFonts w:ascii="Times New Roman" w:cs="Times New Roman" w:eastAsia="Times New Roman" w:hAnsi="Times New Roman"/>
          <w:sz w:val="13"/>
          <w:szCs w:val="13"/>
          <w:color w:val="auto"/>
        </w:rPr>
        <w:t xml:space="preserve"> When we extend first lien secured debt, we will generally take a security interest in the 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92" w:lineRule="exact"/>
        <w:rPr>
          <w:sz w:val="20"/>
          <w:szCs w:val="20"/>
          <w:color w:val="auto"/>
        </w:rPr>
      </w:pPr>
    </w:p>
    <w:p>
      <w:pPr>
        <w:ind w:left="540" w:right="60"/>
        <w:spacing w:after="0" w:line="259" w:lineRule="auto"/>
        <w:rPr>
          <w:sz w:val="20"/>
          <w:szCs w:val="20"/>
          <w:color w:val="auto"/>
        </w:rPr>
      </w:pPr>
      <w:r>
        <w:rPr>
          <w:rFonts w:ascii="Times New Roman" w:cs="Times New Roman" w:eastAsia="Times New Roman" w:hAnsi="Times New Roman"/>
          <w:sz w:val="13"/>
          <w:szCs w:val="13"/>
          <w:color w:val="auto"/>
        </w:rPr>
        <w:t>3.</w:t>
      </w:r>
      <w:r>
        <w:rPr>
          <w:rFonts w:ascii="Times New Roman" w:cs="Times New Roman" w:eastAsia="Times New Roman" w:hAnsi="Times New Roman"/>
          <w:sz w:val="13"/>
          <w:szCs w:val="13"/>
          <w:b w:val="1"/>
          <w:bCs w:val="1"/>
          <w:i w:val="1"/>
          <w:iCs w:val="1"/>
          <w:color w:val="auto"/>
        </w:rPr>
        <w:t>Second Lien Secured Debt:</w:t>
      </w:r>
      <w:r>
        <w:rPr>
          <w:rFonts w:ascii="Times New Roman" w:cs="Times New Roman" w:eastAsia="Times New Roman" w:hAnsi="Times New Roman"/>
          <w:sz w:val="13"/>
          <w:szCs w:val="13"/>
          <w:color w:val="auto"/>
        </w:rPr>
        <w:t xml:space="preserve"> Our 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 cash income. Since we may not receive cash interest or principal prior to the maturity of some of our second lien secured debt investments, such investments may be of greater risk than cash paying loans.</w:t>
      </w:r>
    </w:p>
    <w:p>
      <w:pPr>
        <w:spacing w:after="0" w:line="250" w:lineRule="exact"/>
        <w:rPr>
          <w:sz w:val="20"/>
          <w:szCs w:val="20"/>
          <w:color w:val="auto"/>
        </w:rPr>
      </w:pPr>
    </w:p>
    <w:p>
      <w:pPr>
        <w:ind w:left="540" w:right="40"/>
        <w:spacing w:after="0" w:line="261" w:lineRule="auto"/>
        <w:rPr>
          <w:sz w:val="20"/>
          <w:szCs w:val="20"/>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3"/>
          <w:szCs w:val="13"/>
          <w:b w:val="1"/>
          <w:bCs w:val="1"/>
          <w:i w:val="1"/>
          <w:iCs w:val="1"/>
          <w:color w:val="auto"/>
        </w:rPr>
        <w:t>Subordinated Debt:</w:t>
      </w:r>
      <w:r>
        <w:rPr>
          <w:rFonts w:ascii="Times New Roman" w:cs="Times New Roman" w:eastAsia="Times New Roman" w:hAnsi="Times New Roman"/>
          <w:sz w:val="13"/>
          <w:szCs w:val="13"/>
          <w:color w:val="auto"/>
        </w:rPr>
        <w:t xml:space="preserve"> Our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7" w:lineRule="exact"/>
        <w:rPr>
          <w:sz w:val="20"/>
          <w:szCs w:val="20"/>
          <w:color w:val="auto"/>
        </w:rPr>
      </w:pPr>
    </w:p>
    <w:p>
      <w:pPr>
        <w:ind w:left="540" w:right="60"/>
        <w:spacing w:after="0" w:line="257" w:lineRule="auto"/>
        <w:rPr>
          <w:sz w:val="20"/>
          <w:szCs w:val="20"/>
          <w:color w:val="auto"/>
        </w:rPr>
      </w:pPr>
      <w:r>
        <w:rPr>
          <w:rFonts w:ascii="Times New Roman" w:cs="Times New Roman" w:eastAsia="Times New Roman" w:hAnsi="Times New Roman"/>
          <w:sz w:val="13"/>
          <w:szCs w:val="13"/>
          <w:color w:val="auto"/>
        </w:rPr>
        <w:t>5.</w:t>
      </w:r>
      <w:r>
        <w:rPr>
          <w:rFonts w:ascii="Times New Roman" w:cs="Times New Roman" w:eastAsia="Times New Roman" w:hAnsi="Times New Roman"/>
          <w:sz w:val="13"/>
          <w:szCs w:val="13"/>
          <w:b w:val="1"/>
          <w:bCs w:val="1"/>
          <w:i w:val="1"/>
          <w:iCs w:val="1"/>
          <w:color w:val="auto"/>
        </w:rPr>
        <w:t>Equity Investments:</w:t>
      </w:r>
      <w:r>
        <w:rPr>
          <w:rFonts w:ascii="Times New Roman" w:cs="Times New Roman" w:eastAsia="Times New Roman" w:hAnsi="Times New Roman"/>
          <w:sz w:val="13"/>
          <w:szCs w:val="13"/>
          <w:color w:val="auto"/>
        </w:rPr>
        <w:t xml:space="preserve"> We have made and expect to continue to make select equity investments, all of which are subordinated to debt investments. 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investing in middle-market companies involves a number of significant risks, including:</w:t>
      </w:r>
    </w:p>
    <w:p>
      <w:pPr>
        <w:spacing w:after="0" w:line="127" w:lineRule="exact"/>
        <w:rPr>
          <w:sz w:val="20"/>
          <w:szCs w:val="20"/>
          <w:color w:val="auto"/>
        </w:rPr>
      </w:pPr>
    </w:p>
    <w:p>
      <w:pPr>
        <w:jc w:val="both"/>
        <w:ind w:left="540" w:right="140"/>
        <w:spacing w:after="0" w:line="286" w:lineRule="auto"/>
        <w:rPr>
          <w:sz w:val="20"/>
          <w:szCs w:val="20"/>
          <w:color w:val="auto"/>
        </w:rPr>
      </w:pPr>
      <w:r>
        <w:rPr>
          <w:rFonts w:ascii="Times New Roman" w:cs="Times New Roman" w:eastAsia="Times New Roman" w:hAnsi="Times New Roman"/>
          <w:sz w:val="13"/>
          <w:szCs w:val="13"/>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6" w:lineRule="exact"/>
        <w:rPr>
          <w:sz w:val="20"/>
          <w:szCs w:val="20"/>
          <w:color w:val="auto"/>
        </w:rPr>
      </w:pPr>
    </w:p>
    <w:p>
      <w:pPr>
        <w:ind w:left="540" w:right="320"/>
        <w:spacing w:after="0" w:line="286" w:lineRule="auto"/>
        <w:rPr>
          <w:sz w:val="20"/>
          <w:szCs w:val="20"/>
          <w:color w:val="auto"/>
        </w:rPr>
      </w:pPr>
      <w:r>
        <w:rPr>
          <w:rFonts w:ascii="Times New Roman" w:cs="Times New Roman" w:eastAsia="Times New Roman" w:hAnsi="Times New Roman"/>
          <w:sz w:val="13"/>
          <w:szCs w:val="13"/>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76" w:lineRule="exact"/>
        <w:rPr>
          <w:sz w:val="20"/>
          <w:szCs w:val="20"/>
          <w:color w:val="auto"/>
        </w:rPr>
      </w:pPr>
    </w:p>
    <w:p>
      <w:pPr>
        <w:ind w:left="540" w:right="100"/>
        <w:spacing w:after="0" w:line="286" w:lineRule="auto"/>
        <w:rPr>
          <w:sz w:val="20"/>
          <w:szCs w:val="20"/>
          <w:color w:val="auto"/>
        </w:rPr>
      </w:pPr>
      <w:r>
        <w:rPr>
          <w:rFonts w:ascii="Times New Roman" w:cs="Times New Roman" w:eastAsia="Times New Roman" w:hAnsi="Times New Roman"/>
          <w:sz w:val="13"/>
          <w:szCs w:val="13"/>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6" w:lineRule="exact"/>
        <w:rPr>
          <w:sz w:val="20"/>
          <w:szCs w:val="20"/>
          <w:color w:val="auto"/>
        </w:rPr>
      </w:pPr>
    </w:p>
    <w:p>
      <w:pPr>
        <w:jc w:val="both"/>
        <w:ind w:left="540" w:right="160"/>
        <w:spacing w:after="0" w:line="268" w:lineRule="auto"/>
        <w:rPr>
          <w:sz w:val="20"/>
          <w:szCs w:val="20"/>
          <w:color w:val="auto"/>
        </w:rPr>
      </w:pPr>
      <w:r>
        <w:rPr>
          <w:rFonts w:ascii="Times New Roman" w:cs="Times New Roman" w:eastAsia="Times New Roman" w:hAnsi="Times New Roman"/>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•they may have difficulty accessing the capital markets to meet future capital needs, which may limit their ability to grow or to refinance their outstanding indebtedness upon maturity.</w:t>
      </w:r>
    </w:p>
    <w:p>
      <w:pPr>
        <w:spacing w:after="0" w:line="123"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72"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91"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4" w:right="660" w:bottom="1440" w:gutter="0" w:footer="0" w:header="0"/>
        </w:sectPr>
      </w:pPr>
    </w:p>
    <w:bookmarkStart w:id="29" w:name="page30"/>
    <w:bookmarkEnd w:id="29"/>
    <w:p>
      <w:pPr>
        <w:ind w:right="1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a non- diversified investment company within the meaning of the 1940 Act, and therefore we generally are not limited with respect to the proportion of our assets that may be invested in securities of a single issuer.</w:t>
      </w:r>
    </w:p>
    <w:p>
      <w:pPr>
        <w:spacing w:after="0" w:line="72"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Economic recessions or downturns could impair our portfolio companies and harm our operating results.</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94"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fail to make follow-on investments in our portfolio companies, this could materially impair the value of our portfolio.</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Following an initial investment in a portfolio company, we may make additional investments in that portfolio company as “follow-on” investments, in order to:</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•increase or maintain in whole or in part our equity ownership percentage;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•exercise warrants, options or convertible securities that were acquired in the original or subsequent financing; or</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•attempt to preserve or enhance the value of our investment.</w:t>
      </w:r>
    </w:p>
    <w:p>
      <w:pPr>
        <w:spacing w:after="0" w:line="127"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either because we prefer other opportunities or because we are inhibited by compliance with BDC requirements or the desire to maintain our RIC tax status.</w:t>
      </w:r>
    </w:p>
    <w:p>
      <w:pPr>
        <w:spacing w:after="0" w:line="90"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Because we generally do not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08" w:lineRule="exact"/>
        <w:rPr>
          <w:sz w:val="20"/>
          <w:szCs w:val="20"/>
          <w:color w:val="auto"/>
        </w:rPr>
      </w:pPr>
    </w:p>
    <w:p>
      <w:pPr>
        <w:ind w:right="200" w:firstLine="420"/>
        <w:spacing w:after="0" w:line="262" w:lineRule="auto"/>
        <w:rPr>
          <w:sz w:val="20"/>
          <w:szCs w:val="20"/>
          <w:color w:val="auto"/>
        </w:rPr>
      </w:pPr>
      <w:r>
        <w:rPr>
          <w:rFonts w:ascii="Times New Roman" w:cs="Times New Roman" w:eastAsia="Times New Roman" w:hAnsi="Times New Roman"/>
          <w:sz w:val="13"/>
          <w:szCs w:val="13"/>
          <w:color w:val="auto"/>
        </w:rPr>
        <w:t>Because we generally do not hold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0" w:right="680" w:bottom="1440" w:gutter="0" w:footer="0" w:header="0"/>
        </w:sectPr>
      </w:pPr>
    </w:p>
    <w:bookmarkStart w:id="30" w:name="page31"/>
    <w:bookmarkEnd w:id="30"/>
    <w:p>
      <w:pPr>
        <w:ind w:right="6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2"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portfolio companies may incur debt that ranks equally with, or senior to, our investments in such companies and our portfolio companies may be highly leveraged.</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incentive fee may induce the Investment Adviser to make speculative investments.</w:t>
      </w:r>
    </w:p>
    <w:p>
      <w:pPr>
        <w:spacing w:after="0" w:line="131"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6"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investments in distressed debt may not produce income and may require us to bear large expenses in order to protect and recover our investment.</w:t>
      </w:r>
    </w:p>
    <w:p>
      <w:pPr>
        <w:spacing w:after="0" w:line="131"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foreign securities may involve significant risks in addition to the risks inherent in U.S. investments.</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94"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and economic and political developments. We may employ hedging techniques such as using the Credit Facility’s multicurrency capability to minimize these risks, but we can offer no assurance that we will, in fact, hedge currency risk or, that if we do, such strategies will be effective.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31"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obligated to pay our Investment Adviser incentive compensation even if we incur a loss.</w:t>
      </w:r>
    </w:p>
    <w:p>
      <w:pPr>
        <w:spacing w:after="0" w:line="131" w:lineRule="exact"/>
        <w:rPr>
          <w:sz w:val="20"/>
          <w:szCs w:val="20"/>
          <w:color w:val="auto"/>
        </w:rPr>
      </w:pPr>
    </w:p>
    <w:p>
      <w:pPr>
        <w:ind w:right="260" w:firstLine="420"/>
        <w:spacing w:after="0" w:line="268" w:lineRule="auto"/>
        <w:rPr>
          <w:sz w:val="20"/>
          <w:szCs w:val="20"/>
          <w:color w:val="auto"/>
        </w:rPr>
      </w:pPr>
      <w:r>
        <w:rPr>
          <w:rFonts w:ascii="Times New Roman" w:cs="Times New Roman" w:eastAsia="Times New Roman" w:hAnsi="Times New Roman"/>
          <w:sz w:val="13"/>
          <w:szCs w:val="13"/>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0" w:right="680" w:bottom="1440" w:gutter="0" w:footer="0" w:header="0"/>
        </w:sectPr>
      </w:pPr>
    </w:p>
    <w:bookmarkStart w:id="31" w:name="page32"/>
    <w:bookmarkEnd w:id="31"/>
    <w:p>
      <w:pPr>
        <w:ind w:right="40"/>
        <w:spacing w:after="0" w:line="268" w:lineRule="auto"/>
        <w:rPr>
          <w:sz w:val="20"/>
          <w:szCs w:val="20"/>
          <w:color w:val="auto"/>
        </w:rPr>
      </w:pPr>
      <w:r>
        <w:rPr>
          <w:rFonts w:ascii="Times New Roman" w:cs="Times New Roman" w:eastAsia="Times New Roman" w:hAnsi="Times New Roman"/>
          <w:sz w:val="13"/>
          <w:szCs w:val="13"/>
          <w:color w:val="auto"/>
        </w:rPr>
        <w:t>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119"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invest in derivatives or other assets that expose us to certain risks, including market risk, liquidity risk, counterparty risk, operational and legal risk and other risks similar to those associated with the use of leverage.</w:t>
      </w:r>
    </w:p>
    <w:p>
      <w:pPr>
        <w:spacing w:after="0" w:line="108" w:lineRule="exact"/>
        <w:rPr>
          <w:sz w:val="20"/>
          <w:szCs w:val="20"/>
          <w:color w:val="auto"/>
        </w:rPr>
      </w:pPr>
    </w:p>
    <w:p>
      <w:pPr>
        <w:jc w:val="both"/>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Company may invest in derivatives and other assets that are subject to many of the same types of risks related to the use of leverage. Derivative transactions, if any, will generally create leverage for the Company and involve significant risks. The primary risks related to derivative transactions include counterparty, correlation, liquidity, leverage, volatility, over- the-counter trading, operational and legal risks. In addition, a small investment in derivatives could have a large potential impact on our performance, effecting a form of investment leverage on our portfolio. In certain types of derivative transactions, the Company could lose the entire amount of its investment; in other types of derivative transactions the potential loss is theoretically unlimited.</w:t>
      </w:r>
    </w:p>
    <w:p>
      <w:pPr>
        <w:spacing w:after="0" w:line="127" w:lineRule="exact"/>
        <w:rPr>
          <w:sz w:val="20"/>
          <w:szCs w:val="20"/>
          <w:color w:val="auto"/>
        </w:rPr>
      </w:pPr>
    </w:p>
    <w:p>
      <w:pPr>
        <w:ind w:right="20" w:firstLine="420"/>
        <w:spacing w:after="0" w:line="253" w:lineRule="auto"/>
        <w:rPr>
          <w:sz w:val="20"/>
          <w:szCs w:val="20"/>
          <w:color w:val="auto"/>
        </w:rPr>
      </w:pPr>
      <w:r>
        <w:rPr>
          <w:rFonts w:ascii="Times New Roman" w:cs="Times New Roman" w:eastAsia="Times New Roman" w:hAnsi="Times New Roman"/>
          <w:sz w:val="13"/>
          <w:szCs w:val="13"/>
          <w:color w:val="auto"/>
        </w:rPr>
        <w:t>Under SEC Rule 18f-4 under the 1940 Act (“Rule 18f-4”), related to the use of derivatives, short sales, reverse repurchase agreements and certain other transactions by registered investment companies, the Company is permitted to enter into derivatives and other transactions that create future payment or delivery obligations, including short sales, notwithstanding the senior security provisions of the 1940 Act if it complies with certain value-at-risk leverage limits and derivatives risk management program and board oversight and reporting requirements or comply with a “limited derivatives users” exception. Rule 18f-4 also permits the Company to enter into reverse repurchase agreements or similar financing transactions notwithstanding the senior security provisions of the 1940 Act if the Company aggregates the amount of indebtedness associated with our reverse repurchase agreements or similar financing transactions with the aggregate amount of any other senior securities representing indebtedness when calculating the asset coverage ratios as discussed herein. In addition, the Company is permitted to invest in a security on a when-issued or forward-settling basis, or with a non-standard settlement cycle, and the transaction will be deemed not to involve a senior security under the 1940 Act, provided that (i) the Company intends to physically settle the transaction and (ii) the transaction will settle within 35 days of its trade date (the “Delayed-Settlement Securities Provision”). The Company may otherwise engage in such transactions that do not meet the conditions of the Delayed-Settlement Securities Provision so long as the Company treats any such transaction as a “derivatives transaction” for purposes of compliance with the rule. Furthermore, the Company is permitted to enter into an unfunded commitment agreement, and such unfunded commitment agreement will not be subject to the asset coverage requirements under the 1940 Act, if the Company reasonably believes, at the time it enters into such agreement, that it will have sufficient cash and cash equivalents to meet its obligations with respect to all such agreements as they come due. The Company cannot predict the effects of these requirements.</w:t>
      </w:r>
    </w:p>
    <w:p>
      <w:pPr>
        <w:spacing w:after="0" w:line="138"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The Company has adopted updated policies and procedures in compliance with Rule 18f-4. The Company expects to qualify as a “limited derivatives user.” Future legislation or rules may modify how the Company treats derivatives and other financial arrangements for purposes of the Company’s compliance with the leverage limitations of the 1940 Act. Future legislation or rules, may modify how leverage is calculated under the 1940 Act and, therefore, may increase or decrease the amount of leverage currently available to the Company under the 1940 Act, which may be materially adverse to the Company and the Company’s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AN INVESTMENT IN OUR COMMON STOCK</w:t>
      </w:r>
    </w:p>
    <w:p>
      <w:pPr>
        <w:spacing w:after="0" w:line="1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86"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87"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96"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a risk that our stockholders may not receive distributions or that our distributions may not grow over time.</w:t>
      </w:r>
    </w:p>
    <w:p>
      <w:pPr>
        <w:spacing w:after="0" w:line="131"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 to-year increases in cash distributions. In addition, due to the asset coverage ratio requirements applicable to us as a BDC, we may be limited in our ability to make distributions. Further,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Investing in our shares may involve an above average degree of risk.</w:t>
      </w:r>
    </w:p>
    <w:p>
      <w:pPr>
        <w:spacing w:after="0" w:line="131"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of substantial amounts of our securities may have an adverse effect on the market price of our securities.</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34" w:right="70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i w:val="1"/>
          <w:iCs w:val="1"/>
          <w:color w:val="auto"/>
        </w:rPr>
        <w:t>We may allocate the net proceeds from any offering of our securities in ways with which you may not agree.</w:t>
      </w:r>
    </w:p>
    <w:p>
      <w:pPr>
        <w:spacing w:after="0" w:line="131"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shares may trade at discounts from NAV or at premiums that are unsustainable over the long term.</w:t>
      </w:r>
    </w:p>
    <w:p>
      <w:pPr>
        <w:spacing w:after="0" w:line="167"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Shares of BDCs may trade at a market price that is less than the NAV that is attributable to those shares. Our shares have traded above and below our NAV. Our shares closed on The New York Stock Exchange at $11.57 and $10.66 on September 30, 2024 and 2023, respectively. Our NAV per share was $ 11.31 and $11.13 as of the same dates,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market price of our common stock may fluctuate significantly.</w:t>
      </w:r>
    </w:p>
    <w:p>
      <w:pPr>
        <w:spacing w:after="0" w:line="131"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540" w:right="100"/>
        <w:spacing w:after="0" w:line="286" w:lineRule="auto"/>
        <w:rPr>
          <w:sz w:val="20"/>
          <w:szCs w:val="20"/>
          <w:color w:val="auto"/>
        </w:rPr>
      </w:pPr>
      <w:r>
        <w:rPr>
          <w:rFonts w:ascii="Times New Roman" w:cs="Times New Roman" w:eastAsia="Times New Roman" w:hAnsi="Times New Roman"/>
          <w:sz w:val="13"/>
          <w:szCs w:val="13"/>
          <w:color w:val="auto"/>
        </w:rPr>
        <w:t>•significant volatility in the market price and trading volume of securities of BDCs or other companies in our sector, which are not necessarily related to the operating performance of these companies;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regulatory policies or tax guidelines, particularly with respect to RICs or BDCs;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•any loss of our BDC or RIC status;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earnings or variations in operating results;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prevailing interest rates;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the value of our portfolio of investments;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•any shortfall in revenue or net income or any increase in losses from levels expected by investors or securities analysts;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inability of our Investment Adviser to employ additional experienced investment professionals or the departure of any of the Investment Adviser’s key personnel;</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•operating performance of companies comparable to us;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•general national and international economic trends and other external factors;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•general price and volume fluctuations in the stock markets, including as a result of short sales;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•conversion features of subscription rights, warrants or convertible debt;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•loss of a major funding source.</w:t>
      </w:r>
    </w:p>
    <w:p>
      <w:pPr>
        <w:spacing w:after="0" w:line="127" w:lineRule="exact"/>
        <w:rPr>
          <w:sz w:val="20"/>
          <w:szCs w:val="20"/>
          <w:color w:val="auto"/>
        </w:rPr>
      </w:pPr>
    </w:p>
    <w:p>
      <w:pPr>
        <w:jc w:val="both"/>
        <w:ind w:right="140" w:firstLine="420"/>
        <w:spacing w:after="0" w:line="268" w:lineRule="auto"/>
        <w:rPr>
          <w:sz w:val="20"/>
          <w:szCs w:val="20"/>
          <w:color w:val="auto"/>
        </w:rPr>
      </w:pPr>
      <w:r>
        <w:rPr>
          <w:rFonts w:ascii="Times New Roman" w:cs="Times New Roman" w:eastAsia="Times New Roman" w:hAnsi="Times New Roman"/>
          <w:sz w:val="13"/>
          <w:szCs w:val="13"/>
          <w:color w:val="auto"/>
        </w:rPr>
        <w:t>Since our initial listing on The Nasdaq Global Select Market to our voluntarily withdrawal of the principal listing of common shares from the Nasdaq Stock Market LLC effective at market close on April 13, 2022 and subsequent listing and trading of the Company's common stock on the New York Stock Exchange, which commenced April 14, 2022, our shares of common stock have traded at a wide range of prices. We can offer no assurance that our shares of common stock will not display similar volatility in future periods.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the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a risk that our common stockholders may receive our stock as distributions in which case they may be required to pay taxes in excess of the cash they receive.</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may distribute our common stock as a dividend of our taxable income and a stockholder could receive a portion of the dividends declared and distributed by us in shares of our common stock with the remaining amount in cash. Revenue Procedures issued by the IRS allow a publicly offered regulated investment company (including a BDC) to distribute its own stock as a dividend for the purpose of fulfilling its distribution requirements, if certain conditions are satisfied. As long as a portion of such dividend is paid in cash (which portion may be as low as 20% of such dividend) and certain requirements are met, the entire distribution will be treated as a dividend for U.S. federal income tax purposes. As a result,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30" w:right="700" w:bottom="1440" w:gutter="0" w:footer="0" w:header="0"/>
        </w:sectPr>
      </w:pPr>
    </w:p>
    <w:bookmarkStart w:id="33" w:name="page34"/>
    <w:bookmarkEnd w:id="33"/>
    <w:p>
      <w:pPr>
        <w:ind w:left="80" w:right="20" w:firstLine="420"/>
        <w:spacing w:after="0" w:line="259" w:lineRule="auto"/>
        <w:rPr>
          <w:sz w:val="20"/>
          <w:szCs w:val="20"/>
          <w:color w:val="auto"/>
        </w:rPr>
      </w:pPr>
      <w:r>
        <w:rPr>
          <w:rFonts w:ascii="Times New Roman" w:cs="Times New Roman" w:eastAsia="Times New Roman" w:hAnsi="Times New Roman"/>
          <w:sz w:val="13"/>
          <w:szCs w:val="13"/>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These anti-takeover provisions may inhibit a change of control in circumstances that could give our stockholders the opportunity to realize a premium over the market price for our common</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stock.</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RISKS RELATING TO AN INVESTMENT IN OUR DEBT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Our 2026 Notes</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The 2026 Notes are unsecured and therefore are effectively subordinated to any secured indebtedness we have currently incurred or may incur in the future.</w:t>
      </w:r>
    </w:p>
    <w:p>
      <w:pPr>
        <w:spacing w:after="0" w:line="167" w:lineRule="exact"/>
        <w:rPr>
          <w:sz w:val="20"/>
          <w:szCs w:val="20"/>
          <w:color w:val="auto"/>
        </w:rPr>
      </w:pPr>
    </w:p>
    <w:p>
      <w:pPr>
        <w:ind w:left="80" w:firstLine="432"/>
        <w:spacing w:after="0" w:line="257" w:lineRule="auto"/>
        <w:rPr>
          <w:sz w:val="20"/>
          <w:szCs w:val="20"/>
          <w:color w:val="auto"/>
        </w:rPr>
      </w:pPr>
      <w:r>
        <w:rPr>
          <w:rFonts w:ascii="Times New Roman" w:cs="Times New Roman" w:eastAsia="Times New Roman" w:hAnsi="Times New Roman"/>
          <w:sz w:val="13"/>
          <w:szCs w:val="13"/>
          <w:color w:val="auto"/>
        </w:rPr>
        <w:t>The 2026 Notes are not secured by any of our assets or any of the assets of our subsidiaries. As a result, the 2026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2026 Notes. As of September 30, 2024, we had $443.9 million outstanding under the Credit Facility. The Credit Facility is secured by substantially all of the assets of Funding I, and the indebtedness under the Credit Facility is therefore effectively senior in right of payment to the 2026 Notes to the extent of the value of such assets.</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The 2026 Notes are structurally subordinated to the indebtedness and other liabilities of our subsidiaries.</w:t>
      </w:r>
    </w:p>
    <w:p>
      <w:pPr>
        <w:spacing w:after="0" w:line="167" w:lineRule="exact"/>
        <w:rPr>
          <w:sz w:val="20"/>
          <w:szCs w:val="20"/>
          <w:color w:val="auto"/>
        </w:rPr>
      </w:pPr>
    </w:p>
    <w:p>
      <w:pPr>
        <w:ind w:left="80" w:right="20" w:firstLine="432"/>
        <w:spacing w:after="0" w:line="262" w:lineRule="auto"/>
        <w:rPr>
          <w:sz w:val="20"/>
          <w:szCs w:val="20"/>
          <w:color w:val="auto"/>
        </w:rPr>
      </w:pPr>
      <w:r>
        <w:rPr>
          <w:rFonts w:ascii="Times New Roman" w:cs="Times New Roman" w:eastAsia="Times New Roman" w:hAnsi="Times New Roman"/>
          <w:sz w:val="13"/>
          <w:szCs w:val="13"/>
          <w:color w:val="auto"/>
        </w:rPr>
        <w:t>The 2026 Notes are obligations exclusively of PennantPark Floating Rate Capital Ltd. and not of any of our subsidiaries. None of our subsidiaries is or acts as a guarantor of the 2026 Notes, and the 2026 Notes are not required to be guaranteed by any subsidiaries we may acquire or create in the future. Our secured indebtedness with respect to the Credit Facility is held through Funding I, and our secured indebtedness with respect to the 2036 Asset- Backed Debt and 2036-R Asset-Backed Debt, (collectively, the "Asset -Backed Debt") is held through the 2036 Securitization Issuer and the 2036-R Securitization Issuers, respectively. The assets of any such subsidiaries are not directly available to satisfy the claims of our creditors, including holders of the 2026 Notes.</w:t>
      </w: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1434" w:right="700" w:bottom="1440" w:gutter="0" w:footer="0" w:header="0"/>
        </w:sectPr>
      </w:pPr>
    </w:p>
    <w:bookmarkStart w:id="34" w:name="page35"/>
    <w:bookmarkEnd w:id="34"/>
    <w:p>
      <w:pPr>
        <w:ind w:right="40" w:firstLine="432"/>
        <w:spacing w:after="0" w:line="259" w:lineRule="auto"/>
        <w:rPr>
          <w:sz w:val="20"/>
          <w:szCs w:val="20"/>
          <w:color w:val="auto"/>
        </w:rPr>
      </w:pPr>
      <w:r>
        <w:rPr>
          <w:rFonts w:ascii="Times New Roman" w:cs="Times New Roman" w:eastAsia="Times New Roman" w:hAnsi="Times New Roman"/>
          <w:sz w:val="13"/>
          <w:szCs w:val="13"/>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2026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2026 Notes will be structurally subordinated to all indebtedness and other liabilities (including trade payables) of our subsidiaries and any subsidiaries that we may in the future acquire or establish as financing vehicles or otherwise.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indenture under which the 2026 Notes were issued contains limited protection for their respective holders.</w:t>
      </w:r>
    </w:p>
    <w:p>
      <w:pPr>
        <w:spacing w:after="0" w:line="167" w:lineRule="exact"/>
        <w:rPr>
          <w:sz w:val="20"/>
          <w:szCs w:val="20"/>
          <w:color w:val="auto"/>
        </w:rPr>
      </w:pPr>
    </w:p>
    <w:p>
      <w:pPr>
        <w:jc w:val="both"/>
        <w:ind w:right="260" w:firstLine="420"/>
        <w:spacing w:after="0" w:line="268" w:lineRule="auto"/>
        <w:rPr>
          <w:sz w:val="20"/>
          <w:szCs w:val="20"/>
          <w:color w:val="auto"/>
        </w:rPr>
      </w:pPr>
      <w:r>
        <w:rPr>
          <w:rFonts w:ascii="Times New Roman" w:cs="Times New Roman" w:eastAsia="Times New Roman" w:hAnsi="Times New Roman"/>
          <w:sz w:val="13"/>
          <w:szCs w:val="13"/>
          <w:color w:val="auto"/>
        </w:rPr>
        <w:t>The indenture under which the 2026 Notes were issued offers limited protection for their respective holders. The terms of the indenture and the 2026 Notes do not restrict our or any of our subsidiaries’ ability to engage in, or otherwise be a party to, a variety of corporate transactions, circumstances or events that could have an adverse impact on each holder’s investment in the 2026 Notes. In particular, the terms of the indenture and the 2026 Notes do not place any restrictions on our or our subsidiaries’ ability to:</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•issue securities or otherwise incur additional indebtedness or other obligations, including (1) any indebtedness or other obligations that would be equal in right of payment to the 2026 Notes,</w:t>
      </w:r>
    </w:p>
    <w:p>
      <w:pPr>
        <w:spacing w:after="0" w:line="21" w:lineRule="exact"/>
        <w:rPr>
          <w:sz w:val="20"/>
          <w:szCs w:val="20"/>
          <w:color w:val="auto"/>
        </w:rPr>
      </w:pPr>
    </w:p>
    <w:p>
      <w:pPr>
        <w:ind w:left="360" w:hanging="6"/>
        <w:spacing w:after="0" w:line="253" w:lineRule="auto"/>
        <w:tabs>
          <w:tab w:leader="none" w:pos="547"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indebtedness or other obligations that would be secured and therefore rank effectively senior in right of payment to the 2026 Notes to the extent of the values of the assets securing such debt, (3) indebtedness or other obligations of ours that are guaranteed by one or more of our subsidiaries and which therefore would rank structurally senior to the 2026 Notes and (4) securities, indebtedness or other obligations issued or incurred by our subsidiaries that would be senior in right of payment to our equity interests in our subsidiaries and therefore would rank structurally senior in right of payment to the 2026 Notes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•pay dividends on, or purchase or redeem or make any payments in respect of, capital stock or other securities ranking junior in right of payment to the 2026 Notes;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•sell assets (other than certain limited restrictions on our ability to consolidate, merge or sell all or substantially all of our assets);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•enter into transactions with affiliates;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•create liens (including liens on the shares of our subsidiaries) or enter into sale and leaseback transactions;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•make investments; or</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•create restrictions on the payment of dividends or other amounts to us from our subsidiaries.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In addition, the indenture will not require us to offer to purchase the 2026 Notes in connection with a change of control or any other event.</w:t>
      </w:r>
    </w:p>
    <w:p>
      <w:pPr>
        <w:spacing w:after="0" w:line="163" w:lineRule="exact"/>
        <w:rPr>
          <w:sz w:val="20"/>
          <w:szCs w:val="20"/>
          <w:color w:val="auto"/>
        </w:rPr>
      </w:pPr>
    </w:p>
    <w:p>
      <w:pPr>
        <w:ind w:right="20" w:firstLine="432"/>
        <w:spacing w:after="0" w:line="268" w:lineRule="auto"/>
        <w:rPr>
          <w:sz w:val="20"/>
          <w:szCs w:val="20"/>
          <w:color w:val="auto"/>
        </w:rPr>
      </w:pPr>
      <w:r>
        <w:rPr>
          <w:rFonts w:ascii="Times New Roman" w:cs="Times New Roman" w:eastAsia="Times New Roman" w:hAnsi="Times New Roman"/>
          <w:sz w:val="13"/>
          <w:szCs w:val="13"/>
          <w:color w:val="auto"/>
        </w:rPr>
        <w:t>Furthermore, the terms of the indenture and the 2026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23" w:lineRule="exact"/>
        <w:rPr>
          <w:sz w:val="20"/>
          <w:szCs w:val="20"/>
          <w:color w:val="auto"/>
        </w:rPr>
      </w:pPr>
    </w:p>
    <w:p>
      <w:pPr>
        <w:ind w:right="320" w:firstLine="432"/>
        <w:spacing w:after="0" w:line="286" w:lineRule="auto"/>
        <w:rPr>
          <w:sz w:val="20"/>
          <w:szCs w:val="20"/>
          <w:color w:val="auto"/>
        </w:rPr>
      </w:pPr>
      <w:r>
        <w:rPr>
          <w:rFonts w:ascii="Times New Roman" w:cs="Times New Roman" w:eastAsia="Times New Roman" w:hAnsi="Times New Roman"/>
          <w:sz w:val="13"/>
          <w:szCs w:val="13"/>
          <w:color w:val="auto"/>
        </w:rPr>
        <w:t>Our ability to recapitalize, incur additional debt and take a number of other actions that are not limited by the terms of the 2026 Notes may have important consequences for their holders, including making it more difficult for us to satisfy our obligations with respect to the 2026 Notes or negatively affecting their trading value.</w:t>
      </w:r>
    </w:p>
    <w:p>
      <w:pPr>
        <w:spacing w:after="0" w:line="112" w:lineRule="exact"/>
        <w:rPr>
          <w:sz w:val="20"/>
          <w:szCs w:val="20"/>
          <w:color w:val="auto"/>
        </w:rPr>
      </w:pPr>
    </w:p>
    <w:p>
      <w:pPr>
        <w:jc w:val="both"/>
        <w:ind w:right="80" w:firstLine="432"/>
        <w:spacing w:after="0" w:line="268" w:lineRule="auto"/>
        <w:rPr>
          <w:sz w:val="20"/>
          <w:szCs w:val="20"/>
          <w:color w:val="auto"/>
        </w:rPr>
      </w:pPr>
      <w:r>
        <w:rPr>
          <w:rFonts w:ascii="Times New Roman" w:cs="Times New Roman" w:eastAsia="Times New Roman" w:hAnsi="Times New Roman"/>
          <w:sz w:val="13"/>
          <w:szCs w:val="13"/>
          <w:color w:val="auto"/>
        </w:rPr>
        <w:t>Certain of our current debt instruments include more protections for their respective holders than the indenture and the 2026 Notes. In addition, other debt we issue or incur in the future could contain more protections for its holders than the indenture governing the 2026 Notes and the 2026 Notes, including additional covenants and events of default. The issuance or incurrence of any such debt with incremental protections could affect the market for and trading levels and prices of the 2026 Notes.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optional redemption provision may materially adversely affect your return on the 2026 Notes.</w:t>
      </w:r>
    </w:p>
    <w:p>
      <w:pPr>
        <w:spacing w:after="0" w:line="167"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3"/>
          <w:szCs w:val="13"/>
          <w:color w:val="auto"/>
        </w:rPr>
        <w:t>The 2026 Notes will be redeemable in whole or in part upon certain conditions at any time, or from time to time, at our option, on or after January 1, 2026. We may choose to redeem the 2026 Notes at times when prevailing interest rates are lower than the interest rate paid on the 2026 Notes. In this circumstance, investors may not be able to reinvest the redemption proceeds in a comparable security at an effective interest rate as high as the 2026 Notes being redeemed.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be able to repurchase the 2026 Notes upon a Change of Control Repurchase Event.</w:t>
      </w:r>
    </w:p>
    <w:p>
      <w:pPr>
        <w:spacing w:after="0" w:line="16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3"/>
          <w:szCs w:val="13"/>
          <w:color w:val="auto"/>
        </w:rPr>
        <w:t>Upon the occurrence of a Change of Control Repurchase Event, as defined in the indenture governing the 2026 Notes, subject to certain conditions, we will be required to offer to repurchase all outstanding 2026 Notes at 100% of their principal amount, plus accrued and unpaid interest. The source of funds for that purchase of 2026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the 2026 Notes tendered. Before making any such repurchase of the 2026 Notes, we may have to comply with certain requirements under our then existing financing arrangements, such as the Credit Facility. Our future debt instruments may also contain similar restrictions and provisions. If the holders of the 2026 Notes exercise their right to require us to repurchase the 2026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2026 Notes or our other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While a trading market has developed after issuing the 2026 Notes, we cannot assure you that an active trading market for the 2026 Notes will be maintained.</w:t>
      </w:r>
    </w:p>
    <w:p>
      <w:pPr>
        <w:spacing w:after="0" w:line="167"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3"/>
          <w:szCs w:val="13"/>
          <w:color w:val="auto"/>
        </w:rPr>
        <w:t>While a trading market developed after issuing the 2026 Notes, we cannot assure you that an active and liquid market for the 2026 Notes will be maintained. We do not intend to list the 2026 Notes on any securities exchange or for quotation of the 2026 Notes on any automated dealer quotation system. If the 2026 Notes are traded after their initial issuance, they may trade at a discount to their public offering price depending on prevailing interest rates, the market for similar securities, our credit ratings, general economic conditions, our financial condition, performance and prospects and other factors. The underwriters of the 2026 Notes may discontinue any market-making in the 2026 Notes at any time at their sole discretion. In addition, any market-making activity will be subject to limits imposed by law. Accordingly, we cannot assure you that a liquid trading market will be maintained for the 2026 Notes, that you will be able to sell the 2026 Notes at a particular time or that the price you receive when you sell</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4" w:right="660" w:bottom="1440" w:gutter="0" w:footer="0" w:header="0"/>
        </w:sectPr>
      </w:pPr>
    </w:p>
    <w:bookmarkStart w:id="35" w:name="page36"/>
    <w:bookmarkEnd w:id="35"/>
    <w:p>
      <w:pPr>
        <w:spacing w:after="0" w:line="286" w:lineRule="auto"/>
        <w:rPr>
          <w:sz w:val="20"/>
          <w:szCs w:val="20"/>
          <w:color w:val="auto"/>
        </w:rPr>
      </w:pPr>
      <w:r>
        <w:rPr>
          <w:rFonts w:ascii="Times New Roman" w:cs="Times New Roman" w:eastAsia="Times New Roman" w:hAnsi="Times New Roman"/>
          <w:sz w:val="13"/>
          <w:szCs w:val="13"/>
          <w:color w:val="auto"/>
        </w:rPr>
        <w:t>will be favorable. To the extent an active trading market is not maintained, the liquidity and trading price for the 2026 Notes may be harmed. Accordingly, you may be required to bear the financial risk of an investment in the 2026 Notes for an indefinite period of time</w:t>
      </w:r>
      <w:r>
        <w:rPr>
          <w:rFonts w:ascii="Times New Roman" w:cs="Times New Roman" w:eastAsia="Times New Roman" w:hAnsi="Times New Roman"/>
          <w:sz w:val="13"/>
          <w:szCs w:val="13"/>
          <w:b w:val="1"/>
          <w:bCs w:val="1"/>
          <w:color w:val="auto"/>
        </w:rPr>
        <w:t>.</w:t>
      </w: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60" w:top="1314" w:right="86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i w:val="1"/>
          <w:iCs w:val="1"/>
          <w:color w:val="auto"/>
        </w:rPr>
        <w:t>If we default on our obligations to pay our other indebtedness, we may not be able to make payments on the 2026 Notes.</w:t>
      </w:r>
    </w:p>
    <w:p>
      <w:pPr>
        <w:spacing w:after="0" w:line="167"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Any default under the agreements governing our indebtedness, including a default under the Credit Facility, the Asset- Backed Debt or under other indebtedness to which we may be a party that is not waived by the required lenders or holders, and the remedies sought by the holders of such indebtedness could make us unable to pay principal, premium, if any, and interest on the 2026 Notes and substantially decrease the market value of the 2026 Notes.</w:t>
      </w:r>
    </w:p>
    <w:p>
      <w:pPr>
        <w:spacing w:after="0" w:line="123"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the Credit Facility, the Asset-Backed Debt or other debt we may incur in the future could elect to terminate their commitments, cease making further loans and institute foreclosure proceedings against our assets, and we could be forced into bankruptcy or liquidation.</w:t>
      </w:r>
    </w:p>
    <w:p>
      <w:pPr>
        <w:spacing w:after="0" w:line="130"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If our operating performance declines, we may in the future need to seek to obtain waivers from the required lenders or holders under the agreements relating to the Credit Facility, the Asset-Backed Debt or other debt that we may incur in the future to avoid being in default. If we breach our covenants under the Credit Facility, the Asset-Backed Debt or other debt and seek a waiver, we may not be able to obtain a waiver from the required lenders or holders. If this occurs, we would be in default and our lenders or holders could exercise their rights as described above, and we could be forced into bankruptcy or liquidation. If we are unable to repay debt, lenders or holders having secured obligations, including the lenders or holders under the Credit Facility and the Asset-Backed Debt, could proceed against the collateral securing such debt. Because the Credit Facility and the Asset-Backed Debt have, and any future debt will likely have, customary cross-default provisions, if the indebtedness thereunder or under any future credit facility is accelerated, we may be unable to repay or finance the amounts due.</w:t>
      </w:r>
    </w:p>
    <w:p>
      <w:pPr>
        <w:spacing w:after="0" w:line="92"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 downgrade, suspension or withdrawal of a credit rating assigned by a rating agency to us or our unsecured debt, if any, or change in the debt markets could cause the liquidity or market value of the 2026 Notes to decline significantly.</w:t>
      </w:r>
    </w:p>
    <w:p>
      <w:pPr>
        <w:spacing w:after="0" w:line="108"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Our credit ratings are an assessment by a rating agency of our ability to pay our debts when due. Consequently, real or anticipated changes in our credit ratings will generally affect the market value of the 2026 Notes. These credit ratings may not reflect the potential impact of risks relating to the structure or marketing of the 2026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2026 Notes.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OUR DEBT SECURITIZATION</w:t>
      </w:r>
    </w:p>
    <w:p>
      <w:pPr>
        <w:spacing w:after="0" w:line="125"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subject to certain risks as a result of our interests in connection with the 2036-R Securitization and the 2036 Securitization and our equity interests in the 2036-R Securitization Issuers and the 2036 Securitization Issuer.</w:t>
      </w:r>
    </w:p>
    <w:p>
      <w:pPr>
        <w:spacing w:after="0" w:line="72"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On July 25, 2024, PennantPark CLO I, Ltd (the “2036- R Securitization Issuer”), a wholly-owned and consolidated subsidiary of the Company, and PennantPark CLO I LLC, a wholly- owned subsidiary of the Issuer (the “2036-R Co-Securitization Issuer” and, together with the 2036-R Securitization Issuer, the “2036-R Securitization Issuers”), closed the refinancing and upsize of a four-year reinvestment period, twelve-year final maturity $351.0 million debt securitization in the form of a collateralized loan obligation (the “2036-R Securitization”). The 2036-R Securitization was executed through the issuance and incurrence, as applicable, of the 2036-R Asset-Backed Debt. As part of the 2036 -R Securitization, we sold and/or contributed to the 2036 -R Securitization Issuer approximately $277 million par amount of middle market loans, which loans constituted part of the initial portfolio of assets securing the 2036-R Asset-Backed Debt (other than the $64 million of subordinated notes issued by the 2036-R Securitization Issuer pursuant to the 2036-R Indenture).</w:t>
      </w:r>
    </w:p>
    <w:p>
      <w:pPr>
        <w:spacing w:after="0" w:line="96"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As a result of the 2036-R Securitization, we hold, indirectly through CLO I Depositor, LLC, our wholly-owned subsidiary (the “R-Depositor”), 100% of the equity interests in the 2036-R Securitization Issuers. As a result, we consolidate the financial statements of the 2036-R Securitization Issuers, as well as our other subsidiaries, in our consolidated financial statements. Because each of the 2036 -R Securitization Issuers is disregarded as an entity separate from its owners for U.S. federal income tax purposes, the sale or contribution by us to the 2036-R Securitization Issuers, as applicable, did not constitute a taxable event for U.S. federal income tax purposes. If the IRS were to take a contrary position, there could be a material adverse effect on our business, financial condition, results of operations or cash flows.</w:t>
      </w:r>
    </w:p>
    <w:p>
      <w:pPr>
        <w:spacing w:after="0" w:line="94" w:lineRule="exact"/>
        <w:rPr>
          <w:sz w:val="20"/>
          <w:szCs w:val="20"/>
          <w:color w:val="auto"/>
        </w:rPr>
      </w:pPr>
    </w:p>
    <w:p>
      <w:pPr>
        <w:ind w:right="240" w:firstLine="420"/>
        <w:spacing w:after="0" w:line="262" w:lineRule="auto"/>
        <w:rPr>
          <w:sz w:val="20"/>
          <w:szCs w:val="20"/>
          <w:color w:val="auto"/>
        </w:rPr>
      </w:pPr>
      <w:r>
        <w:rPr>
          <w:rFonts w:ascii="Times New Roman" w:cs="Times New Roman" w:eastAsia="Times New Roman" w:hAnsi="Times New Roman"/>
          <w:sz w:val="13"/>
          <w:szCs w:val="13"/>
          <w:color w:val="auto"/>
        </w:rPr>
        <w:t>On February 22, 2024, we completed the 2036 Securitization, which was executed through the issuance and incurrence, as applicable, of the 2036 Asset-Backed Debt. by, our consolidated subsidiary, PennantPark CLO VIII, LLC, a Delaware limited liability company (the “2036 Securitization Issuer”). As part of the 2036 Securitization, we sold and/or 2036 contributed via the Financing Subsidiary to the 2036 Securitization Issuer approximately $265.03 million par amount of middle market loans, which loans constituted part of the initial portfolio of assets securing the 2036 Asset-Backed Debt (other than the $63.55 million of subordinated notes issued pursuant to the 2036 Indenture).</w:t>
      </w:r>
    </w:p>
    <w:p>
      <w:pPr>
        <w:spacing w:after="0" w:line="9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As a result of the 2036 Securitization, we hold, indirectly through the 2036 Financing Subsidiary, 100% of the equity interests in the 2036 Securitization Issuer. As a result, we consolidate the financial statements of the 2036 Financing Subsidiary and the 2036 Securitization Issuer, as well as our other subsidiaries, in our consolidated financial statements. Because each of the 2036 Financing Subsidiary and the 2036 Securitization Issuer is disregarded as an entity separate from its owners for U.S. federal income tax purposes, the sale or contribution by us to the 2036 Financing Subsidiary, and by the 2036 Financing Subsidiary to the 2036-R Securitization Issuer, as applicable, did not constitute a taxable event for U.S. federal income tax purposes. If the IRS were to take a contrary position, there could be a material adverse effect on our business, financial condition,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 event of default in connection with the 2036-R Securitization or the 2036 Securitization could give rise to a cross-default under our other material indebtedness.</w:t>
      </w:r>
    </w:p>
    <w:p>
      <w:pPr>
        <w:spacing w:after="0" w:line="13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The documents governing our other material indebtedness contain customary cross-default provisions that could be triggered if an event of default occurs in connection with the 2036-R Securitization or the 2036 Securitization. An event of default with respect to our other indebtedness could lead to the acceleration of such indebtedness and the exercise of other remedies as provided in the documents governing such other indebtedness. This could have a material adverse effect on our business, financial condition, results of operations and cash flows and may result in our inability to make distributions sufficient to maintain our ability to be subject to tax as a RIC.</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0" w:right="68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receive cash distributions in respect of our indirect ownership interests in the 2036 Securitization Issuer or the 2036-R Securitization Issuers.</w:t>
      </w:r>
    </w:p>
    <w:p>
      <w:pPr>
        <w:spacing w:after="0" w:line="2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3"/>
          <w:szCs w:val="13"/>
          <w:color w:val="auto"/>
        </w:rPr>
        <w:t>Apart from fees payable to us in connection with our role as servicer of the Securitization Loans and the reimbursement of related amounts under the documents governing the 2036 Securitization and the 2036 -R Securitization, we receive cash in connection with the 2036-R Securitization and the 2036 Securitization only to the extent that the Depositor receives payments in respect of its equity interests in the Securitization Issuers. The respective holders of the equity interests in the 2036 Securitization Issuer and the 2036-R Securitization Issuers are the residual claimants on distributions, if any, made by the 2036 Securitization Issuer or the 2036 -R Securitization Issuers, as applicable, after the holders of the 2036 Asset- Backed Debt (the “2036 Securitization Debtholders”), and the holders of the 2036 -R Asset-Backed Debt (the “2036- R Securitization Debtholders”), as applicable, and other claimants have been paid in full on each payment date or upon maturity of the 2036 Asset-Backed Debt or 2036-R Asset-Backed Debt, as applicable, subject to the priority of payments under the documents governing the 2036 Securitization and the 2036-R Securitization, as applicable. To the extent that the value of the 2036 Securitization Issuer’s and the 2036-R Securitization Issuer’s portfolio of loans is reduced as a result of conditions in the credit markets (relevant in the event of a liquidation event), other macroeconomic factors, distressed or defaulted loans or the failure of individual portfolio companies to otherwise meet their obligations in respect of the loans, or for any other reason, the ability of the 2036 Securitization Issuer or the 2036-R Securitization Issuers to make cash distributions in respect of the 2036 Financing Subsidiary’s or the R-Depositor's equity interests, as applicable, would be negatively affected and consequently, the value of the equity interests in the 2036 Securitization Issuer or the 2036- R Securitization Issuers, as applicable, would also be reduced. In the event that we fail to receive cash indirectly from the 2036 Securitization Issuer or the 2036-R Securitization Issuers, we could be unable to make distributions, if at all, in amounts sufficient to maintain our ability to be subject to tax as a RIC.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interests of the 2036 Securitization Debtholders and the 2036-R Securitization Debtholders may not be aligned with our interests.</w:t>
      </w:r>
    </w:p>
    <w:p>
      <w:pPr>
        <w:spacing w:after="0" w:line="131"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The 2036 Asset-Backed Debt and the 2036-R Asset -Backed Debt constitute debt obligations ranking senior in right of payment to the rights of the holders of the equity interests in the 2036 Securitization Issuer and the 2036-R Securitization Issuers, as residual claimants in respect of distributions, if any, made by the 2036 Securitization Issuer and the 2036-R Securitization Issuers. As such, there are circumstances in which the interests of the 2036 Securitization Debtholders and the 2036-R Securitization Debtholders may not be aligned with the interests of holders of the equity interests in the 2036 Securitization Issuer or the 2036-R Securitization Issuers, as applicable. For example, under the terms of the documents governing the 2036 Securitization and the 2036-R Securitization, the 2036 Securitization Debtholders and the 2036-R Securitization Debtholders, as applicable, have the right to receive payments of principal and interest prior to holders of the equity interests.</w:t>
      </w:r>
    </w:p>
    <w:p>
      <w:pPr>
        <w:spacing w:after="0" w:line="96"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For as long as the 2036 Asset-Backed Debt or the 2036-R Asset -Backed Debt remain outstanding, the respective 2036 Securitization Debtholders and 2036-R Securitization Debtholders, as applicable, have the right to act in certain circumstances with respect to the applicable securitization loans in ways that may benefit their interests but not the interests of the respective holders of the equity interests in the 2036 Securitization Issuer or the 2036-R Securitization Issuers, as applicable, including by exercising remedies under the documents governing the 2036 Securitization or the 2036-R Securitization.</w:t>
      </w:r>
    </w:p>
    <w:p>
      <w:pPr>
        <w:spacing w:after="0" w:line="9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If an event of default occurs, the 2036 Securitization Debtholders or the 2036-R Securitization Debtholders, as applicable, will be entitled to determine the remedies to be exercised, subject to the terms of the documents governing the 2036 Securitization and the 2036-R Securitization, as applicable. For example, upon the occurrence of an event of default with respect to the 2036 Asset-Backed Debt or the 2036-R Asset- Backed Debt, as applicable, the applicable trustee may and will at the direction of the holders of a majority of the applicable 2036 Asset-Backed Debt or the 2036-R Asset-Backed Debt, as applicable, declare the principal, together with any accrued interest, of the debt to be immediately due and payable. This would have the effect of accelerating the principal on such debt, triggering a repayment obligation on the part of the 2036 Securitization Issuer or the 2036-R Securitization Issuers, as applicable. The 2036 Asset-Backed Debt or the 2036-R Asset-Backed Debt then outstanding will be paid in full before any further payment or distribution on the equity interest is made. There can be no assurance that there will be sufficient funds through collections on the applicable securitization loans or through the proceeds of the sale of the applicable securitization loans in the event of a bankruptcy or insolvency to repay in full the obligations under the 2036</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Asset-Backed Debt or the 2036-R Asset-Backed Debt, or to make any distribution to holders of the equity interests in the 2036 Securitization Issuer or the 2036-R Securitization Issuers.</w:t>
      </w:r>
    </w:p>
    <w:p>
      <w:pPr>
        <w:spacing w:after="0" w:line="139"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Remedies pursued by the 2036 Securitization Debtholders or the 2036 -R Securitization Debtholders could be adverse to our interests as the indirect holder of the equity interests in the 2036 Securitization Issuer and the 2036-R Securitization Issuers, as applicable. The 2036 Securitization Debtholders and the 2036-R Securitization Debtholders have no obligation to consider any possible adverse effect on such other interests. Thus, there can be no assurance that any remedies pursued by the 2036 Securitization Debtholders or the 2036-R Securitization Debtholders will be consistent with our best interests, or that we will receive, indirectly through the 2036 Financing Subsidiary or the R-Depositor, any payments or distributions upon an acceleration of the 2036 Asset-Backed Debt or the 2036-R Asset -Backed Debt, as applicable. Any failure of the 2036 Securitization Issuer to make distributions in respect of the equity interests that we indirectly hold, whether as a result of an event of default and the acceleration of payments on the 2036 Asset-Backed Debt or the 2036-R Asset-Backed Debt, as applicable, or otherwise, could have a material adverse effect on our business, financial condition, results of operations and cash flows and may result in our inability to make distributions sufficient to maintain our ability to be subject to tax as a RIC.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certain repurchase obligations with respect to the securitization loans transferred in connection with the 2036 Securitization and the 2036-R Securitization.</w:t>
      </w:r>
    </w:p>
    <w:p>
      <w:pPr>
        <w:spacing w:after="0" w:line="131" w:lineRule="exact"/>
        <w:rPr>
          <w:sz w:val="20"/>
          <w:szCs w:val="20"/>
          <w:color w:val="auto"/>
        </w:rPr>
      </w:pPr>
    </w:p>
    <w:p>
      <w:pPr>
        <w:ind w:right="160" w:firstLine="420"/>
        <w:spacing w:after="0" w:line="259" w:lineRule="auto"/>
        <w:rPr>
          <w:sz w:val="20"/>
          <w:szCs w:val="20"/>
          <w:color w:val="auto"/>
        </w:rPr>
      </w:pPr>
      <w:r>
        <w:rPr>
          <w:rFonts w:ascii="Times New Roman" w:cs="Times New Roman" w:eastAsia="Times New Roman" w:hAnsi="Times New Roman"/>
          <w:sz w:val="13"/>
          <w:szCs w:val="13"/>
          <w:color w:val="auto"/>
        </w:rPr>
        <w:t>As part of each of the 2036 Securitization and the 2036-R Securitization, we entered into master loan agreements under which we would be required to repurchase any of the securitization loans (or participation interest therein) which were sold to the 2036 Securitization Issuer or the 2036-R Securitization Issuers, as applicable, in breach of certain customary representations and warranties made by us, the 2036 Financing Subsidiary or the R-Depositor with respect to such securitization loans or the legal structure of the 2036 Securitization or the 2036- R Securitization, as applicable. To the extent that there is a breach of such representations and warranties and we fail to satisfy any such repurchase obligation, the applicable securitization trustee may, on behalf of the 2036 Securitization Issuer or the 2036-R Securitization Issuers, as applicable, bring an action against us to enforce these repurchase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RISK FACTORS</w:t>
      </w:r>
    </w:p>
    <w:p>
      <w:pPr>
        <w:spacing w:after="0" w:line="185" w:lineRule="exact"/>
        <w:rPr>
          <w:sz w:val="20"/>
          <w:szCs w:val="20"/>
          <w:color w:val="auto"/>
        </w:rPr>
      </w:pPr>
    </w:p>
    <w:p>
      <w:pPr>
        <w:ind w:right="700" w:firstLine="42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We and our portfolio companies may maintain cash balances at financial institutions that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spacing w:after="0" w:line="122"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Our cash is held in accounts at U.S. banking institutions that we believe are of high quality. Cash held by us and by our portfolio companies in non-interest-bearing and interest-bearing operating accounts may exceed the Federal Deposit Insurance Corporation insurance limits. If such banking institutions were to fail, we or our portfolio companies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and our portfolio companies’ business, financial condition, results of operations, or prospects.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30" w:right="700" w:bottom="1440" w:gutter="0" w:footer="0" w:header="0"/>
        </w:sectPr>
      </w:pPr>
    </w:p>
    <w:bookmarkStart w:id="38" w:name="page39"/>
    <w:bookmarkEnd w:id="38"/>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Although we assess our and our portfolio companies’ banking relationships as we believe necessary or appropriate, our and our portfolio companies’ access to funding sources and other credit arrangements in amounts adequate to finance or capitalize our respective current and projected future business operations could be significantly impaired by factors that affect us or our portfolio companies, the financial institutions with which we or our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or our portfolio companies have financial or business relationships, but could also include factors involving financial markets or the financial services industry generally.</w:t>
      </w:r>
    </w:p>
    <w:p>
      <w:pPr>
        <w:spacing w:after="0" w:line="132"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or our portfolio companies to acquire financing on acceptable terms or at all.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Inflation may adversely affect the business, results of operations and financial condition of our portfolio companies.</w:t>
      </w:r>
    </w:p>
    <w:p>
      <w:pPr>
        <w:spacing w:after="0" w:line="167" w:lineRule="exact"/>
        <w:rPr>
          <w:sz w:val="20"/>
          <w:szCs w:val="20"/>
          <w:color w:val="auto"/>
        </w:rPr>
      </w:pPr>
    </w:p>
    <w:p>
      <w:pPr>
        <w:jc w:val="both"/>
        <w:ind w:right="160" w:firstLine="420"/>
        <w:spacing w:after="0" w:line="262" w:lineRule="auto"/>
        <w:rPr>
          <w:sz w:val="20"/>
          <w:szCs w:val="20"/>
          <w:color w:val="auto"/>
        </w:rPr>
      </w:pPr>
      <w:r>
        <w:rPr>
          <w:rFonts w:ascii="Times New Roman" w:cs="Times New Roman" w:eastAsia="Times New Roman" w:hAnsi="Times New Roman"/>
          <w:sz w:val="13"/>
          <w:szCs w:val="13"/>
          <w:color w:val="auto"/>
        </w:rPr>
        <w:t>Certain of our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realized or unrealized losses and therefore reduce our net assets resulting from operations.</w:t>
      </w:r>
    </w:p>
    <w:p>
      <w:pPr>
        <w:spacing w:after="0" w:line="11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Global capital markets could enter a period of severe disruption and instability due to future recessions, disease pandemics and other serious health events, political instability, geopolitical turmoil and foreign hostilities.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86"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 pricing of credit risk in the broadly syndicated credit market, the failure of certain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Volatility or a prolonged disruption in the credit markets could materially damage our business.</w:t>
      </w:r>
    </w:p>
    <w:p>
      <w:pPr>
        <w:spacing w:after="0" w:line="167" w:lineRule="exact"/>
        <w:rPr>
          <w:sz w:val="20"/>
          <w:szCs w:val="20"/>
          <w:color w:val="auto"/>
        </w:rPr>
      </w:pPr>
    </w:p>
    <w:p>
      <w:pPr>
        <w:ind w:right="100" w:firstLine="420"/>
        <w:spacing w:after="0" w:line="255" w:lineRule="auto"/>
        <w:rPr>
          <w:sz w:val="20"/>
          <w:szCs w:val="20"/>
          <w:color w:val="auto"/>
        </w:rPr>
      </w:pPr>
      <w:r>
        <w:rPr>
          <w:rFonts w:ascii="Times New Roman" w:cs="Times New Roman" w:eastAsia="Times New Roman" w:hAnsi="Times New Roman"/>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the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98"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public health emergency, including any outbreak of existing or new diseases, and the resulting financial and economic market uncertainty could have a significant adverse impact on us.</w:t>
      </w:r>
    </w:p>
    <w:p>
      <w:pPr>
        <w:spacing w:after="0" w:line="167"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The extent of the impact of any public health emergency,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investor liquidity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halted, as a result of government quarantine measures, restrictions on travel and other factors related to a public health emergency, including its potential adverse impact on the health of any of our or our portfolio companies’ personnel. This could create widespread business continuity issues for us and our portfolio companies. These factors may also cause the valuation of our investments to differ materially from the values that we may ultimately realize. Any public health emergency, including any outbreak of existing or new epidemic diseases, or the threat thereof, and the resulting financial and economic market uncertainty could have a significant adverse impact on us and the fair value of our investments and our portfolio companies.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31"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4" w:right="660" w:bottom="1440" w:gutter="0" w:footer="0" w:header="0"/>
        </w:sectPr>
      </w:pPr>
    </w:p>
    <w:bookmarkStart w:id="39" w:name="page40"/>
    <w:bookmarkEnd w:id="39"/>
    <w:p>
      <w:pPr>
        <w:ind w:right="160"/>
        <w:spacing w:after="0" w:line="286" w:lineRule="auto"/>
        <w:rPr>
          <w:sz w:val="20"/>
          <w:szCs w:val="20"/>
          <w:color w:val="auto"/>
        </w:rPr>
      </w:pPr>
      <w:r>
        <w:rPr>
          <w:rFonts w:ascii="Times New Roman" w:cs="Times New Roman" w:eastAsia="Times New Roman" w:hAnsi="Times New Roman"/>
          <w:sz w:val="13"/>
          <w:szCs w:val="13"/>
          <w:color w:val="auto"/>
        </w:rPr>
        <w:t>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12"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the target of litigation.</w:t>
      </w:r>
    </w:p>
    <w:p>
      <w:pPr>
        <w:spacing w:after="0" w:line="131"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We may be the target of securities litigation in the future, particularly if the trading price of our common stock or our 2026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effect of global climate change may impact the operations of our portfolio companies.</w:t>
      </w:r>
    </w:p>
    <w:p>
      <w:pPr>
        <w:spacing w:after="0" w:line="131"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Extreme weather conditions in general require more system backup, adding to costs, and can contribute to increased system stresses, including service interruptions.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Legislative or regulatory tax changes could adversely affect investors.</w:t>
      </w:r>
    </w:p>
    <w:p>
      <w:pPr>
        <w:spacing w:after="0" w:line="167"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At any time, the federal income tax laws governing RICs or the administrative interpretations of those laws or regulations may be amended. The Biden Administration has enacted significant changes to the existing U.S. tax rules that include, among others, a minimum tax on book income and profits of certain multinational corporations, and there are a number of proposals in the U.S. Congress that would similarly modify the existing U.S. tax rules. The likelihood of any new legislation being enacted is uncertain. Any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shares or the value or the resale potential of our investments.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40" w:name="page41"/>
    <w:bookmarkEnd w:id="40"/>
    <w:p>
      <w:pPr>
        <w:spacing w:after="0" w:line="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Item 1C.</w:t>
      </w:r>
      <w:r>
        <w:rPr>
          <w:sz w:val="20"/>
          <w:szCs w:val="20"/>
          <w:color w:val="auto"/>
        </w:rPr>
        <w:tab/>
      </w:r>
      <w:r>
        <w:rPr>
          <w:rFonts w:ascii="Times New Roman" w:cs="Times New Roman" w:eastAsia="Times New Roman" w:hAnsi="Times New Roman"/>
          <w:sz w:val="12"/>
          <w:szCs w:val="12"/>
          <w:b w:val="1"/>
          <w:bCs w:val="1"/>
          <w:color w:val="auto"/>
        </w:rPr>
        <w:t>Cybersecurity</w:t>
      </w:r>
    </w:p>
    <w:p>
      <w:pPr>
        <w:spacing w:after="0" w:line="129" w:lineRule="exact"/>
        <w:rPr>
          <w:sz w:val="20"/>
          <w:szCs w:val="20"/>
          <w:color w:val="auto"/>
        </w:rPr>
      </w:pPr>
    </w:p>
    <w:p>
      <w:pPr>
        <w:ind w:left="80" w:right="40" w:firstLine="420"/>
        <w:spacing w:after="0" w:line="268" w:lineRule="auto"/>
        <w:rPr>
          <w:sz w:val="20"/>
          <w:szCs w:val="20"/>
          <w:color w:val="auto"/>
        </w:rPr>
      </w:pPr>
      <w:r>
        <w:rPr>
          <w:rFonts w:ascii="Times New Roman" w:cs="Times New Roman" w:eastAsia="Times New Roman" w:hAnsi="Times New Roman"/>
          <w:sz w:val="13"/>
          <w:szCs w:val="13"/>
          <w:color w:val="auto"/>
        </w:rPr>
        <w:t>The Company has processes in place to assess, identify, and manage material risks from cybersecurity threats. The Company's business is dependent on the communications and information systems of the Adviser and other third-party service providers. The Adviser manages the Company’s day-to-day operations and has implemented a cybersecurity program that applies to the Company and its operations.The Adviser manages the Company’s day-to-day operations and has implemented a cybersecurity program that applies to the Company and its operations.</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Cybersecurity Program Overview</w:t>
      </w:r>
    </w:p>
    <w:p>
      <w:pPr>
        <w:spacing w:after="0" w:line="129" w:lineRule="exact"/>
        <w:rPr>
          <w:sz w:val="20"/>
          <w:szCs w:val="20"/>
          <w:color w:val="auto"/>
        </w:rPr>
      </w:pPr>
    </w:p>
    <w:p>
      <w:pPr>
        <w:ind w:left="80" w:right="60" w:firstLine="420"/>
        <w:spacing w:after="0" w:line="268" w:lineRule="auto"/>
        <w:rPr>
          <w:sz w:val="20"/>
          <w:szCs w:val="20"/>
          <w:color w:val="auto"/>
        </w:rPr>
      </w:pPr>
      <w:r>
        <w:rPr>
          <w:rFonts w:ascii="Times New Roman" w:cs="Times New Roman" w:eastAsia="Times New Roman" w:hAnsi="Times New Roman"/>
          <w:sz w:val="13"/>
          <w:szCs w:val="13"/>
          <w:color w:val="auto"/>
        </w:rPr>
        <w:t>The Adviser has instituted a cybersecurity program designed to identify, assess, and manage cyber risks applicable to the Company. The Adviser's cyber risk management program involves risk assessments, implementation of security measures, and ongoing monitoring of systems and networks, including networks on which the Company relies. The Adviser actively monitors the current threat landscape in an effort to identify material risks arising from new and evolving cybersecurity threats, including material risks faced by the Company.</w:t>
      </w:r>
    </w:p>
    <w:p>
      <w:pPr>
        <w:spacing w:after="0" w:line="87" w:lineRule="exact"/>
        <w:rPr>
          <w:sz w:val="20"/>
          <w:szCs w:val="20"/>
          <w:color w:val="auto"/>
        </w:rPr>
      </w:pPr>
    </w:p>
    <w:p>
      <w:pPr>
        <w:ind w:left="80" w:right="40" w:firstLine="420"/>
        <w:spacing w:after="0" w:line="286" w:lineRule="auto"/>
        <w:rPr>
          <w:sz w:val="20"/>
          <w:szCs w:val="20"/>
          <w:color w:val="auto"/>
        </w:rPr>
      </w:pPr>
      <w:r>
        <w:rPr>
          <w:rFonts w:ascii="Times New Roman" w:cs="Times New Roman" w:eastAsia="Times New Roman" w:hAnsi="Times New Roman"/>
          <w:sz w:val="13"/>
          <w:szCs w:val="13"/>
          <w:color w:val="auto"/>
        </w:rPr>
        <w:t>The Company relies on the Adviser to engage external experts, including cybersecurity assessors, consultants, and auditors to evaluate cybersecurity measures and risk management processes, including those applicable to the Company.</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Company relies on the Adviser's risk management program and processes, which include cyber risk assessments.</w:t>
      </w:r>
    </w:p>
    <w:p>
      <w:pPr>
        <w:spacing w:after="0" w:line="127" w:lineRule="exact"/>
        <w:rPr>
          <w:sz w:val="20"/>
          <w:szCs w:val="20"/>
          <w:color w:val="auto"/>
        </w:rPr>
      </w:pPr>
    </w:p>
    <w:p>
      <w:pPr>
        <w:ind w:left="80" w:right="440" w:firstLine="420"/>
        <w:spacing w:after="0" w:line="286" w:lineRule="auto"/>
        <w:rPr>
          <w:sz w:val="20"/>
          <w:szCs w:val="20"/>
          <w:color w:val="auto"/>
        </w:rPr>
      </w:pPr>
      <w:r>
        <w:rPr>
          <w:rFonts w:ascii="Times New Roman" w:cs="Times New Roman" w:eastAsia="Times New Roman" w:hAnsi="Times New Roman"/>
          <w:sz w:val="13"/>
          <w:szCs w:val="13"/>
          <w:color w:val="auto"/>
        </w:rPr>
        <w:t>The Company depends on and engages various third parties, including suppliers, vendors, and service providers, to operate its business. The Company relies on the expertise of risk management, legal, information technology, and compliance personnel of the Adviser when identifying and overseeing risks from cybersecurity threats associated with our use of such entities.</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Board Oversight of Cybersecurity Risks</w:t>
      </w:r>
    </w:p>
    <w:p>
      <w:pPr>
        <w:spacing w:after="0" w:line="129" w:lineRule="exact"/>
        <w:rPr>
          <w:sz w:val="20"/>
          <w:szCs w:val="20"/>
          <w:color w:val="auto"/>
        </w:rPr>
      </w:pPr>
    </w:p>
    <w:p>
      <w:pPr>
        <w:ind w:left="80" w:right="240" w:firstLine="420"/>
        <w:spacing w:after="0" w:line="268" w:lineRule="auto"/>
        <w:rPr>
          <w:sz w:val="20"/>
          <w:szCs w:val="20"/>
          <w:color w:val="auto"/>
        </w:rPr>
      </w:pPr>
      <w:r>
        <w:rPr>
          <w:rFonts w:ascii="Times New Roman" w:cs="Times New Roman" w:eastAsia="Times New Roman" w:hAnsi="Times New Roman"/>
          <w:sz w:val="13"/>
          <w:szCs w:val="13"/>
          <w:color w:val="auto"/>
        </w:rPr>
        <w:t>The Board provides strategic oversight on cybersecurity matters, including risks associated with cybersecurity threats. The Board receives periodic updates from the Company's Chief Compliance Officer ("CCO") regarding the overall state of the Adviser's cybersecurity program, information on the current threat landscape, and risks from cybersecurity threats and cybersecurity incidents impacting the Company.</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Management's Role in Cybersecurity Risk Management</w:t>
      </w:r>
    </w:p>
    <w:p>
      <w:pPr>
        <w:spacing w:after="0" w:line="129" w:lineRule="exact"/>
        <w:rPr>
          <w:sz w:val="20"/>
          <w:szCs w:val="20"/>
          <w:color w:val="auto"/>
        </w:rPr>
      </w:pPr>
    </w:p>
    <w:p>
      <w:pPr>
        <w:ind w:left="80" w:firstLine="420"/>
        <w:spacing w:after="0" w:line="257" w:lineRule="auto"/>
        <w:rPr>
          <w:sz w:val="20"/>
          <w:szCs w:val="20"/>
          <w:color w:val="auto"/>
        </w:rPr>
      </w:pPr>
      <w:r>
        <w:rPr>
          <w:rFonts w:ascii="Times New Roman" w:cs="Times New Roman" w:eastAsia="Times New Roman" w:hAnsi="Times New Roman"/>
          <w:sz w:val="13"/>
          <w:szCs w:val="13"/>
          <w:color w:val="auto"/>
        </w:rPr>
        <w:t>The Company’s management, including the Company’s Chief Financial Officer (“CFO”) and CCO, is responsible for assessing and managing material risks from cybersecurity threats. The CFO and CCO of the Company oversee the Company’s oversight function generally and rely on Information Technology staff of, and consultants to, the Adviser to manage the assessment and management of material risks from cybersecurity threats. The CFO has been responsible for his oversight function as CFO to the Company for two years and has worked in the financial services industry for more than 30 years, during which time the CFO has gained expertise in assessing and managing risk applicable to the Company. The CCO has been responsible for oversight functions for the Company for two years, serving as CCO since May 2023 and has worked in the financial services industry for more than 27 years, during which time the CCO has gained expertise in assessing and managing risks applicable to the Company.</w:t>
      </w:r>
    </w:p>
    <w:p>
      <w:pPr>
        <w:spacing w:after="0" w:line="96" w:lineRule="exact"/>
        <w:rPr>
          <w:sz w:val="20"/>
          <w:szCs w:val="20"/>
          <w:color w:val="auto"/>
        </w:rPr>
      </w:pPr>
    </w:p>
    <w:p>
      <w:pPr>
        <w:ind w:left="80" w:right="180" w:firstLine="420"/>
        <w:spacing w:after="0" w:line="268" w:lineRule="auto"/>
        <w:rPr>
          <w:sz w:val="20"/>
          <w:szCs w:val="20"/>
          <w:color w:val="auto"/>
        </w:rPr>
      </w:pPr>
      <w:r>
        <w:rPr>
          <w:rFonts w:ascii="Times New Roman" w:cs="Times New Roman" w:eastAsia="Times New Roman" w:hAnsi="Times New Roman"/>
          <w:sz w:val="13"/>
          <w:szCs w:val="13"/>
          <w:color w:val="auto"/>
        </w:rPr>
        <w:t>Management of the Company, including the CCO, is informed about and monitors the prevention, detection, mitigation, and remediation of cybersecurity incidents impacting the Company, including through the receipt of notifications from service providers and reliance on communications with risk management, legal, information technology, and/or compliance personnel of the Adviser.</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Assessment of Cybersecurity Risk</w:t>
      </w:r>
    </w:p>
    <w:p>
      <w:pPr>
        <w:spacing w:after="0" w:line="129" w:lineRule="exact"/>
        <w:rPr>
          <w:sz w:val="20"/>
          <w:szCs w:val="20"/>
          <w:color w:val="auto"/>
        </w:rPr>
      </w:pPr>
    </w:p>
    <w:p>
      <w:pPr>
        <w:ind w:left="80" w:firstLine="420"/>
        <w:spacing w:after="0" w:line="262" w:lineRule="auto"/>
        <w:rPr>
          <w:sz w:val="20"/>
          <w:szCs w:val="20"/>
          <w:color w:val="auto"/>
        </w:rPr>
      </w:pPr>
      <w:r>
        <w:rPr>
          <w:rFonts w:ascii="Times New Roman" w:cs="Times New Roman" w:eastAsia="Times New Roman" w:hAnsi="Times New Roman"/>
          <w:sz w:val="13"/>
          <w:szCs w:val="13"/>
          <w:color w:val="auto"/>
        </w:rPr>
        <w:t>The potential impact of risks from cybersecurity threats on the Company are assessed on an ongoing basis, and how such risks could materially affect the Company's business strategy, operational results, and financial condition are regularly evaluated. During the reporting period the Company has not identified any risks from cybersecurity threats, including as a result of previous cybersecurity incidents, that the Company believes have materially affected, or are reasonably likely to materially affect, the Company, including its business strategy, operational results, and financial condition.</w:t>
      </w:r>
    </w:p>
    <w:p>
      <w:pPr>
        <w:spacing w:after="0" w:line="8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Properties</w:t>
      </w:r>
    </w:p>
    <w:p>
      <w:pPr>
        <w:spacing w:after="0" w:line="129" w:lineRule="exact"/>
        <w:rPr>
          <w:sz w:val="20"/>
          <w:szCs w:val="20"/>
          <w:color w:val="auto"/>
        </w:rPr>
      </w:pPr>
    </w:p>
    <w:p>
      <w:pPr>
        <w:jc w:val="both"/>
        <w:ind w:left="80" w:right="6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Legal Proceedings</w:t>
      </w:r>
    </w:p>
    <w:p>
      <w:pPr>
        <w:spacing w:after="0" w:line="129" w:lineRule="exact"/>
        <w:rPr>
          <w:sz w:val="20"/>
          <w:szCs w:val="20"/>
          <w:color w:val="auto"/>
        </w:rPr>
      </w:pPr>
    </w:p>
    <w:p>
      <w:pPr>
        <w:jc w:val="both"/>
        <w:ind w:left="80" w:right="80" w:firstLine="420"/>
        <w:spacing w:after="0" w:line="262" w:lineRule="auto"/>
        <w:rPr>
          <w:sz w:val="20"/>
          <w:szCs w:val="20"/>
          <w:color w:val="auto"/>
        </w:rPr>
      </w:pPr>
      <w:r>
        <w:rPr>
          <w:rFonts w:ascii="Times New Roman" w:cs="Times New Roman" w:eastAsia="Times New Roman" w:hAnsi="Times New Roman"/>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3"/>
          <w:szCs w:val="13"/>
          <w:b w:val="1"/>
          <w:bCs w:val="1"/>
          <w:color w:val="auto"/>
        </w:rPr>
        <w:t>Mine Safety Disclosures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Not applicable.</w:t>
      </w:r>
    </w:p>
    <w:p>
      <w:pPr>
        <w:spacing w:after="0" w:line="1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40" w:right="680" w:bottom="1440" w:gutter="0" w:footer="0" w:header="0"/>
        </w:sectPr>
      </w:pPr>
    </w:p>
    <w:bookmarkStart w:id="41" w:name="page42"/>
    <w:bookmarkEnd w:id="41"/>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Market for Registrant’s Common Equity, Related Stockholder Matters and Issuer Purchases of Equity Securities</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PRICE RANGE OF COMMON STOCK</w:t>
      </w:r>
    </w:p>
    <w:p>
      <w:pPr>
        <w:spacing w:after="0" w:line="129" w:lineRule="exact"/>
        <w:rPr>
          <w:sz w:val="20"/>
          <w:szCs w:val="20"/>
          <w:color w:val="auto"/>
        </w:rPr>
      </w:pPr>
    </w:p>
    <w:p>
      <w:pPr>
        <w:ind w:left="80" w:right="360" w:firstLine="420"/>
        <w:spacing w:after="0" w:line="262" w:lineRule="auto"/>
        <w:rPr>
          <w:sz w:val="20"/>
          <w:szCs w:val="20"/>
          <w:color w:val="auto"/>
        </w:rPr>
      </w:pPr>
      <w:r>
        <w:rPr>
          <w:rFonts w:ascii="Times New Roman" w:cs="Times New Roman" w:eastAsia="Times New Roman" w:hAnsi="Times New Roman"/>
          <w:sz w:val="13"/>
          <w:szCs w:val="13"/>
          <w:color w:val="auto"/>
        </w:rPr>
        <w:t>On April 14, 2022, listing and trading of the Company's common stock commenced on the New York Stock Exchange after the Company voluntarily withdrew the principal listing of its common stock from the Nasdaq Global Stock Market effective at market close on April 13, 2022. Our common stock trades on the New York Stock Exchange under the symbol “PFLT.” The following table lists the high and low closing sale prices for our common stock, the closing sale prices as a premium or (discount) to our NAV per share and distributions per share for each full quarterly period within the fiscal years ended September 30, 2024 and 2023.</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2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8"/>
              </w:rPr>
              <w:t>Premium /</w:t>
            </w:r>
          </w:p>
        </w:tc>
        <w:tc>
          <w:tcPr>
            <w:tcW w:w="138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100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380" w:type="dxa"/>
            <w:vAlign w:val="bottom"/>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000" w:type="dxa"/>
            <w:vAlign w:val="bottom"/>
          </w:tcPr>
          <w:p>
            <w:pPr>
              <w:spacing w:after="0"/>
              <w:rPr>
                <w:sz w:val="13"/>
                <w:szCs w:val="13"/>
                <w:color w:val="auto"/>
              </w:rPr>
            </w:pPr>
          </w:p>
        </w:tc>
      </w:tr>
      <w:tr>
        <w:trPr>
          <w:trHeight w:val="145"/>
        </w:trPr>
        <w:tc>
          <w:tcPr>
            <w:tcW w:w="2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gridSpan w:val="3"/>
          </w:tcPr>
          <w:p>
            <w:pPr>
              <w:jc w:val="right"/>
              <w:ind w:right="674"/>
              <w:spacing w:after="0" w:line="145" w:lineRule="exact"/>
              <w:rPr>
                <w:sz w:val="20"/>
                <w:szCs w:val="20"/>
                <w:color w:val="auto"/>
              </w:rPr>
            </w:pPr>
            <w:r>
              <w:rPr>
                <w:rFonts w:ascii="Times New Roman" w:cs="Times New Roman" w:eastAsia="Times New Roman" w:hAnsi="Times New Roman"/>
                <w:sz w:val="13"/>
                <w:szCs w:val="13"/>
                <w:b w:val="1"/>
                <w:bCs w:val="1"/>
                <w:color w:val="auto"/>
              </w:rPr>
              <w:t>Closing Sale Prices</w:t>
            </w:r>
          </w:p>
        </w:tc>
        <w:tc>
          <w:tcPr>
            <w:tcW w:w="13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of High Sale</w:t>
            </w:r>
          </w:p>
        </w:tc>
        <w:tc>
          <w:tcPr>
            <w:tcW w:w="1380" w:type="dxa"/>
            <w:vAlign w:val="bottom"/>
          </w:tcPr>
          <w:p>
            <w:pPr>
              <w:jc w:val="center"/>
              <w:ind w:right="254"/>
              <w:spacing w:after="0" w:line="145" w:lineRule="exact"/>
              <w:rPr>
                <w:sz w:val="20"/>
                <w:szCs w:val="20"/>
                <w:color w:val="auto"/>
              </w:rPr>
            </w:pPr>
            <w:r>
              <w:rPr>
                <w:rFonts w:ascii="Times New Roman" w:cs="Times New Roman" w:eastAsia="Times New Roman" w:hAnsi="Times New Roman"/>
                <w:sz w:val="13"/>
                <w:szCs w:val="13"/>
                <w:b w:val="1"/>
                <w:bCs w:val="1"/>
                <w:color w:val="auto"/>
              </w:rPr>
              <w:t>of Low Sale</w:t>
            </w:r>
          </w:p>
        </w:tc>
        <w:tc>
          <w:tcPr>
            <w:tcW w:w="1000" w:type="dxa"/>
            <w:vAlign w:val="bottom"/>
          </w:tcPr>
          <w:p>
            <w:pPr>
              <w:jc w:val="right"/>
              <w:ind w:right="154"/>
              <w:spacing w:after="0" w:line="145" w:lineRule="exact"/>
              <w:rPr>
                <w:sz w:val="20"/>
                <w:szCs w:val="20"/>
                <w:color w:val="auto"/>
              </w:rPr>
            </w:pPr>
            <w:r>
              <w:rPr>
                <w:rFonts w:ascii="Times New Roman" w:cs="Times New Roman" w:eastAsia="Times New Roman" w:hAnsi="Times New Roman"/>
                <w:sz w:val="13"/>
                <w:szCs w:val="13"/>
                <w:b w:val="1"/>
                <w:bCs w:val="1"/>
                <w:color w:val="auto"/>
              </w:rPr>
              <w:t>Distributions</w:t>
            </w:r>
          </w:p>
        </w:tc>
      </w:tr>
      <w:tr>
        <w:trPr>
          <w:trHeight w:val="181"/>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860" w:type="dxa"/>
            <w:vAlign w:val="bottom"/>
          </w:tcPr>
          <w:p>
            <w:pPr>
              <w:spacing w:after="0"/>
              <w:rPr>
                <w:sz w:val="15"/>
                <w:szCs w:val="15"/>
                <w:color w:val="auto"/>
              </w:rPr>
            </w:pPr>
          </w:p>
        </w:tc>
        <w:tc>
          <w:tcPr>
            <w:tcW w:w="94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NAV </w:t>
            </w:r>
            <w:r>
              <w:rPr>
                <w:rFonts w:ascii="Times New Roman" w:cs="Times New Roman" w:eastAsia="Times New Roman" w:hAnsi="Times New Roman"/>
                <w:sz w:val="16"/>
                <w:szCs w:val="16"/>
                <w:b w:val="1"/>
                <w:bCs w:val="1"/>
                <w:color w:val="auto"/>
                <w:vertAlign w:val="superscript"/>
              </w:rPr>
              <w:t>(1)</w:t>
            </w:r>
          </w:p>
        </w:tc>
        <w:tc>
          <w:tcPr>
            <w:tcW w:w="340" w:type="dxa"/>
            <w:vAlign w:val="bottom"/>
          </w:tcPr>
          <w:p>
            <w:pPr>
              <w:spacing w:after="0"/>
              <w:rPr>
                <w:sz w:val="15"/>
                <w:szCs w:val="15"/>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High</w:t>
            </w:r>
          </w:p>
        </w:tc>
        <w:tc>
          <w:tcPr>
            <w:tcW w:w="340" w:type="dxa"/>
            <w:vAlign w:val="bottom"/>
          </w:tcPr>
          <w:p>
            <w:pPr>
              <w:spacing w:after="0"/>
              <w:rPr>
                <w:sz w:val="15"/>
                <w:szCs w:val="15"/>
                <w:color w:val="auto"/>
              </w:rPr>
            </w:pPr>
          </w:p>
        </w:tc>
        <w:tc>
          <w:tcPr>
            <w:tcW w:w="92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Low</w:t>
            </w:r>
          </w:p>
        </w:tc>
        <w:tc>
          <w:tcPr>
            <w:tcW w:w="138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Price to NAV </w:t>
            </w:r>
            <w:r>
              <w:rPr>
                <w:rFonts w:ascii="Times New Roman" w:cs="Times New Roman" w:eastAsia="Times New Roman" w:hAnsi="Times New Roman"/>
                <w:sz w:val="16"/>
                <w:szCs w:val="16"/>
                <w:b w:val="1"/>
                <w:bCs w:val="1"/>
                <w:color w:val="auto"/>
                <w:w w:val="99"/>
                <w:vertAlign w:val="superscript"/>
              </w:rPr>
              <w:t>(2)</w:t>
            </w:r>
          </w:p>
        </w:tc>
        <w:tc>
          <w:tcPr>
            <w:tcW w:w="1380" w:type="dxa"/>
            <w:vAlign w:val="bottom"/>
          </w:tcPr>
          <w:p>
            <w:pPr>
              <w:jc w:val="center"/>
              <w:ind w:right="234"/>
              <w:spacing w:after="0" w:line="181" w:lineRule="exact"/>
              <w:rPr>
                <w:sz w:val="20"/>
                <w:szCs w:val="20"/>
                <w:color w:val="auto"/>
              </w:rPr>
            </w:pPr>
            <w:r>
              <w:rPr>
                <w:rFonts w:ascii="Times New Roman" w:cs="Times New Roman" w:eastAsia="Times New Roman" w:hAnsi="Times New Roman"/>
                <w:sz w:val="13"/>
                <w:szCs w:val="13"/>
                <w:b w:val="1"/>
                <w:bCs w:val="1"/>
                <w:color w:val="auto"/>
                <w:w w:val="97"/>
              </w:rPr>
              <w:t xml:space="preserve">Price to NAV </w:t>
            </w:r>
            <w:r>
              <w:rPr>
                <w:rFonts w:ascii="Times New Roman" w:cs="Times New Roman" w:eastAsia="Times New Roman" w:hAnsi="Times New Roman"/>
                <w:sz w:val="16"/>
                <w:szCs w:val="16"/>
                <w:b w:val="1"/>
                <w:bCs w:val="1"/>
                <w:color w:val="auto"/>
                <w:w w:val="97"/>
                <w:vertAlign w:val="superscript"/>
              </w:rPr>
              <w:t>(2)</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Declared</w:t>
            </w:r>
          </w:p>
        </w:tc>
      </w:tr>
      <w:tr>
        <w:trPr>
          <w:trHeight w:val="156"/>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September 30, 2024</w:t>
            </w:r>
          </w:p>
        </w:tc>
        <w:tc>
          <w:tcPr>
            <w:tcW w:w="8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380" w:type="dxa"/>
            <w:vAlign w:val="bottom"/>
            <w:shd w:val="clear" w:color="auto" w:fill="CCECFF"/>
          </w:tcPr>
          <w:p>
            <w:pPr>
              <w:spacing w:after="0"/>
              <w:rPr>
                <w:sz w:val="13"/>
                <w:szCs w:val="13"/>
                <w:color w:val="auto"/>
              </w:rPr>
            </w:pPr>
          </w:p>
        </w:tc>
        <w:tc>
          <w:tcPr>
            <w:tcW w:w="13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Fourth quarter</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11.31</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11.94</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10.49</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6 %</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 $</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0.308</w:t>
            </w:r>
          </w:p>
        </w:tc>
      </w:tr>
      <w:tr>
        <w:trPr>
          <w:trHeight w:val="156"/>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Third quarter</w:t>
            </w:r>
          </w:p>
        </w:tc>
        <w:tc>
          <w:tcPr>
            <w:tcW w:w="86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11.34</w:t>
            </w:r>
          </w:p>
        </w:tc>
        <w:tc>
          <w:tcPr>
            <w:tcW w:w="340" w:type="dxa"/>
            <w:vAlign w:val="bottom"/>
            <w:shd w:val="clear" w:color="auto" w:fill="CCECFF"/>
          </w:tcPr>
          <w:p>
            <w:pPr>
              <w:spacing w:after="0"/>
              <w:rPr>
                <w:sz w:val="13"/>
                <w:szCs w:val="13"/>
                <w:color w:val="auto"/>
              </w:rPr>
            </w:pPr>
          </w:p>
        </w:tc>
        <w:tc>
          <w:tcPr>
            <w:tcW w:w="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11.61</w:t>
            </w:r>
          </w:p>
        </w:tc>
        <w:tc>
          <w:tcPr>
            <w:tcW w:w="340" w:type="dxa"/>
            <w:vAlign w:val="bottom"/>
            <w:shd w:val="clear" w:color="auto" w:fill="CCECFF"/>
          </w:tcPr>
          <w:p>
            <w:pPr>
              <w:spacing w:after="0"/>
              <w:rPr>
                <w:sz w:val="13"/>
                <w:szCs w:val="13"/>
                <w:color w:val="auto"/>
              </w:rPr>
            </w:pPr>
          </w:p>
        </w:tc>
        <w:tc>
          <w:tcPr>
            <w:tcW w:w="9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11.09</w:t>
            </w:r>
          </w:p>
        </w:tc>
        <w:tc>
          <w:tcPr>
            <w:tcW w:w="138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2</w:t>
            </w:r>
          </w:p>
        </w:tc>
        <w:tc>
          <w:tcPr>
            <w:tcW w:w="138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(2 )</w:t>
            </w:r>
          </w:p>
        </w:tc>
        <w:tc>
          <w:tcPr>
            <w:tcW w:w="10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0.308</w:t>
            </w: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quarter</w:t>
            </w:r>
          </w:p>
        </w:tc>
        <w:tc>
          <w:tcPr>
            <w:tcW w:w="860" w:type="dxa"/>
            <w:vAlign w:val="bottom"/>
          </w:tcPr>
          <w:p>
            <w:pPr>
              <w:spacing w:after="0"/>
              <w:rPr>
                <w:sz w:val="13"/>
                <w:szCs w:val="13"/>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11.40</w:t>
            </w:r>
          </w:p>
        </w:tc>
        <w:tc>
          <w:tcPr>
            <w:tcW w:w="34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12.61</w:t>
            </w:r>
          </w:p>
        </w:tc>
        <w:tc>
          <w:tcPr>
            <w:tcW w:w="340" w:type="dxa"/>
            <w:vAlign w:val="bottom"/>
          </w:tcPr>
          <w:p>
            <w:pPr>
              <w:spacing w:after="0"/>
              <w:rPr>
                <w:sz w:val="13"/>
                <w:szCs w:val="13"/>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11.09</w:t>
            </w: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11</w:t>
            </w: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(3 )</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0.308</w:t>
            </w:r>
          </w:p>
        </w:tc>
      </w:tr>
      <w:tr>
        <w:trPr>
          <w:trHeight w:val="156"/>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quarter</w:t>
            </w:r>
          </w:p>
        </w:tc>
        <w:tc>
          <w:tcPr>
            <w:tcW w:w="86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11.20</w:t>
            </w:r>
          </w:p>
        </w:tc>
        <w:tc>
          <w:tcPr>
            <w:tcW w:w="340" w:type="dxa"/>
            <w:vAlign w:val="bottom"/>
            <w:shd w:val="clear" w:color="auto" w:fill="CCECFF"/>
          </w:tcPr>
          <w:p>
            <w:pPr>
              <w:spacing w:after="0"/>
              <w:rPr>
                <w:sz w:val="13"/>
                <w:szCs w:val="13"/>
                <w:color w:val="auto"/>
              </w:rPr>
            </w:pPr>
          </w:p>
        </w:tc>
        <w:tc>
          <w:tcPr>
            <w:tcW w:w="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12.24</w:t>
            </w:r>
          </w:p>
        </w:tc>
        <w:tc>
          <w:tcPr>
            <w:tcW w:w="340" w:type="dxa"/>
            <w:vAlign w:val="bottom"/>
            <w:shd w:val="clear" w:color="auto" w:fill="CCECFF"/>
          </w:tcPr>
          <w:p>
            <w:pPr>
              <w:spacing w:after="0"/>
              <w:rPr>
                <w:sz w:val="13"/>
                <w:szCs w:val="13"/>
                <w:color w:val="auto"/>
              </w:rPr>
            </w:pPr>
          </w:p>
        </w:tc>
        <w:tc>
          <w:tcPr>
            <w:tcW w:w="92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9.71</w:t>
            </w:r>
          </w:p>
        </w:tc>
        <w:tc>
          <w:tcPr>
            <w:tcW w:w="138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9</w:t>
            </w:r>
          </w:p>
        </w:tc>
        <w:tc>
          <w:tcPr>
            <w:tcW w:w="138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(13 )</w:t>
            </w:r>
          </w:p>
        </w:tc>
        <w:tc>
          <w:tcPr>
            <w:tcW w:w="10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0.308</w:t>
            </w: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September 30, 2023</w:t>
            </w: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Fourth quarter</w:t>
            </w:r>
          </w:p>
        </w:tc>
        <w:tc>
          <w:tcPr>
            <w:tcW w:w="8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11.13</w:t>
            </w:r>
          </w:p>
        </w:tc>
        <w:tc>
          <w:tcPr>
            <w:tcW w:w="3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11.39</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10.32</w:t>
            </w:r>
          </w:p>
        </w:tc>
        <w:tc>
          <w:tcPr>
            <w:tcW w:w="13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2 %</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(7 )% $</w:t>
            </w:r>
          </w:p>
        </w:tc>
        <w:tc>
          <w:tcPr>
            <w:tcW w:w="10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0.308</w:t>
            </w: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Third quarter</w:t>
            </w:r>
          </w:p>
        </w:tc>
        <w:tc>
          <w:tcPr>
            <w:tcW w:w="860" w:type="dxa"/>
            <w:vAlign w:val="bottom"/>
          </w:tcPr>
          <w:p>
            <w:pPr>
              <w:spacing w:after="0"/>
              <w:rPr>
                <w:sz w:val="13"/>
                <w:szCs w:val="13"/>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10.96</w:t>
            </w:r>
          </w:p>
        </w:tc>
        <w:tc>
          <w:tcPr>
            <w:tcW w:w="34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11.06</w:t>
            </w:r>
          </w:p>
        </w:tc>
        <w:tc>
          <w:tcPr>
            <w:tcW w:w="340" w:type="dxa"/>
            <w:vAlign w:val="bottom"/>
          </w:tcPr>
          <w:p>
            <w:pPr>
              <w:spacing w:after="0"/>
              <w:rPr>
                <w:sz w:val="13"/>
                <w:szCs w:val="13"/>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10.37</w:t>
            </w: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w:t>
            </w: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(5 )</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0.303</w:t>
            </w:r>
          </w:p>
        </w:tc>
      </w:tr>
      <w:tr>
        <w:trPr>
          <w:trHeight w:val="156"/>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quarter</w:t>
            </w:r>
          </w:p>
        </w:tc>
        <w:tc>
          <w:tcPr>
            <w:tcW w:w="86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11.15</w:t>
            </w:r>
          </w:p>
        </w:tc>
        <w:tc>
          <w:tcPr>
            <w:tcW w:w="340" w:type="dxa"/>
            <w:vAlign w:val="bottom"/>
            <w:shd w:val="clear" w:color="auto" w:fill="CCECFF"/>
          </w:tcPr>
          <w:p>
            <w:pPr>
              <w:spacing w:after="0"/>
              <w:rPr>
                <w:sz w:val="13"/>
                <w:szCs w:val="13"/>
                <w:color w:val="auto"/>
              </w:rPr>
            </w:pPr>
          </w:p>
        </w:tc>
        <w:tc>
          <w:tcPr>
            <w:tcW w:w="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12.20</w:t>
            </w:r>
          </w:p>
        </w:tc>
        <w:tc>
          <w:tcPr>
            <w:tcW w:w="340" w:type="dxa"/>
            <w:vAlign w:val="bottom"/>
            <w:shd w:val="clear" w:color="auto" w:fill="CCECFF"/>
          </w:tcPr>
          <w:p>
            <w:pPr>
              <w:spacing w:after="0"/>
              <w:rPr>
                <w:sz w:val="13"/>
                <w:szCs w:val="13"/>
                <w:color w:val="auto"/>
              </w:rPr>
            </w:pPr>
          </w:p>
        </w:tc>
        <w:tc>
          <w:tcPr>
            <w:tcW w:w="92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9.98</w:t>
            </w:r>
          </w:p>
        </w:tc>
        <w:tc>
          <w:tcPr>
            <w:tcW w:w="138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9</w:t>
            </w:r>
          </w:p>
        </w:tc>
        <w:tc>
          <w:tcPr>
            <w:tcW w:w="138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(10 )</w:t>
            </w:r>
          </w:p>
        </w:tc>
        <w:tc>
          <w:tcPr>
            <w:tcW w:w="10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0.290</w:t>
            </w:r>
          </w:p>
        </w:tc>
      </w:tr>
      <w:tr>
        <w:trPr>
          <w:trHeight w:val="172"/>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quarter</w:t>
            </w:r>
          </w:p>
        </w:tc>
        <w:tc>
          <w:tcPr>
            <w:tcW w:w="860" w:type="dxa"/>
            <w:vAlign w:val="bottom"/>
          </w:tcPr>
          <w:p>
            <w:pPr>
              <w:spacing w:after="0"/>
              <w:rPr>
                <w:sz w:val="14"/>
                <w:szCs w:val="14"/>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11.30</w:t>
            </w:r>
          </w:p>
        </w:tc>
        <w:tc>
          <w:tcPr>
            <w:tcW w:w="340" w:type="dxa"/>
            <w:vAlign w:val="bottom"/>
          </w:tcPr>
          <w:p>
            <w:pPr>
              <w:spacing w:after="0"/>
              <w:rPr>
                <w:sz w:val="14"/>
                <w:szCs w:val="14"/>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11.56</w:t>
            </w:r>
          </w:p>
        </w:tc>
        <w:tc>
          <w:tcPr>
            <w:tcW w:w="340" w:type="dxa"/>
            <w:vAlign w:val="bottom"/>
          </w:tcPr>
          <w:p>
            <w:pPr>
              <w:spacing w:after="0"/>
              <w:rPr>
                <w:sz w:val="14"/>
                <w:szCs w:val="14"/>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9.77</w:t>
            </w: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w:t>
            </w: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(14 )</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0.285</w:t>
            </w:r>
          </w:p>
        </w:tc>
      </w:tr>
    </w:tbl>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0"/>
          <w:szCs w:val="10"/>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80"/>
        <w:spacing w:after="0"/>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Calculated as the respective high or low closing sales price less NAV per share, divided by the quarter-end NAV per share.</w:t>
      </w:r>
    </w:p>
    <w:p>
      <w:pPr>
        <w:spacing w:after="0" w:line="35" w:lineRule="exact"/>
        <w:rPr>
          <w:sz w:val="20"/>
          <w:szCs w:val="20"/>
          <w:color w:val="auto"/>
        </w:rPr>
      </w:pPr>
    </w:p>
    <w:p>
      <w:pPr>
        <w:ind w:left="80" w:right="60" w:firstLine="420"/>
        <w:spacing w:after="0" w:line="262" w:lineRule="auto"/>
        <w:rPr>
          <w:sz w:val="20"/>
          <w:szCs w:val="20"/>
          <w:color w:val="auto"/>
        </w:rPr>
      </w:pPr>
      <w:r>
        <w:rPr>
          <w:rFonts w:ascii="Times New Roman" w:cs="Times New Roman" w:eastAsia="Times New Roman" w:hAnsi="Times New Roman"/>
          <w:sz w:val="13"/>
          <w:szCs w:val="13"/>
          <w:color w:val="auto"/>
        </w:rPr>
        <w:t>Shares of BDCs may trade at a market price both above and below the NAV that is attributable to those shares. Our shares have traded above and below our NAV. Our shares closed on the New York Stock Exchange at $11.57 and $10.66 on September 30, 2024 and 2023, respectively. Our NAV per share was $11.31 and $11.13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2024, we had 32 stockholders of record.</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Sale of Unregistered Securities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We did not engage in any sales of unregistered securities during the year ended September 30, 2024.</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Issuer Purchases of Equity Securities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We did not repurchase any of our common stock under our share repurchase plan during the year ended September 30, 2024.</w:t>
      </w:r>
    </w:p>
    <w:p>
      <w:pPr>
        <w:spacing w:after="0" w:line="1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129" w:lineRule="exact"/>
        <w:rPr>
          <w:sz w:val="20"/>
          <w:szCs w:val="20"/>
          <w:color w:val="auto"/>
        </w:rPr>
      </w:pPr>
    </w:p>
    <w:p>
      <w:pPr>
        <w:ind w:left="80" w:right="20" w:firstLine="420"/>
        <w:spacing w:after="0" w:line="265" w:lineRule="auto"/>
        <w:rPr>
          <w:sz w:val="20"/>
          <w:szCs w:val="20"/>
          <w:color w:val="auto"/>
        </w:rPr>
      </w:pPr>
      <w:r>
        <w:rPr>
          <w:rFonts w:ascii="Times New Roman" w:cs="Times New Roman" w:eastAsia="Times New Roman" w:hAnsi="Times New Roman"/>
          <w:sz w:val="13"/>
          <w:szCs w:val="13"/>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285" w:lineRule="exact"/>
        <w:rPr>
          <w:sz w:val="20"/>
          <w:szCs w:val="20"/>
          <w:color w:val="auto"/>
        </w:rPr>
      </w:pPr>
    </w:p>
    <w:p>
      <w:pPr>
        <w:ind w:left="80" w:right="380" w:firstLine="420"/>
        <w:spacing w:after="0" w:line="286" w:lineRule="auto"/>
        <w:rPr>
          <w:sz w:val="20"/>
          <w:szCs w:val="20"/>
          <w:color w:val="auto"/>
        </w:rPr>
      </w:pPr>
      <w:r>
        <w:rPr>
          <w:rFonts w:ascii="Times New Roman" w:cs="Times New Roman" w:eastAsia="Times New Roman" w:hAnsi="Times New Roman"/>
          <w:sz w:val="13"/>
          <w:szCs w:val="13"/>
          <w:color w:val="auto"/>
        </w:rPr>
        <w:t>In January 2025, a Form 1099 -DIV will be sent to stockholders subject to information reporting that will state the amount and composition of distributions and provide information with respect to appropriate tax treatment of our distributions.</w:t>
      </w:r>
    </w:p>
    <w:p>
      <w:pPr>
        <w:spacing w:after="0" w:line="76" w:lineRule="exact"/>
        <w:rPr>
          <w:sz w:val="20"/>
          <w:szCs w:val="20"/>
          <w:color w:val="auto"/>
        </w:rPr>
      </w:pPr>
    </w:p>
    <w:p>
      <w:pPr>
        <w:jc w:val="both"/>
        <w:ind w:left="80" w:right="120" w:firstLine="420"/>
        <w:spacing w:after="0" w:line="268" w:lineRule="auto"/>
        <w:rPr>
          <w:sz w:val="20"/>
          <w:szCs w:val="20"/>
          <w:color w:val="auto"/>
        </w:rPr>
      </w:pPr>
      <w:r>
        <w:rPr>
          <w:rFonts w:ascii="Times New Roman" w:cs="Times New Roman" w:eastAsia="Times New Roman" w:hAnsi="Times New Roman"/>
          <w:sz w:val="13"/>
          <w:szCs w:val="13"/>
          <w:color w:val="auto"/>
        </w:rPr>
        <w:t>The tax characteristics of distributions declared, in accordance with Section 19(a) of the 1940 Act, for our fiscal and taxable years ended September 30, 2024 and 2023 from ordinary income (including short-term gains), if any, totaled $80.6 million, or $1.23 per share , and $60.5 million, or $1.19 per share, respectively, based on the weighted average shares outstanding for the respective periods. Additionally, for both years ended September 30, 2024 and 2023, we did not pay any distributions from long-term capital gains.</w:t>
      </w:r>
    </w:p>
    <w:p>
      <w:pPr>
        <w:spacing w:after="0" w:line="87" w:lineRule="exact"/>
        <w:rPr>
          <w:sz w:val="20"/>
          <w:szCs w:val="20"/>
          <w:color w:val="auto"/>
        </w:rPr>
      </w:pPr>
    </w:p>
    <w:p>
      <w:pPr>
        <w:ind w:left="80" w:right="6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12" w:right="68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i w:val="1"/>
          <w:iCs w:val="1"/>
          <w:color w:val="auto"/>
        </w:rPr>
        <w:t>Stock Performance Graph</w:t>
      </w:r>
    </w:p>
    <w:p>
      <w:pPr>
        <w:spacing w:after="0" w:line="131"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This graph compares the return on our common stock with that of the Standard &amp; Poor’s 500 Stock Index (the "S&amp;P Index") and the Russell 2000 Financial Services Index, for the last five fiscal years. The graph assumes that, on September 30, 2019,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62865</wp:posOffset>
            </wp:positionV>
            <wp:extent cx="5289550" cy="3475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89550" cy="347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FEES AND EXPENSES</w:t>
      </w:r>
    </w:p>
    <w:p>
      <w:pPr>
        <w:spacing w:after="0" w:line="129"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following table is being provided to update, as of September 30, 2024, certain information in our registration statement on Form N-2 (File No. 333-279726), most recently declared effective by the SEC on July 17, 2024. This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 transaction expenses</w:t>
            </w:r>
          </w:p>
        </w:tc>
        <w:tc>
          <w:tcPr>
            <w:tcW w:w="2820" w:type="dxa"/>
            <w:vAlign w:val="bottom"/>
          </w:tcPr>
          <w:p>
            <w:pPr>
              <w:spacing w:after="0"/>
              <w:rPr>
                <w:sz w:val="14"/>
                <w:szCs w:val="14"/>
                <w:color w:val="auto"/>
              </w:rPr>
            </w:pPr>
          </w:p>
        </w:tc>
      </w:tr>
      <w:tr>
        <w:trPr>
          <w:trHeight w:val="15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Sales load (as a percentage of offering price)</w:t>
            </w:r>
          </w:p>
        </w:tc>
        <w:tc>
          <w:tcPr>
            <w:tcW w:w="2820" w:type="dxa"/>
            <w:vAlign w:val="bottom"/>
            <w:shd w:val="clear" w:color="auto" w:fill="CCECFF"/>
          </w:tcPr>
          <w:p>
            <w:pPr>
              <w:jc w:val="right"/>
              <w:ind w:right="21"/>
              <w:spacing w:after="0" w:line="156"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7"/>
                <w:szCs w:val="7"/>
                <w:color w:val="auto"/>
              </w:rPr>
              <w:t>(1)</w:t>
            </w:r>
          </w:p>
        </w:tc>
      </w:tr>
      <w:tr>
        <w:trPr>
          <w:trHeight w:val="15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Offering expenses (as a percentage of offering price)</w:t>
            </w:r>
          </w:p>
        </w:tc>
        <w:tc>
          <w:tcPr>
            <w:tcW w:w="2820" w:type="dxa"/>
            <w:vAlign w:val="bottom"/>
          </w:tcPr>
          <w:p>
            <w:pPr>
              <w:jc w:val="right"/>
              <w:ind w:right="21"/>
              <w:spacing w:after="0" w:line="156"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7"/>
                <w:szCs w:val="7"/>
                <w:color w:val="auto"/>
              </w:rPr>
              <w:t>(2)</w:t>
            </w:r>
          </w:p>
        </w:tc>
      </w:tr>
      <w:tr>
        <w:trPr>
          <w:trHeight w:val="21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stockholder expenses (as a percentage of offering price)</w:t>
            </w:r>
          </w:p>
        </w:tc>
        <w:tc>
          <w:tcPr>
            <w:tcW w:w="2820" w:type="dxa"/>
            <w:vAlign w:val="bottom"/>
            <w:shd w:val="clear" w:color="auto" w:fill="CCEC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Estimated annual expenses (as a percentage of average net assets attributable to common shares)</w:t>
            </w:r>
            <w:r>
              <w:rPr>
                <w:rFonts w:ascii="Times New Roman" w:cs="Times New Roman" w:eastAsia="Times New Roman" w:hAnsi="Times New Roman"/>
                <w:sz w:val="16"/>
                <w:szCs w:val="16"/>
                <w:b w:val="1"/>
                <w:bCs w:val="1"/>
                <w:color w:val="auto"/>
                <w:vertAlign w:val="superscript"/>
              </w:rPr>
              <w:t>(3)</w:t>
            </w:r>
          </w:p>
        </w:tc>
        <w:tc>
          <w:tcPr>
            <w:tcW w:w="2820" w:type="dxa"/>
            <w:vAlign w:val="bottom"/>
          </w:tcPr>
          <w:p>
            <w:pPr>
              <w:spacing w:after="0"/>
              <w:rPr>
                <w:sz w:val="18"/>
                <w:szCs w:val="18"/>
                <w:color w:val="auto"/>
              </w:rPr>
            </w:pPr>
          </w:p>
        </w:tc>
      </w:tr>
      <w:tr>
        <w:trPr>
          <w:trHeight w:val="15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Management fees</w:t>
            </w:r>
          </w:p>
        </w:tc>
        <w:tc>
          <w:tcPr>
            <w:tcW w:w="2820" w:type="dxa"/>
            <w:vAlign w:val="bottom"/>
            <w:shd w:val="clear" w:color="auto" w:fill="CCECFF"/>
          </w:tcPr>
          <w:p>
            <w:pPr>
              <w:jc w:val="right"/>
              <w:ind w:right="21"/>
              <w:spacing w:after="0" w:line="156" w:lineRule="exact"/>
              <w:rPr>
                <w:sz w:val="20"/>
                <w:szCs w:val="20"/>
                <w:color w:val="auto"/>
              </w:rPr>
            </w:pPr>
            <w:r>
              <w:rPr>
                <w:rFonts w:ascii="Times New Roman" w:cs="Times New Roman" w:eastAsia="Times New Roman" w:hAnsi="Times New Roman"/>
                <w:sz w:val="13"/>
                <w:szCs w:val="13"/>
                <w:color w:val="auto"/>
              </w:rPr>
              <w:t>2.00 %</w:t>
            </w:r>
            <w:r>
              <w:rPr>
                <w:rFonts w:ascii="Times New Roman" w:cs="Times New Roman" w:eastAsia="Times New Roman" w:hAnsi="Times New Roman"/>
                <w:sz w:val="16"/>
                <w:szCs w:val="16"/>
                <w:color w:val="auto"/>
                <w:vertAlign w:val="superscript"/>
              </w:rPr>
              <w:t>(4)</w:t>
            </w:r>
          </w:p>
        </w:tc>
      </w:tr>
      <w:tr>
        <w:trPr>
          <w:trHeight w:val="15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fees</w:t>
            </w:r>
          </w:p>
        </w:tc>
        <w:tc>
          <w:tcPr>
            <w:tcW w:w="2820" w:type="dxa"/>
            <w:vAlign w:val="bottom"/>
          </w:tcPr>
          <w:p>
            <w:pPr>
              <w:jc w:val="right"/>
              <w:ind w:right="21"/>
              <w:spacing w:after="0" w:line="156" w:lineRule="exact"/>
              <w:rPr>
                <w:sz w:val="20"/>
                <w:szCs w:val="20"/>
                <w:color w:val="auto"/>
              </w:rPr>
            </w:pPr>
            <w:r>
              <w:rPr>
                <w:rFonts w:ascii="Times New Roman" w:cs="Times New Roman" w:eastAsia="Times New Roman" w:hAnsi="Times New Roman"/>
                <w:sz w:val="13"/>
                <w:szCs w:val="13"/>
                <w:color w:val="auto"/>
              </w:rPr>
              <w:t>2.44 %</w:t>
            </w:r>
            <w:r>
              <w:rPr>
                <w:rFonts w:ascii="Times New Roman" w:cs="Times New Roman" w:eastAsia="Times New Roman" w:hAnsi="Times New Roman"/>
                <w:sz w:val="16"/>
                <w:szCs w:val="16"/>
                <w:color w:val="auto"/>
                <w:vertAlign w:val="superscript"/>
              </w:rPr>
              <w:t>(5)</w:t>
            </w:r>
          </w:p>
        </w:tc>
      </w:tr>
      <w:tr>
        <w:trPr>
          <w:trHeight w:val="15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on borrowed funds</w:t>
            </w:r>
          </w:p>
        </w:tc>
        <w:tc>
          <w:tcPr>
            <w:tcW w:w="2820" w:type="dxa"/>
            <w:vAlign w:val="bottom"/>
            <w:shd w:val="clear" w:color="auto" w:fill="CCECFF"/>
          </w:tcPr>
          <w:p>
            <w:pPr>
              <w:jc w:val="right"/>
              <w:ind w:right="21"/>
              <w:spacing w:after="0" w:line="156" w:lineRule="exact"/>
              <w:rPr>
                <w:sz w:val="20"/>
                <w:szCs w:val="20"/>
                <w:color w:val="auto"/>
              </w:rPr>
            </w:pPr>
            <w:r>
              <w:rPr>
                <w:rFonts w:ascii="Times New Roman" w:cs="Times New Roman" w:eastAsia="Times New Roman" w:hAnsi="Times New Roman"/>
                <w:sz w:val="13"/>
                <w:szCs w:val="13"/>
                <w:color w:val="auto"/>
              </w:rPr>
              <w:t>9.12 %</w:t>
            </w:r>
            <w:r>
              <w:rPr>
                <w:rFonts w:ascii="Times New Roman" w:cs="Times New Roman" w:eastAsia="Times New Roman" w:hAnsi="Times New Roman"/>
                <w:sz w:val="16"/>
                <w:szCs w:val="16"/>
                <w:color w:val="auto"/>
                <w:vertAlign w:val="superscript"/>
              </w:rPr>
              <w:t>(6)</w:t>
            </w:r>
          </w:p>
        </w:tc>
      </w:tr>
      <w:tr>
        <w:trPr>
          <w:trHeight w:val="15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Acquired fund fees and expenses</w:t>
            </w:r>
          </w:p>
        </w:tc>
        <w:tc>
          <w:tcPr>
            <w:tcW w:w="2820" w:type="dxa"/>
            <w:vAlign w:val="bottom"/>
          </w:tcPr>
          <w:p>
            <w:pPr>
              <w:jc w:val="right"/>
              <w:ind w:right="21"/>
              <w:spacing w:after="0" w:line="156" w:lineRule="exact"/>
              <w:rPr>
                <w:sz w:val="20"/>
                <w:szCs w:val="20"/>
                <w:color w:val="auto"/>
              </w:rPr>
            </w:pPr>
            <w:r>
              <w:rPr>
                <w:rFonts w:ascii="Times New Roman" w:cs="Times New Roman" w:eastAsia="Times New Roman" w:hAnsi="Times New Roman"/>
                <w:sz w:val="13"/>
                <w:szCs w:val="13"/>
                <w:color w:val="auto"/>
              </w:rPr>
              <w:t>11.75 %</w:t>
            </w:r>
            <w:r>
              <w:rPr>
                <w:rFonts w:ascii="Times New Roman" w:cs="Times New Roman" w:eastAsia="Times New Roman" w:hAnsi="Times New Roman"/>
                <w:sz w:val="16"/>
                <w:szCs w:val="16"/>
                <w:color w:val="auto"/>
                <w:vertAlign w:val="superscript"/>
              </w:rPr>
              <w:t>(7)</w:t>
            </w:r>
          </w:p>
        </w:tc>
      </w:tr>
      <w:tr>
        <w:trPr>
          <w:trHeight w:val="15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2820" w:type="dxa"/>
            <w:vAlign w:val="bottom"/>
            <w:shd w:val="clear" w:color="auto" w:fill="CCECFF"/>
          </w:tcPr>
          <w:p>
            <w:pPr>
              <w:jc w:val="right"/>
              <w:ind w:right="21"/>
              <w:spacing w:after="0" w:line="156" w:lineRule="exact"/>
              <w:rPr>
                <w:sz w:val="20"/>
                <w:szCs w:val="20"/>
                <w:color w:val="auto"/>
              </w:rPr>
            </w:pPr>
            <w:r>
              <w:rPr>
                <w:rFonts w:ascii="Times New Roman" w:cs="Times New Roman" w:eastAsia="Times New Roman" w:hAnsi="Times New Roman"/>
                <w:sz w:val="13"/>
                <w:szCs w:val="13"/>
                <w:color w:val="auto"/>
              </w:rPr>
              <w:t>1.04 %</w:t>
            </w:r>
            <w:r>
              <w:rPr>
                <w:rFonts w:ascii="Times New Roman" w:cs="Times New Roman" w:eastAsia="Times New Roman" w:hAnsi="Times New Roman"/>
                <w:sz w:val="16"/>
                <w:szCs w:val="16"/>
                <w:color w:val="auto"/>
                <w:vertAlign w:val="superscript"/>
              </w:rPr>
              <w:t>(8)</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estimated annual expenses</w:t>
            </w:r>
          </w:p>
        </w:tc>
        <w:tc>
          <w:tcPr>
            <w:tcW w:w="28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auto"/>
              </w:rPr>
              <w:t>26.35 %</w:t>
            </w:r>
            <w:r>
              <w:rPr>
                <w:rFonts w:ascii="Times New Roman" w:cs="Times New Roman" w:eastAsia="Times New Roman" w:hAnsi="Times New Roman"/>
                <w:sz w:val="16"/>
                <w:szCs w:val="16"/>
                <w:color w:val="auto"/>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7075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w:t>
      </w:r>
      <w:r>
        <w:rPr>
          <w:rFonts w:ascii="Times New Roman" w:cs="Times New Roman" w:eastAsia="Times New Roman" w:hAnsi="Times New Roman"/>
          <w:sz w:val="10"/>
          <w:szCs w:val="10"/>
          <w:color w:val="auto"/>
        </w:rPr>
        <w:t>In the event that the securities to which any applicable prospectus relates are sold to or through underwriters or agents, a corresponding prospectus supplement will disclose the applicable sales load.</w:t>
      </w:r>
    </w:p>
    <w:p>
      <w:pPr>
        <w:spacing w:after="0" w:line="4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8"/>
          <w:szCs w:val="8"/>
          <w:color w:val="auto"/>
        </w:rPr>
        <w:t>(2)</w:t>
      </w:r>
      <w:r>
        <w:rPr>
          <w:rFonts w:ascii="Times New Roman" w:cs="Times New Roman" w:eastAsia="Times New Roman" w:hAnsi="Times New Roman"/>
          <w:sz w:val="10"/>
          <w:szCs w:val="10"/>
          <w:color w:val="auto"/>
        </w:rPr>
        <w:t>In the event that we conduct an offering of our securities, a corresponding prospectus supplement will disclose the estimated amount of offering expenses, the offering price and the offering expenses borne by us as a percentage of the offering</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0"/>
          <w:szCs w:val="10"/>
          <w:color w:val="auto"/>
        </w:rPr>
        <w:t>price.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0" w:right="680" w:bottom="1440" w:gutter="0" w:footer="0" w:header="0"/>
        </w:sectPr>
      </w:pPr>
    </w:p>
    <w:bookmarkStart w:id="43" w:name="page44"/>
    <w:bookmarkEnd w:id="43"/>
    <w:p>
      <w:pPr>
        <w:ind w:left="80"/>
        <w:spacing w:after="0"/>
        <w:rPr>
          <w:sz w:val="20"/>
          <w:szCs w:val="20"/>
          <w:color w:val="auto"/>
        </w:rPr>
      </w:pPr>
      <w:r>
        <w:rPr>
          <w:rFonts w:ascii="Times New Roman" w:cs="Times New Roman" w:eastAsia="Times New Roman" w:hAnsi="Times New Roman"/>
          <w:sz w:val="8"/>
          <w:szCs w:val="8"/>
          <w:color w:val="auto"/>
        </w:rPr>
        <w:t>(3)</w:t>
      </w:r>
      <w:r>
        <w:rPr>
          <w:rFonts w:ascii="Times New Roman" w:cs="Times New Roman" w:eastAsia="Times New Roman" w:hAnsi="Times New Roman"/>
          <w:sz w:val="10"/>
          <w:szCs w:val="10"/>
          <w:color w:val="auto"/>
        </w:rPr>
        <w:t>Net assets attributable to common shares equals average net assets for the fiscal year ended September 30, 2024.</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(4)</w:t>
      </w:r>
      <w:r>
        <w:rPr>
          <w:rFonts w:ascii="Times New Roman" w:cs="Times New Roman" w:eastAsia="Times New Roman" w:hAnsi="Times New Roman"/>
          <w:sz w:val="10"/>
          <w:szCs w:val="10"/>
          <w:color w:val="auto"/>
        </w:rPr>
        <w:t>The contractual management fee is calculated at an annual rate of 1.00% of our average adjusted gross assets on September 30, 2024.</w:t>
      </w:r>
    </w:p>
    <w:p>
      <w:pPr>
        <w:spacing w:after="0" w:line="41" w:lineRule="exact"/>
        <w:rPr>
          <w:sz w:val="20"/>
          <w:szCs w:val="20"/>
          <w:color w:val="auto"/>
        </w:rPr>
      </w:pPr>
    </w:p>
    <w:p>
      <w:pPr>
        <w:ind w:left="80" w:right="60"/>
        <w:spacing w:after="0" w:line="285" w:lineRule="auto"/>
        <w:rPr>
          <w:sz w:val="20"/>
          <w:szCs w:val="20"/>
          <w:color w:val="auto"/>
        </w:rPr>
      </w:pPr>
      <w:r>
        <w:rPr>
          <w:rFonts w:ascii="Times New Roman" w:cs="Times New Roman" w:eastAsia="Times New Roman" w:hAnsi="Times New Roman"/>
          <w:sz w:val="8"/>
          <w:szCs w:val="8"/>
          <w:color w:val="auto"/>
        </w:rPr>
        <w:t>(5)</w:t>
      </w:r>
      <w:r>
        <w:rPr>
          <w:rFonts w:ascii="Times New Roman" w:cs="Times New Roman" w:eastAsia="Times New Roman" w:hAnsi="Times New Roman"/>
          <w:sz w:val="10"/>
          <w:szCs w:val="10"/>
          <w:color w:val="auto"/>
        </w:rPr>
        <w:t>The portion of incentive fees paid with respect to net investment income and capital gains, if any, is based on actual amounts incurred during the fiscal year ended September 30, 2024. Such incentive fees are based on performance, vary from</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0"/>
          <w:szCs w:val="10"/>
          <w:color w:val="auto"/>
        </w:rPr>
        <w:t>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2024. For more detailed information about the incentive fee, please see “Item 1. Business—Investment Management Agreement” and “Item 1. Business—Investment Advisory Fees”.</w:t>
      </w:r>
    </w:p>
    <w:p>
      <w:pPr>
        <w:spacing w:after="0" w:line="129" w:lineRule="exact"/>
        <w:rPr>
          <w:sz w:val="20"/>
          <w:szCs w:val="20"/>
          <w:color w:val="auto"/>
        </w:rPr>
      </w:pPr>
    </w:p>
    <w:p>
      <w:pPr>
        <w:ind w:left="80"/>
        <w:spacing w:after="0" w:line="292" w:lineRule="auto"/>
        <w:rPr>
          <w:sz w:val="20"/>
          <w:szCs w:val="20"/>
          <w:color w:val="auto"/>
        </w:rPr>
      </w:pPr>
      <w:r>
        <w:rPr>
          <w:rFonts w:ascii="Times New Roman" w:cs="Times New Roman" w:eastAsia="Times New Roman" w:hAnsi="Times New Roman"/>
          <w:sz w:val="8"/>
          <w:szCs w:val="8"/>
          <w:color w:val="auto"/>
        </w:rPr>
        <w:t>(6)</w:t>
      </w:r>
      <w:r>
        <w:rPr>
          <w:rFonts w:ascii="Times New Roman" w:cs="Times New Roman" w:eastAsia="Times New Roman" w:hAnsi="Times New Roman"/>
          <w:sz w:val="10"/>
          <w:szCs w:val="10"/>
          <w:color w:val="auto"/>
        </w:rPr>
        <w:t>As of September 30, 2024, we had $443.9 million in borrowings outstanding under the Credit Facility, $185.0 million outstanding under of 2026 Notes, $266.0 million outstanding under the 2036-R Asset-Backed Debt and $287.0 million</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0"/>
          <w:szCs w:val="10"/>
          <w:color w:val="auto"/>
        </w:rPr>
        <w:t>outstanding under the 2036 Asset-Backed Debt. We may use proceeds of an offering of securities under any applicable registration statement to repay outstanding obligations under the Credit Facility. After completing any such offering, we may continue to borrow under the Credit Facility to finance our investment objectives. Annual interest expense on borrowed funds represents actual interest expense, amendment costs incurred on the Credit Facility, and debt issuance costs, if any, for the fiscal year ended September 30, 2024 and we caution you that our actual interest expense in the future will depend on prevailing interest rates and our rate of borrowing, which may be substantially higher than the amount provided in this table.</w:t>
      </w:r>
    </w:p>
    <w:p>
      <w:pPr>
        <w:spacing w:after="0" w:line="125" w:lineRule="exact"/>
        <w:rPr>
          <w:sz w:val="20"/>
          <w:szCs w:val="20"/>
          <w:color w:val="auto"/>
        </w:rPr>
      </w:pPr>
    </w:p>
    <w:p>
      <w:pPr>
        <w:ind w:left="80" w:right="60"/>
        <w:spacing w:after="0" w:line="281" w:lineRule="auto"/>
        <w:rPr>
          <w:sz w:val="20"/>
          <w:szCs w:val="20"/>
          <w:color w:val="auto"/>
        </w:rPr>
      </w:pPr>
      <w:r>
        <w:rPr>
          <w:rFonts w:ascii="Times New Roman" w:cs="Times New Roman" w:eastAsia="Times New Roman" w:hAnsi="Times New Roman"/>
          <w:sz w:val="8"/>
          <w:szCs w:val="8"/>
          <w:color w:val="auto"/>
        </w:rPr>
        <w:t>(7)</w:t>
      </w:r>
      <w:r>
        <w:rPr>
          <w:rFonts w:ascii="Times New Roman" w:cs="Times New Roman" w:eastAsia="Times New Roman" w:hAnsi="Times New Roman"/>
          <w:sz w:val="10"/>
          <w:szCs w:val="10"/>
          <w:color w:val="auto"/>
        </w:rPr>
        <w:t>Our stockholders indirectly bear 87.5% of the expenses of our investment in PSSL. No management fee is charged by PennantPark Investment Advisers in connection with PSSL. PSSL pays the Administrator an annual fee of 0.25% of</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0"/>
          <w:szCs w:val="10"/>
          <w:color w:val="auto"/>
        </w:rPr>
        <w:t>average gross assets under management. For this chart, PSSL fees and operating expenses are based on our share of the actual fees and operating expenses of PSSL for the fiscal year ended September 30, 2024. Expenses for PSSL may fluctuate over time and may be substantially higher or lower in the future.</w:t>
      </w:r>
    </w:p>
    <w:p>
      <w:pPr>
        <w:jc w:val="both"/>
        <w:ind w:left="80" w:right="140"/>
        <w:spacing w:after="0" w:line="255" w:lineRule="auto"/>
        <w:rPr>
          <w:sz w:val="20"/>
          <w:szCs w:val="20"/>
          <w:color w:val="auto"/>
        </w:rPr>
      </w:pPr>
      <w:r>
        <w:rPr>
          <w:rFonts w:ascii="Times New Roman" w:cs="Times New Roman" w:eastAsia="Times New Roman" w:hAnsi="Times New Roman"/>
          <w:sz w:val="11"/>
          <w:szCs w:val="11"/>
          <w:color w:val="auto"/>
        </w:rPr>
        <w:t>Our stockholders indirectly bear 23.08% of the expenses of our investment in PTSF. A management fee equal to 0.50% per annum of the gross assets of PTSF and its subsidiaries is charged by PennantPark Investment Advisers in connection with PTSF, and the entity is subject to an incentive fee of 20% of residual income proceeds after the internal rate of return on the equity has reached at least 12%. For this chart, PTSF fees and operating expenses are based on our share of the actual fees and operating expenses of PTSF for the fiscal year ended September 30, 2024. Expenses for PSSL may fluctuate over time and may be substantially higher or lower in the future.</w:t>
      </w:r>
    </w:p>
    <w:p>
      <w:pPr>
        <w:spacing w:after="0" w:line="9" w:lineRule="exact"/>
        <w:rPr>
          <w:sz w:val="20"/>
          <w:szCs w:val="20"/>
          <w:color w:val="auto"/>
        </w:rPr>
      </w:pPr>
    </w:p>
    <w:p>
      <w:pPr>
        <w:jc w:val="both"/>
        <w:ind w:left="80" w:right="140"/>
        <w:spacing w:after="0" w:line="300" w:lineRule="auto"/>
        <w:rPr>
          <w:sz w:val="20"/>
          <w:szCs w:val="20"/>
          <w:color w:val="auto"/>
        </w:rPr>
      </w:pPr>
      <w:r>
        <w:rPr>
          <w:rFonts w:ascii="Times New Roman" w:cs="Times New Roman" w:eastAsia="Times New Roman" w:hAnsi="Times New Roman"/>
          <w:sz w:val="8"/>
          <w:szCs w:val="8"/>
          <w:color w:val="auto"/>
        </w:rPr>
        <w:t>(8)</w:t>
      </w:r>
      <w:r>
        <w:rPr>
          <w:rFonts w:ascii="Times New Roman" w:cs="Times New Roman" w:eastAsia="Times New Roman" w:hAnsi="Times New Roman"/>
          <w:sz w:val="10"/>
          <w:szCs w:val="10"/>
          <w:color w:val="auto"/>
        </w:rPr>
        <w:t>“Other expenses” includes our general and administrative expenses, professional fees, directors’ fees, insurance costs, taxes and the expenses of the Investment Adviser reimbursable under our Investment Management Agreement and of the</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0"/>
          <w:szCs w:val="10"/>
          <w:color w:val="auto"/>
        </w:rPr>
        <w:t>Administrator reimbursable under our Administration Agreement. Such expenses are based on estimated amounts for the current fiscal year.</w:t>
      </w:r>
    </w:p>
    <w:p>
      <w:pPr>
        <w:spacing w:after="0" w:line="1" w:lineRule="exact"/>
        <w:rPr>
          <w:sz w:val="20"/>
          <w:szCs w:val="20"/>
          <w:color w:val="auto"/>
        </w:rPr>
      </w:pPr>
    </w:p>
    <w:p>
      <w:pPr>
        <w:ind w:left="80" w:right="20"/>
        <w:spacing w:after="0" w:line="293" w:lineRule="auto"/>
        <w:rPr>
          <w:sz w:val="20"/>
          <w:szCs w:val="20"/>
          <w:color w:val="auto"/>
        </w:rPr>
      </w:pPr>
      <w:r>
        <w:rPr>
          <w:rFonts w:ascii="Times New Roman" w:cs="Times New Roman" w:eastAsia="Times New Roman" w:hAnsi="Times New Roman"/>
          <w:sz w:val="8"/>
          <w:szCs w:val="8"/>
          <w:color w:val="auto"/>
        </w:rPr>
        <w:t>(9)</w:t>
      </w:r>
      <w:r>
        <w:rPr>
          <w:rFonts w:ascii="Times New Roman" w:cs="Times New Roman" w:eastAsia="Times New Roman" w:hAnsi="Times New Roman"/>
          <w:sz w:val="10"/>
          <w:szCs w:val="10"/>
          <w:color w:val="auto"/>
        </w:rPr>
        <w:t>“Total estimated annual expenses” as a percentage of average net assets attributable to common shares, to the extent we borrow money to make investments, are higher than the total estimated annual expenses percentage would be for a</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0"/>
          <w:szCs w:val="10"/>
          <w:color w:val="auto"/>
        </w:rPr>
        <w:t>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12.36% of average total assets.</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Example</w:t>
      </w:r>
    </w:p>
    <w:p>
      <w:pPr>
        <w:spacing w:after="0" w:line="129" w:lineRule="exact"/>
        <w:rPr>
          <w:sz w:val="20"/>
          <w:szCs w:val="20"/>
          <w:color w:val="auto"/>
        </w:rPr>
      </w:pPr>
    </w:p>
    <w:p>
      <w:pPr>
        <w:ind w:left="80" w:right="20" w:firstLine="420"/>
        <w:spacing w:after="0" w:line="268" w:lineRule="auto"/>
        <w:rPr>
          <w:sz w:val="20"/>
          <w:szCs w:val="20"/>
          <w:color w:val="auto"/>
        </w:rPr>
      </w:pPr>
      <w:r>
        <w:rPr>
          <w:rFonts w:ascii="Times New Roman" w:cs="Times New Roman" w:eastAsia="Times New Roman" w:hAnsi="Times New Roman"/>
          <w:sz w:val="13"/>
          <w:szCs w:val="13"/>
          <w:color w:val="auto"/>
        </w:rPr>
        <w:t>The following example illustrates the projected dollar amount of total cumulative expenses that you would pay on a $1,000 hypothetical investment in common shares, assuming (1) a 3.0% sales load (underwriting discounts and commissions) and offering expenses totaling 0.50%, (2) total net estimated annual expenses of 23.91% of average net assets attributable to common shares as set forth in the table above (other than performance-based incentive fees) and (3) a 5% annual return.</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You would pay the following expenses on a $1,000 common stock investment</w:t>
            </w:r>
          </w:p>
        </w:tc>
        <w:tc>
          <w:tcPr>
            <w:tcW w:w="340" w:type="dxa"/>
            <w:vAlign w:val="bottom"/>
          </w:tcPr>
          <w:p>
            <w:pPr>
              <w:spacing w:after="0"/>
              <w:rPr>
                <w:sz w:val="14"/>
                <w:szCs w:val="14"/>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1 Years</w:t>
            </w:r>
          </w:p>
        </w:tc>
        <w:tc>
          <w:tcPr>
            <w:tcW w:w="28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3 Years</w:t>
            </w:r>
          </w:p>
        </w:tc>
        <w:tc>
          <w:tcPr>
            <w:tcW w:w="300" w:type="dxa"/>
            <w:vAlign w:val="bottom"/>
          </w:tcPr>
          <w:p>
            <w:pPr>
              <w:spacing w:after="0"/>
              <w:rPr>
                <w:sz w:val="14"/>
                <w:szCs w:val="14"/>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260" w:type="dxa"/>
            <w:vAlign w:val="bottom"/>
          </w:tcPr>
          <w:p>
            <w:pPr>
              <w:spacing w:after="0"/>
              <w:rPr>
                <w:sz w:val="14"/>
                <w:szCs w:val="14"/>
                <w:color w:val="auto"/>
              </w:rPr>
            </w:pP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10 Years</w:t>
            </w:r>
          </w:p>
        </w:tc>
      </w:tr>
      <w:tr>
        <w:trPr>
          <w:trHeight w:val="216"/>
        </w:trPr>
        <w:tc>
          <w:tcPr>
            <w:tcW w:w="6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Assuming a 5% annual return (assumes no return from net realized capital gains or net</w:t>
            </w:r>
          </w:p>
        </w:tc>
        <w:tc>
          <w:tcPr>
            <w:tcW w:w="34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r>
      <w:tr>
        <w:trPr>
          <w:trHeight w:val="156"/>
        </w:trPr>
        <w:tc>
          <w:tcPr>
            <w:tcW w:w="61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unrealized capital appreciation)</w:t>
            </w:r>
          </w:p>
        </w:tc>
        <w:tc>
          <w:tcPr>
            <w:tcW w:w="34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244</w:t>
            </w: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551</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752</w:t>
            </w:r>
          </w:p>
        </w:tc>
        <w:tc>
          <w:tcPr>
            <w:tcW w:w="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1,004</w:t>
            </w:r>
          </w:p>
        </w:tc>
      </w:tr>
      <w:tr>
        <w:trPr>
          <w:trHeight w:val="204"/>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Assuming a 5% annual return (assumes return only from realized capital gains and thus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72"/>
        </w:trPr>
        <w:tc>
          <w:tcPr>
            <w:tcW w:w="61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subject to the capital gains incentive fee)</w:t>
            </w:r>
          </w:p>
        </w:tc>
        <w:tc>
          <w:tcPr>
            <w:tcW w:w="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251</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564</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764</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1,004</w:t>
            </w:r>
          </w:p>
        </w:tc>
      </w:tr>
    </w:tbl>
    <w:p>
      <w:pPr>
        <w:spacing w:after="0" w:line="128" w:lineRule="exact"/>
        <w:rPr>
          <w:sz w:val="20"/>
          <w:szCs w:val="20"/>
          <w:color w:val="auto"/>
        </w:rPr>
      </w:pPr>
    </w:p>
    <w:p>
      <w:pPr>
        <w:ind w:left="80" w:right="40" w:firstLine="420"/>
        <w:spacing w:after="0" w:line="257" w:lineRule="auto"/>
        <w:rPr>
          <w:sz w:val="20"/>
          <w:szCs w:val="20"/>
          <w:color w:val="auto"/>
        </w:rPr>
      </w:pPr>
      <w:r>
        <w:rPr>
          <w:rFonts w:ascii="Times New Roman" w:cs="Times New Roman" w:eastAsia="Times New Roman" w:hAnsi="Times New Roman"/>
          <w:sz w:val="13"/>
          <w:szCs w:val="13"/>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for more information.</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Selected Financial Data</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Not applicable.</w:t>
      </w:r>
    </w:p>
    <w:p>
      <w:pPr>
        <w:spacing w:after="0" w:line="1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349" w:right="660" w:bottom="1440" w:gutter="0" w:footer="0" w:header="0"/>
        </w:sectPr>
      </w:pPr>
    </w:p>
    <w:bookmarkStart w:id="44" w:name="page45"/>
    <w:bookmarkEnd w:id="44"/>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7.</w:t>
      </w:r>
      <w:r>
        <w:rPr>
          <w:sz w:val="20"/>
          <w:szCs w:val="20"/>
          <w:color w:val="auto"/>
        </w:rPr>
        <w:tab/>
      </w: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1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29" w:lineRule="exact"/>
        <w:rPr>
          <w:sz w:val="20"/>
          <w:szCs w:val="20"/>
          <w:color w:val="auto"/>
        </w:rPr>
      </w:pPr>
    </w:p>
    <w:p>
      <w:pPr>
        <w:ind w:left="80" w:right="40" w:firstLine="420"/>
        <w:spacing w:after="0" w:line="262"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future operating results;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business prospects and the prospects of our prospective portfolio companies;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•changes in political, economic or industry conditions, the interest rate environment or conditions affecting the financial and capital markets that could result in changes to the value of our assets;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impact of investments that we expect to make;</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expected financings and investments and ability to fund capital commitments to PSSL;</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adequacy of our cash resources and working capital;</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•increasing levels of inflation, and its impact on us and our portfolio companies;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impact of future legislation and regulation on our business and our portfolio companies;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impact of the ongoing invasion of Ukraine by Russia other world economic and political issues; and</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inability to develop and maintain effective internal control over financial reporting.</w:t>
      </w:r>
    </w:p>
    <w:p>
      <w:pPr>
        <w:spacing w:after="0" w:line="127" w:lineRule="exact"/>
        <w:rPr>
          <w:sz w:val="20"/>
          <w:szCs w:val="20"/>
          <w:color w:val="auto"/>
        </w:rPr>
      </w:pPr>
    </w:p>
    <w:p>
      <w:pPr>
        <w:ind w:left="80" w:right="60" w:firstLine="420"/>
        <w:spacing w:after="0" w:line="268"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 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87" w:lineRule="exact"/>
        <w:rPr>
          <w:sz w:val="20"/>
          <w:szCs w:val="20"/>
          <w:color w:val="auto"/>
        </w:rPr>
      </w:pPr>
    </w:p>
    <w:p>
      <w:pPr>
        <w:jc w:val="both"/>
        <w:ind w:left="80" w:right="340" w:firstLine="420"/>
        <w:spacing w:after="0" w:line="262"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91" w:lineRule="exact"/>
        <w:rPr>
          <w:sz w:val="20"/>
          <w:szCs w:val="20"/>
          <w:color w:val="auto"/>
        </w:rPr>
      </w:pPr>
    </w:p>
    <w:p>
      <w:pPr>
        <w:ind w:left="80" w:right="80" w:firstLine="420"/>
        <w:spacing w:after="0" w:line="265"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 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249" w:lineRule="exact"/>
        <w:rPr>
          <w:sz w:val="20"/>
          <w:szCs w:val="20"/>
          <w:color w:val="auto"/>
        </w:rPr>
      </w:pPr>
    </w:p>
    <w:p>
      <w:pPr>
        <w:ind w:left="80" w:right="200" w:firstLine="420"/>
        <w:spacing w:after="0" w:line="286"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76" w:lineRule="exact"/>
        <w:rPr>
          <w:sz w:val="20"/>
          <w:szCs w:val="20"/>
          <w:color w:val="auto"/>
        </w:rPr>
      </w:pPr>
    </w:p>
    <w:p>
      <w:pPr>
        <w:ind w:left="80" w:right="260" w:firstLine="420"/>
        <w:spacing w:after="0" w:line="286"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31" w:lineRule="exact"/>
        <w:rPr>
          <w:sz w:val="20"/>
          <w:szCs w:val="20"/>
          <w:color w:val="auto"/>
        </w:rPr>
      </w:pPr>
    </w:p>
    <w:p>
      <w:pPr>
        <w:ind w:left="80" w:right="340" w:firstLine="420"/>
        <w:spacing w:after="0" w:line="286" w:lineRule="auto"/>
        <w:rPr>
          <w:sz w:val="20"/>
          <w:szCs w:val="20"/>
          <w:color w:val="auto"/>
        </w:rPr>
      </w:pPr>
      <w:r>
        <w:rPr>
          <w:rFonts w:ascii="Times New Roman" w:cs="Times New Roman" w:eastAsia="Times New Roman" w:hAnsi="Times New Roman"/>
          <w:sz w:val="13"/>
          <w:szCs w:val="13"/>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76" w:lineRule="exact"/>
        <w:rPr>
          <w:sz w:val="20"/>
          <w:szCs w:val="20"/>
          <w:color w:val="auto"/>
        </w:rPr>
      </w:pPr>
    </w:p>
    <w:p>
      <w:pPr>
        <w:ind w:left="80" w:right="140" w:firstLine="420"/>
        <w:spacing w:after="0" w:line="286" w:lineRule="auto"/>
        <w:rPr>
          <w:sz w:val="20"/>
          <w:szCs w:val="20"/>
          <w:color w:val="auto"/>
        </w:rPr>
      </w:pPr>
      <w:r>
        <w:rPr>
          <w:rFonts w:ascii="Times New Roman" w:cs="Times New Roman" w:eastAsia="Times New Roman" w:hAnsi="Times New Roman"/>
          <w:sz w:val="13"/>
          <w:szCs w:val="13"/>
          <w:color w:val="auto"/>
        </w:rPr>
        <w:t>We believe that floating rate loans to U.S. middle-market companies offer attractive risk- reward to investors due to a limited amount of capital available for such companies. We use the term “middle-market” to refer to companies with annual revenues between $50 million and $1 billion. Our investments are typically rated below</w:t>
      </w: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1312" w:right="640" w:bottom="1440" w:gutter="0" w:footer="0" w:header="0"/>
        </w:sectPr>
      </w:pPr>
    </w:p>
    <w:bookmarkStart w:id="45" w:name="page46"/>
    <w:bookmarkEnd w:id="45"/>
    <w:p>
      <w:pPr>
        <w:ind w:right="20"/>
        <w:spacing w:after="0" w:line="259" w:lineRule="auto"/>
        <w:rPr>
          <w:sz w:val="20"/>
          <w:szCs w:val="20"/>
          <w:color w:val="auto"/>
        </w:rPr>
      </w:pPr>
      <w:r>
        <w:rPr>
          <w:rFonts w:ascii="Times New Roman" w:cs="Times New Roman" w:eastAsia="Times New Roman" w:hAnsi="Times New Roman"/>
          <w:sz w:val="13"/>
          <w:szCs w:val="13"/>
          <w:color w:val="auto"/>
        </w:rPr>
        <w:t>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94"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91"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Floating Rate Capital Ltd.</w:t>
      </w:r>
    </w:p>
    <w:p>
      <w:pPr>
        <w:spacing w:after="0" w:line="131"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PennantPark Floating Rate Capital Ltd., a Maryland corporation organized in October 2010, is a closed -end, externally managed, non-diversified investment company that has elected to be treated as a BDC under the 1940 Act. In addition, for federal income tax purposes we elected to be treated, and intend to qualify annually, as a RIC under the Code.</w:t>
      </w:r>
    </w:p>
    <w:p>
      <w:pPr>
        <w:spacing w:after="0" w:line="76" w:lineRule="exact"/>
        <w:rPr>
          <w:sz w:val="20"/>
          <w:szCs w:val="20"/>
          <w:color w:val="auto"/>
        </w:rPr>
      </w:pPr>
    </w:p>
    <w:p>
      <w:pPr>
        <w:ind w:right="40" w:firstLine="420"/>
        <w:spacing w:after="0" w:line="258" w:lineRule="auto"/>
        <w:rPr>
          <w:sz w:val="20"/>
          <w:szCs w:val="20"/>
          <w:color w:val="auto"/>
        </w:rPr>
      </w:pPr>
      <w:r>
        <w:rPr>
          <w:rFonts w:ascii="Times New Roman" w:cs="Times New Roman" w:eastAsia="Times New Roman" w:hAnsi="Times New Roman"/>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At-the-Market Offering</w:t>
      </w:r>
    </w:p>
    <w:p>
      <w:pPr>
        <w:spacing w:after="0" w:line="167" w:lineRule="exact"/>
        <w:rPr>
          <w:sz w:val="20"/>
          <w:szCs w:val="20"/>
          <w:color w:val="auto"/>
        </w:rPr>
      </w:pPr>
    </w:p>
    <w:p>
      <w:pPr>
        <w:ind w:firstLine="453"/>
        <w:spacing w:after="0" w:line="253" w:lineRule="auto"/>
        <w:rPr>
          <w:sz w:val="20"/>
          <w:szCs w:val="20"/>
          <w:color w:val="auto"/>
        </w:rPr>
      </w:pPr>
      <w:r>
        <w:rPr>
          <w:rFonts w:ascii="Times New Roman" w:cs="Times New Roman" w:eastAsia="Times New Roman" w:hAnsi="Times New Roman"/>
          <w:sz w:val="13"/>
          <w:szCs w:val="13"/>
          <w:color w:val="auto"/>
        </w:rPr>
        <w:t>On August 20, 2021, we entered into equity distribution agreements with each of JMP Securities LLC and Raymond James &amp; Associates, Inc., as the sales agents, in connection with the sale of shares of our common stock, with an aggregate offering price of up to $ 75 million under an at-the -market offering. The equity distribution agreements provide that we may offer and sell shares of our common stock from time to time through a sales agent in amounts and at times to be determined by us. On May 5, 2022, we amended the equity distribution agreements to update references from NASDAQ to NYSE and reflect that the agents are now represented by Kirkland &amp; Ellis LLP. On March 27, 2023 we terminated the equity distribution agreements and entered into new equity distribution agreements with Citizens JMP Securities LLC, Raymond James &amp; Associates, Inc. and Truist Securities, Inc. (together, the "Prior Equity Distribution Agreements"), as sales agents (each,as "Sales Agent," and together, the "Sales Agents") in connection with the sale of shares of our common stock, with an aggregate offering price of up to $100 million under an ATM program. On August 11, 2023, we amended the Prior Equity Distribution Agreements with each of the Sales Agents (together, the “Amended and Restated Equity Distribution Agreements”) to increase the aggregate offering price to up to $250 million. On July 17, 2024 we terminated the existing equity distribution agreements and entered into new equity distribution agreements with the Sales Agents (together, the "Equity Distribution Agreements") in connection with the sale of our shares of common stock with an aggregate offering price of up to $500 million under an ATM Program ("ATM Program") .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31"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and amendment fees and agency fees, and are recorded as other investment income when earned. Litigation settlements are accounted for in accordance with the gain contingency provisions of ASC Subtopic 450-30, Gain Contingencies, or ASC 450-30.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31" w:lineRule="exact"/>
        <w:rPr>
          <w:sz w:val="20"/>
          <w:szCs w:val="20"/>
          <w:color w:val="auto"/>
        </w:rPr>
      </w:pPr>
    </w:p>
    <w:p>
      <w:pPr>
        <w:jc w:val="both"/>
        <w:ind w:right="160" w:firstLine="420"/>
        <w:spacing w:after="0" w:line="262" w:lineRule="auto"/>
        <w:rPr>
          <w:sz w:val="20"/>
          <w:szCs w:val="20"/>
          <w:color w:val="auto"/>
        </w:rPr>
      </w:pPr>
      <w:r>
        <w:rPr>
          <w:rFonts w:ascii="Times New Roman" w:cs="Times New Roman" w:eastAsia="Times New Roman" w:hAnsi="Times New Roman"/>
          <w:sz w:val="13"/>
          <w:szCs w:val="13"/>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calculating our NAV, including the cost of any third-party valuation services;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27" w:lineRule="exact"/>
        <w:rPr>
          <w:sz w:val="20"/>
          <w:szCs w:val="20"/>
          <w:color w:val="auto"/>
        </w:rPr>
      </w:pPr>
    </w:p>
    <w:p>
      <w:pPr>
        <w:ind w:left="540" w:right="620"/>
        <w:spacing w:after="0" w:line="286" w:lineRule="auto"/>
        <w:rPr>
          <w:sz w:val="20"/>
          <w:szCs w:val="20"/>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4" w:right="660" w:bottom="1440" w:gutter="0" w:footer="0" w:header="0"/>
        </w:sectPr>
      </w:pPr>
    </w:p>
    <w:bookmarkStart w:id="46" w:name="page47"/>
    <w:bookmarkEnd w:id="46"/>
    <w:p>
      <w:pPr>
        <w:ind w:left="540" w:right="420"/>
        <w:spacing w:after="0" w:line="286" w:lineRule="auto"/>
        <w:rPr>
          <w:sz w:val="20"/>
          <w:szCs w:val="20"/>
          <w:color w:val="auto"/>
        </w:rPr>
      </w:pPr>
      <w:r>
        <w:rPr>
          <w:rFonts w:ascii="Times New Roman" w:cs="Times New Roman" w:eastAsia="Times New Roman" w:hAnsi="Times New Roman"/>
          <w:sz w:val="13"/>
          <w:szCs w:val="13"/>
          <w:color w:val="auto"/>
        </w:rPr>
        <w:t>•expenses incurred by the Investment Adviser in performing due diligence and reviews of investments, including expenses incurred by the Investment Adviser payable to third parties (including agents and consultants) in monitoring financial and legal affairs for the Company and in monitoring the Company’s investments;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state, local and foreign taxes;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•independent directors’ fees and expenses;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•brokerage commissions;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•costs associated with our reporting and compliance obligations under the 1940 Act and applicable federal and state securities laws; and</w:t>
      </w:r>
    </w:p>
    <w:p>
      <w:pPr>
        <w:spacing w:after="0" w:line="127" w:lineRule="exact"/>
        <w:rPr>
          <w:sz w:val="20"/>
          <w:szCs w:val="20"/>
          <w:color w:val="auto"/>
        </w:rPr>
      </w:pPr>
    </w:p>
    <w:p>
      <w:pPr>
        <w:ind w:left="540"/>
        <w:spacing w:after="0" w:line="268" w:lineRule="auto"/>
        <w:rPr>
          <w:sz w:val="20"/>
          <w:szCs w:val="20"/>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87"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29"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As of September 30, 2024, our portfolio totaled $1,983.5 million and consisted of $1,746.7 million of first lien secured debt (including $237.7 million in PSSL), $ 2.7 million of second lien secured debt and subordinated debt and $234.1 million of preferred and common equity (including $56.5 million in PSSL). Our debt portfolio consisted of approximately 100% variable-rate investments. As of September 30, 2024, we had two portfolio companies on non-accrual, representing 0.4% and 0.2% percent of our overall portfolio on a cost and fair value basis, respectively. Overall, the portfolio had net unrealized depreciation of $11.4 million. Our overall portfolio consisted of 158 companies with an average investment size of $12.6 million, had a weighted average yield on debt investments of 11.5%, and was invested 88% in first lien secured debt (including 12% in PSSL), less than 1% in second lien secured debt and subordinated debt and 12% in preferred and common equity (including 3% in PSSL). As of September 30, 2024, over 99% of the investments held by PSSL were first lien secured debt.</w:t>
      </w:r>
    </w:p>
    <w:p>
      <w:pPr>
        <w:spacing w:after="0" w:line="96" w:lineRule="exact"/>
        <w:rPr>
          <w:sz w:val="20"/>
          <w:szCs w:val="20"/>
          <w:color w:val="auto"/>
        </w:rPr>
      </w:pPr>
    </w:p>
    <w:p>
      <w:pPr>
        <w:ind w:right="160" w:firstLine="420"/>
        <w:spacing w:after="0" w:line="256" w:lineRule="auto"/>
        <w:rPr>
          <w:sz w:val="20"/>
          <w:szCs w:val="20"/>
          <w:color w:val="auto"/>
        </w:rPr>
      </w:pPr>
      <w:r>
        <w:rPr>
          <w:rFonts w:ascii="Times New Roman" w:cs="Times New Roman" w:eastAsia="Times New Roman" w:hAnsi="Times New Roman"/>
          <w:sz w:val="13"/>
          <w:szCs w:val="13"/>
          <w:color w:val="auto"/>
        </w:rPr>
        <w:t>As of September 30, 2023, our portfolio totaled $1,067.2 million and consisted of $906.2 million of first lien secured debt (including $210.1 million in PSSL), $0.1 million of second lien secured debt and $160.9 million of preferred and common equity (including $50.9 million in PSSL). Our debt portfolio consisted of approximately 100% variable-rate investments. As of September 30, 2023, we had three portfolio companies on non-accrual, representing 0.9% and 0.2% percent of our overall portfolio on a cost and fair value basis, respectively. Overall, the portfolio had net unrealized depreciation of $25.7 million. Our overall portfolio consisted of 131 companies with an average investment size of $8.1 million, had a weighted average yield on debt investments of</w:t>
      </w:r>
    </w:p>
    <w:p>
      <w:pPr>
        <w:ind w:right="240"/>
        <w:spacing w:after="0" w:line="263" w:lineRule="auto"/>
        <w:rPr>
          <w:sz w:val="20"/>
          <w:szCs w:val="20"/>
          <w:color w:val="auto"/>
        </w:rPr>
      </w:pPr>
      <w:r>
        <w:rPr>
          <w:rFonts w:ascii="Times New Roman" w:cs="Times New Roman" w:eastAsia="Times New Roman" w:hAnsi="Times New Roman"/>
          <w:sz w:val="13"/>
          <w:szCs w:val="13"/>
          <w:color w:val="auto"/>
        </w:rPr>
        <w:t>12.6%, and was invested 85% in first lien secured debt (including 20% in PSSL), less than 1% in second lien secured debt and 15% in preferred and common equity (including 5% in PSSL). As of September 30, 2023, 99% of the investments held by PSSL were first lien secured debt.</w:t>
      </w:r>
    </w:p>
    <w:p>
      <w:pPr>
        <w:spacing w:after="0" w:line="90"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For the year ended September 30, 2024, we invested $ 1,407.5 million in 43 new and 91 existing portfolio companies with a weighted average yield on debt investments of 11.4%. Sales and repayments of investments for the same period totaled $514.1 million.</w:t>
      </w:r>
    </w:p>
    <w:p>
      <w:pPr>
        <w:spacing w:after="0" w:line="76"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For the year ended September 30, 2023, we invested $ 324.5 million in 16 new and 71 existing portfolio companies with a weighted average yield on debt investments of 12.1%. Sales and repayments of investments for the same period totaled $399.1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65" w:lineRule="exact"/>
        <w:rPr>
          <w:sz w:val="20"/>
          <w:szCs w:val="20"/>
          <w:color w:val="auto"/>
        </w:rPr>
      </w:pPr>
    </w:p>
    <w:p>
      <w:pPr>
        <w:ind w:right="260" w:firstLine="420"/>
        <w:spacing w:after="0" w:line="268" w:lineRule="auto"/>
        <w:rPr>
          <w:sz w:val="20"/>
          <w:szCs w:val="20"/>
          <w:color w:val="auto"/>
        </w:rPr>
      </w:pPr>
      <w:r>
        <w:rPr>
          <w:rFonts w:ascii="Times New Roman" w:cs="Times New Roman" w:eastAsia="Times New Roman" w:hAnsi="Times New Roman"/>
          <w:sz w:val="13"/>
          <w:szCs w:val="13"/>
          <w:color w:val="auto"/>
        </w:rPr>
        <w:t>As of September 30, 2024, PSSL’s portfolio totaled $913.3 million, consisted of 109 companies with an average investment size of $8.4 million and had a weighted average yield on debt investments of 11.4%. As of September 30, 2023, PSSL’s portfolio totaled $785.9 million, consisted of 105 companies with an average investment size of $7.5 million and had a weighted average yield on debt investments of 12.1%.</w:t>
      </w:r>
    </w:p>
    <w:p>
      <w:pPr>
        <w:spacing w:after="0" w:line="123"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For the year ended September 30, 2024, PSSL invested $286.2 million (of which $253.6 million was purchased from the Company) in 24 new and 36 existing portfolio companies with a weighted average yield on debt investments of 11.7%. PSSL’s sales and repayments of investments for the same period totaled $160.1 million.</w:t>
      </w:r>
    </w:p>
    <w:p>
      <w:pPr>
        <w:spacing w:after="0" w:line="11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For the year ended September 30, 2023, PSSL invested $190.9 million (of which $158.2 million was purchased from the Company) in 22 new and 27 existing portfolio companies with a weighted average yield on debt investments of 11.8%. PSSL’s sales and repayments of investments for the same period totaled $155.2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29" w:lineRule="exact"/>
        <w:rPr>
          <w:sz w:val="20"/>
          <w:szCs w:val="20"/>
          <w:color w:val="auto"/>
        </w:rPr>
      </w:pPr>
    </w:p>
    <w:p>
      <w:pPr>
        <w:jc w:val="both"/>
        <w:ind w:right="60" w:firstLine="420"/>
        <w:spacing w:after="0" w:line="259"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4" w:right="660" w:bottom="1440" w:gutter="0" w:footer="0" w:header="0"/>
        </w:sectPr>
      </w:pPr>
    </w:p>
    <w:bookmarkStart w:id="47" w:name="page48"/>
    <w:bookmarkEnd w:id="47"/>
    <w:p>
      <w:pPr>
        <w:ind w:right="120"/>
        <w:spacing w:after="0" w:line="286" w:lineRule="auto"/>
        <w:rPr>
          <w:sz w:val="20"/>
          <w:szCs w:val="20"/>
          <w:color w:val="auto"/>
        </w:rPr>
      </w:pPr>
      <w:r>
        <w:rPr>
          <w:rFonts w:ascii="Times New Roman" w:cs="Times New Roman" w:eastAsia="Times New Roman" w:hAnsi="Times New Roman"/>
          <w:sz w:val="13"/>
          <w:szCs w:val="13"/>
          <w:color w:val="auto"/>
        </w:rPr>
        <w:t>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9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our Investment Adviser;</w:t>
      </w:r>
    </w:p>
    <w:p>
      <w:pPr>
        <w:spacing w:after="0" w:line="127"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sz w:val="20"/>
          <w:szCs w:val="20"/>
          <w:color w:val="auto"/>
        </w:rPr>
      </w:pPr>
    </w:p>
    <w:p>
      <w:pPr>
        <w:ind w:left="540" w:right="48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76"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2036-R Asset-Backed Debt, 2036 Asset-Backed Debt and the Credit Facility are classified as Level 3. Our 2023 Notes and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On December 3, 2020, the SEC adopted Rule 2a -5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32"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2023 Notes, our 2026 Notes, our 2031 Asset-Backed Debt, our 2036-R Asset-Backed Debt, our 2036 Asset-Backed Debt and the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48" w:name="page49"/>
    <w:bookmarkEnd w:id="48"/>
    <w:p>
      <w:pPr>
        <w:spacing w:after="0" w:line="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$6.5 million and zero relating to amendment costs on the Credit Facility and debt issuance costs on the 2023 Notes during the years ended September 30, 2024 and 2023,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the 2031 Asset-Backed Debt, 2036-R Asset-Backed Debt and the 2036 Asset-Backed Debt.</w:t>
      </w:r>
    </w:p>
    <w:p>
      <w:pPr>
        <w:spacing w:after="0" w:line="13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For the years September 30, 2024 and 2023, the Credit Facility or our Prior Credit Facility, as applicable, the 2023 Notes had a net change in unrealized (appreciation) depreciation of approximately zero and $(2.3) million, respectively. As of September 30, 2024 and 2023, the net unrealized depreciation on the Credit Facility and the 2023 Notes totaled approximately zero and zero, respectively. We use a nationally recognized independent valuation service to measure the fair value of the Credit Facility and 2023 Notes in a manner consistent with the valuation process that our board of directors uses to value our investments.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31"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3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the Credit Facility, the 2023 Notes during the reporting period, including any reversal of previously recorded unrealized appreciation or depreciation, when gains or losses are realized.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27"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Payment-in-kind, or PIK, Interest</w:t>
      </w:r>
    </w:p>
    <w:p>
      <w:pPr>
        <w:spacing w:after="0" w:line="131"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3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2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w:t>
      </w:r>
      <w:r>
        <w:rPr>
          <w:rFonts w:ascii="Times New Roman" w:cs="Times New Roman" w:eastAsia="Times New Roman" w:hAnsi="Times New Roman"/>
          <w:sz w:val="13"/>
          <w:szCs w:val="13"/>
          <w:u w:val="single" w:color="auto"/>
          <w:color w:val="auto"/>
        </w:rPr>
        <w:t>s</w:t>
      </w:r>
      <w:r>
        <w:rPr>
          <w:rFonts w:ascii="Times New Roman" w:cs="Times New Roman" w:eastAsia="Times New Roman" w:hAnsi="Times New Roman"/>
          <w:sz w:val="13"/>
          <w:szCs w:val="13"/>
          <w:color w:val="auto"/>
        </w:rPr>
        <w:t>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32" w:lineRule="exact"/>
        <w:rPr>
          <w:sz w:val="20"/>
          <w:szCs w:val="20"/>
          <w:color w:val="auto"/>
        </w:rPr>
      </w:pPr>
    </w:p>
    <w:p>
      <w:pPr>
        <w:ind w:right="36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23" w:lineRule="exact"/>
        <w:rPr>
          <w:sz w:val="20"/>
          <w:szCs w:val="20"/>
          <w:color w:val="auto"/>
        </w:rPr>
      </w:pPr>
    </w:p>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2024, 2023 and 2022, we recorded a provision for taxes on net investment income of $1.1 million, $1.0 million, and $0.4 million, respectively, pertaining to federal excise tax.</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9" w:name="page50"/>
    <w:bookmarkEnd w:id="49"/>
    <w:p>
      <w:pPr>
        <w:spacing w:after="0" w:line="31"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is subject to U.S. federal, state and local corporate income taxes. The income tax expense and related tax liabilities of the Taxable Subsidiary are reflected in the Company’s consolidated financial statements.</w:t>
      </w:r>
    </w:p>
    <w:p>
      <w:pPr>
        <w:spacing w:after="0" w:line="112"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For the years ended September 30, 2024, 2023 and 2022, the Company recognized a provision for taxes of $(0.1) million, $(2.8) million and $4.6 million, respectively,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September 30, 2024 and 2023, $1.7 million and $1.8 million, respectively, was accrued as a deferred tax liability on the Consolidated Statements of Assets and Liabilities relating to unrealized gain on investments held by the Taxable Subsidiary. As of September 30, 2024 and 2023, of $0.1 million and $0.3 million, respectively, the Company recognized a provision for taxes on realized gain on investments held by the Taxable Subsidiary.</w:t>
      </w:r>
    </w:p>
    <w:p>
      <w:pPr>
        <w:spacing w:after="0" w:line="130"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During the year ended September 30, 2024, 2023 and 2022 the Company paid zero, zero, and $1.2 million, respectively, in federal taxes on realized gains on the sale of investments held by the Taxable Subsidiary. The state and local tax liability of zero as of September 30, 2024 is included under accrued other expenses in the consolidated statement of assets and liabilities.</w:t>
      </w:r>
    </w:p>
    <w:p>
      <w:pPr>
        <w:spacing w:after="0" w:line="76"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29"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Set forth below are the results of operations for the years ended September 30, 2024 and 2023. For information regarding results of operations for the year ended September 30, 2022, see the Company's Form 10-K for the fiscal year ended September 30, 2023, as filed with the SEC on December 8,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31"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Investment income for the year ended September 30, 2024 was $ 186.4 million and was attributable to $164.3 million from first lien secured debt and $22.1 million from other investments. The increase in investment income compared to the same periods in the prior year was primarily due to an increase in the size of the debt portfolio.</w:t>
      </w:r>
    </w:p>
    <w:p>
      <w:pPr>
        <w:spacing w:after="0" w:line="76" w:lineRule="exact"/>
        <w:rPr>
          <w:sz w:val="20"/>
          <w:szCs w:val="20"/>
          <w:color w:val="auto"/>
        </w:rPr>
      </w:pPr>
    </w:p>
    <w:p>
      <w:pPr>
        <w:ind w:right="240" w:firstLine="420"/>
        <w:spacing w:after="0" w:line="443" w:lineRule="auto"/>
        <w:rPr>
          <w:sz w:val="20"/>
          <w:szCs w:val="20"/>
          <w:color w:val="auto"/>
        </w:rPr>
      </w:pPr>
      <w:r>
        <w:rPr>
          <w:rFonts w:ascii="Times New Roman" w:cs="Times New Roman" w:eastAsia="Times New Roman" w:hAnsi="Times New Roman"/>
          <w:sz w:val="13"/>
          <w:szCs w:val="13"/>
          <w:color w:val="auto"/>
        </w:rPr>
        <w:t xml:space="preserve">Investment income for the year ended September 30, 2023 was $139.3 million and was attributable to $120.0 million from first lien secured debt and $19.3 million from other investments. </w:t>
      </w:r>
      <w:r>
        <w:rPr>
          <w:rFonts w:ascii="Times New Roman" w:cs="Times New Roman" w:eastAsia="Times New Roman" w:hAnsi="Times New Roman"/>
          <w:sz w:val="13"/>
          <w:szCs w:val="13"/>
          <w:b w:val="1"/>
          <w:bCs w:val="1"/>
          <w:i w:val="1"/>
          <w:iCs w:val="1"/>
          <w:color w:val="auto"/>
        </w:rPr>
        <w:t>Expenses</w:t>
      </w:r>
    </w:p>
    <w:p>
      <w:pPr>
        <w:ind w:firstLine="420"/>
        <w:spacing w:after="0" w:line="268" w:lineRule="auto"/>
        <w:rPr>
          <w:sz w:val="20"/>
          <w:szCs w:val="20"/>
          <w:color w:val="auto"/>
        </w:rPr>
      </w:pPr>
      <w:r>
        <w:rPr>
          <w:rFonts w:ascii="Times New Roman" w:cs="Times New Roman" w:eastAsia="Times New Roman" w:hAnsi="Times New Roman"/>
          <w:sz w:val="13"/>
          <w:szCs w:val="13"/>
          <w:color w:val="auto"/>
        </w:rPr>
        <w:t>Expenses for the year ended September 30, 2024 totaled $ 108.6 million base management fee totaled $14.9 million, incentive fee totaled $18.1 million, debt related interest and expenses totaled $ 67.9 million, general and administrative expenses totaled $6.7 million and provision for taxes totaled $1.1 million. The increase in expenses compared to the prior year was primarily due to an increase in debt related interest and expenses and incentive fees.</w:t>
      </w:r>
    </w:p>
    <w:p>
      <w:pPr>
        <w:spacing w:after="0" w:line="87"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Expenses for the year ended September 30, 2023 totaled $ 71.8 million. Base management fee totaled $11.4 million, incentive fee totaled $16.9 million, debt related interest and expenses totaled $38.2 million, general and administrative expenses totaled $4.4 million and provision for taxes totaled $1.0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67" w:lineRule="exact"/>
        <w:rPr>
          <w:sz w:val="20"/>
          <w:szCs w:val="20"/>
          <w:color w:val="auto"/>
        </w:rPr>
      </w:pPr>
    </w:p>
    <w:p>
      <w:pPr>
        <w:ind w:right="280" w:firstLine="420"/>
        <w:spacing w:after="0" w:line="286" w:lineRule="auto"/>
        <w:rPr>
          <w:sz w:val="20"/>
          <w:szCs w:val="20"/>
          <w:color w:val="auto"/>
        </w:rPr>
      </w:pPr>
      <w:r>
        <w:rPr>
          <w:rFonts w:ascii="Times New Roman" w:cs="Times New Roman" w:eastAsia="Times New Roman" w:hAnsi="Times New Roman"/>
          <w:sz w:val="13"/>
          <w:szCs w:val="13"/>
          <w:color w:val="auto"/>
        </w:rPr>
        <w:t>Net investment income totaled $77.7 million, or $1.18 per share, and $67.5 million, or $1.33 per share, for the years ended September 30, 2024 and 2023, respectively. The increase in net investment income compared to the prior year was primarily due to an increase in the size of our debt portfolio.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31"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Sales and repayments of investments for the years ended September 30, 2024 and 2023 totaled $ 514.1 million and $399.1 million, respectively. Net realized gain (losses) on investments totaled $0.2 million and $ (15.9) million for the same periods, respectively. The change in realized gains (losses) was primarily due to changes in market conditions of our investments and the values at which they were realized, caused by the fluctuations in the market and in the economy, as discussed above under “Forward-Looking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the Credit Facility and the 2023 Notes</w:t>
      </w:r>
    </w:p>
    <w:p>
      <w:pPr>
        <w:spacing w:after="0" w:line="131"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For the years ended September 30, 2024 and 2023, we reported net change in unrealized appreciation (depreciation) on investments of $14.3 million and ($12.6) million, respectively. As of September 30, 2024 and 2023, our net unrealized appreciation (depreciation) on investments totaled $ (11.4) million and $(25.7) million, respectively. The net change in unrealized appreciation/depreciation on our investments for the year ended September 30, 2024 compared to the prior year was primarily due to changes in the capital market conditions of our investments and the values at which they were realized, caused by the fluctuations in the market and in the economy, as discussed above under the “Forward-Looking Statements" section above.</w:t>
      </w:r>
    </w:p>
    <w:p>
      <w:pPr>
        <w:spacing w:after="0" w:line="91"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For the year ended September 30, 2024 and 2023, the Credit Facility or Prior Credit Facility, as applicable, and the 2023 Notes had a net change in unrealized (appreciation) depreciation of less than $(0.1) million and $(2.3) million and, respectively. As of September 30, 2024 and 2023, our net unrealized (appreciation) depreciation on the Credit Facility and the 2023 Notes totaled zero and zero, respectively. The net change in unrealized depreciation for the year ended September 30, 2024 compared to the prior year was primarily due to changes in the capital markets, with the economic instability negatively affecting the value, as further discussed above under “Forward-Looking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31"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Net change in net assets resulting from operations totaled $91.8 million, or $1.40 per share, and $ 39.3 million, or $0.77 per share, for the years ended September 30, 2024 and 2023, respectively. The increase in net assets from operations for the year ended September 30, 2024 compared to the prior year was primarily due to less depreciation of the portfolio primarily driven by changes in market conditions of our investments along with the change in size and cost yield of our debt portfolio and costs of financing, as discussed above under “Forward-Looking Statements” as well as higher investment income.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29"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2024, in accordance with the 1940 Act, with certain limited exceptions, we are only allowed to borrow amounts such that we are in compliance with a 150% asset coverage ratio requirement after such borrowing. For information regarding liquidity and capital resources for the year ended September 30, 2022, see the Company's Form 10-K for the fiscal year ended September 30, 2023, as filed with the SEC on December 8, 2023.</w:t>
      </w:r>
    </w:p>
    <w:p>
      <w:pPr>
        <w:spacing w:after="0" w:line="132"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September 30, 2024 and 2023, our asset coverage ratio, as computed in accordance with the 1940 Act, was 174% and 230%, respectively.</w:t>
      </w:r>
    </w:p>
    <w:p>
      <w:pPr>
        <w:spacing w:after="0" w:line="127"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The annualized weighted average cost of debt for the years ended September 30, 2024 and 2023, inclusive of the fee on the undrawn commitment on the Credit Facility or Prior Credit Facility, as applicable, amendment costs and debt issuance costs, was 8.5% and 6.2%, respectively. As of September 30, 2024 and 2023, we had $192.1 million and $376.6 million of unused borrowing capacity under the Credit Facility, subject to leverage and borrowing base restrictions.</w:t>
      </w:r>
    </w:p>
    <w:p>
      <w:pPr>
        <w:spacing w:after="0" w:line="123"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Funding I’s multi-currency Credit Facility with the Lenders upsized during the year increasing the facility to $636.0 million as of September 30, 2024, subject to satisfaction of certain conditions and regulatory restrictions that the 1940 Act imposes on us as a BDC, has an interest rate spread above SOFR (or an alternative risk-free floating interest rate index) of 225 basis points, a maturity date of August 2029 and a revolving period that ends in August 2027. As of September 30, 2024 and 2023, Funding I had $ 443.9 million and $9.4 million of outstanding borrowings under the Credit Facility or the Prior Credit Facility, as applicable, respectively. The Credit Facility had a weighted average interest rate of 7.5% and 7.7%, exclusive of the fee on undrawn commitments, as of September 30, 2024 and 2023, respectively.</w:t>
      </w:r>
    </w:p>
    <w:p>
      <w:pPr>
        <w:spacing w:after="0" w:line="94"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During the revolving period, the Credit Facility bears interest at SOFR (or an alternative risk- free floating interest rate index) plus 225 basis points and, after the revolving period, the rate will reset to Base Rate (or an alternative risk- free floating interest rate index) plus 250 basis points for the remaining two years, maturing in August 2029.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91"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September 30, 2024, we were in compliance with the covenants relating to the Credit Facility.</w:t>
      </w:r>
    </w:p>
    <w:p>
      <w:pPr>
        <w:spacing w:after="0" w:line="91"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spacing w:after="0" w:line="76"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30"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In November 2017, we issued $138.6 million aggregate principal amount of our 2023 Notes that matured on December 15, 2023. The 2023 Notes were issued pursuant to a deed of trust between the Company and Mishmeret Trust Company, Ltd., as trustee, in November 2017. In connection with this offering, we have dual listed our common stock on the TASE. On February 7, 2024, the Company filed a notice with the Israel Securities Authority and the TASE voluntarily requesting to delist the Company's common stock from trading on the TASE. The last day of trading on the TASE was May 6, 2024 and the delisting of the Company's common stock from the TASE took effect on May 8, 2024.</w:t>
      </w:r>
    </w:p>
    <w:p>
      <w:pPr>
        <w:spacing w:after="0" w:line="127"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The 2023 Notes paid interest at a rate of 4.3% per year. Interest on the 2023 Notes was payable semi-annually in arrears on June 15 and December 15 of each year, commencing June 15, 2018. The principal on the 2023 Notes was payable in four annual installments as follows: 15% of the original principal amount on December 15, 2020, 15% of the original principal amount on December 15, 2021, 15% of the original principal amount on December 15, 2022 and 55% of the original principal amount on December 15, 2023. On December 15, 2023, the remaining outstanding 2023 Notes were repaid in full.</w:t>
      </w:r>
    </w:p>
    <w:p>
      <w:pPr>
        <w:spacing w:after="0" w:line="127"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In March 2021 and in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2"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$ 78.5 million Class A-1 Senior Secured Floating Rate Notes maturing 2031, which bear interest at the three-month SOFR plus 1.8%, (ii) $15.0 million Class A- 2 Senior Secured Fixed Rate Notes due 2031, which bear interest at 3.7%, (iii) $14.0 million Class B- 1 Senior Secured Floating Rate Notes due 2031, which bear interest at the three-month SOFR plus 2.9%, (iv) $16.0 million Class B-2 Senior Secured Fixed Rate Notes due 2031, which bear interest at 4.3%,</w:t>
      </w:r>
    </w:p>
    <w:p>
      <w:pPr>
        <w:ind w:right="300" w:firstLine="6"/>
        <w:spacing w:after="0" w:line="159" w:lineRule="exact"/>
        <w:tabs>
          <w:tab w:leader="none" w:pos="18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SOFR plus 4.0%, (vi) $8.0 million Class C-2 Secured Deferrable Fixed Rate Notes due 2031, which bear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0" w:right="680" w:bottom="1440" w:gutter="0" w:footer="0" w:header="0"/>
        </w:sectPr>
      </w:pPr>
    </w:p>
    <w:bookmarkStart w:id="51" w:name="page52"/>
    <w:bookmarkEnd w:id="51"/>
    <w:p>
      <w:pPr>
        <w:ind w:right="120"/>
        <w:spacing w:after="0" w:line="160" w:lineRule="exact"/>
        <w:rPr>
          <w:sz w:val="20"/>
          <w:szCs w:val="20"/>
          <w:color w:val="auto"/>
        </w:rPr>
      </w:pPr>
      <w:r>
        <w:rPr>
          <w:rFonts w:ascii="Times New Roman" w:cs="Times New Roman" w:eastAsia="Times New Roman" w:hAnsi="Times New Roman"/>
          <w:sz w:val="13"/>
          <w:szCs w:val="13"/>
          <w:color w:val="auto"/>
        </w:rPr>
        <w:t xml:space="preserve">interest at 5.4%, and (vii) $18.0 million Class D Secured Deferrable Floating Rate Notes due 2031, which bear interest at the three-month SOFR plus 4.8% and (B) the borrowing of $77.5 million Class A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Loans due 2031, which bear interest at the three-month SOFR plus 1.8%, under a credit agreement by and among the Securitization Issuers, as borrowers, various financial institutions, as lenders, and U.S. Bank National Association, as collateral agent and as loan agent. The 2031 Asset-Backed Debt is scheduled to mature on October 15, 2031. As of September 30, 2024 and 2023, the Company had zero and $228.0 million, respectively, of 2031 Asset-Backed Debt outstanding with a weighted average interest rate of zero and 7.1%, respectively.</w:t>
      </w:r>
    </w:p>
    <w:p>
      <w:pPr>
        <w:spacing w:after="0" w:line="142"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27" w:lineRule="exact"/>
        <w:rPr>
          <w:sz w:val="20"/>
          <w:szCs w:val="20"/>
          <w:color w:val="auto"/>
        </w:rPr>
      </w:pPr>
    </w:p>
    <w:p>
      <w:pPr>
        <w:jc w:val="both"/>
        <w:ind w:right="40" w:firstLine="420"/>
        <w:spacing w:after="0" w:line="268" w:lineRule="auto"/>
        <w:rPr>
          <w:sz w:val="20"/>
          <w:szCs w:val="20"/>
          <w:color w:val="auto"/>
        </w:rPr>
      </w:pPr>
      <w:r>
        <w:rPr>
          <w:rFonts w:ascii="Times New Roman" w:cs="Times New Roman" w:eastAsia="Times New Roman" w:hAnsi="Times New Roman"/>
          <w:sz w:val="13"/>
          <w:szCs w:val="13"/>
          <w:color w:val="auto"/>
        </w:rPr>
        <w:t>The 2031 Asset-Backed Debt constitutes secured obligations of the Securitization Issuers, and the indenture governing the 2031 Asset-Backed Debt includes customary covenants and events of default. The 2031 Asset- 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23"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4" w:right="720" w:bottom="1440" w:gutter="0" w:footer="0" w:header="0"/>
        </w:sectPr>
      </w:pPr>
    </w:p>
    <w:bookmarkStart w:id="52" w:name="page53"/>
    <w:bookmarkEnd w:id="52"/>
    <w:p>
      <w:pPr>
        <w:ind w:right="80" w:firstLine="420"/>
        <w:spacing w:after="0" w:line="254" w:lineRule="auto"/>
        <w:rPr>
          <w:sz w:val="20"/>
          <w:szCs w:val="20"/>
          <w:color w:val="auto"/>
        </w:rPr>
      </w:pPr>
      <w:r>
        <w:rPr>
          <w:rFonts w:ascii="Times New Roman" w:cs="Times New Roman" w:eastAsia="Times New Roman" w:hAnsi="Times New Roman"/>
          <w:sz w:val="13"/>
          <w:szCs w:val="13"/>
          <w:color w:val="auto"/>
        </w:rPr>
        <w:t>In July 2024, the 2031 Asset-Backed Debt was refinanced through a $351.0 million debt securitization in the form of a collateralized loan obligation, or the "2036- R Asset-Backed Debt". The Company retained $85.0 million of the debt securitization. The 2036-R Asset-Backed Debt was executed through: (A) the issuance by the 2036-R Securitization Issuers of the following classes of notes pursuant that certain indenture, dated September 19, 2019, by and among the 2036-R Securitization Issuers and U.S. Bank Trust Company, National Association, as amended by the second supplemental indenture, dated June 25, 2024): (i) $ 203 million of A-1-R Notes, which bear interest at the three -month SOFR plus 1.75%, (ii) $10.5 million of A- 2-R Notes, which bear interest at three-month SOFR plus 1.90%, (iii) $12 million of Class B-R Notes, which bear interest at three-month SOFR plus 2.05%, (iv) $28 million of C- R Notes, which bear interest at three-month SOFR plus 2.75% and (v) $21 million of D-R Notes, which bear interest at three-month SOFR plus 4.30%, (B) the issuance by the issuer of $64 million of subordinated notes pursuant to the Indenture and</w:t>
      </w:r>
    </w:p>
    <w:p>
      <w:pPr>
        <w:spacing w:after="0" w:line="1" w:lineRule="exact"/>
        <w:rPr>
          <w:sz w:val="20"/>
          <w:szCs w:val="20"/>
          <w:color w:val="auto"/>
        </w:rPr>
      </w:pPr>
    </w:p>
    <w:p>
      <w:pPr>
        <w:ind w:right="40" w:firstLine="6"/>
        <w:spacing w:after="0" w:line="254" w:lineRule="auto"/>
        <w:tabs>
          <w:tab w:leader="none" w:pos="209"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borrowing by one of the 2036-R Securitization Issuers of $12.5 million of Class B-R Loans, which bear interest at three-month SOFR plus 2.05%, pursuant to a credit agreement, by and among the 2036-R Securitization Issuers, the various financial institutions and other persons party thereto, as lenders and U.S. Bank Trust Company, National Association, as loan agent and as trustee. The 2036-R Asset-Backed Debt matures in July 2036. As of September 30, 2024, the Company had $266.0 million of 2036-R Asset-Backed Debt outstanding with a weighted average interest rate of 7.2%. As of September 30, 2024, the unamortized fees on the 2036-R Asset-Backed Debt were $0.8 million.</w:t>
      </w:r>
    </w:p>
    <w:p>
      <w:pPr>
        <w:spacing w:after="0" w:line="9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3"/>
          <w:szCs w:val="13"/>
          <w:color w:val="auto"/>
        </w:rPr>
        <w:t>In February 2024, the 2036 Asset-Backed Debt was issued by the 2036 Securitization Issuer. The 2036 Asset -Backed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 three-month secured overnight financing rate published by the Federal Reserve Bank of New York (“SOFR”) plus 2.30%, (ii) $14 million of AAA(sf) Class A-2 Notes, which bear interest at three-month SOFR plus 2.70%, (iii) $24.5 million of AA(sf) Class B Notes, which bear interest at three-month SOFR plus 2.90%, (iv) $28 million of A(sf) Class C Notes, which bear interest at three-month SOFR plus 3.90%, (v) $ 21 million of BBB -(sf) Class D Notes, which bear interest at three-month SOFR plus 5.90%, (together, the “Secured Notes”), and (vi) $63.6 million of subordinated notes (“Subordinated Notes”) and (B) the borrowing of $60.0 million AAA(sf) Class A-1 Senior Secured Floating Rate Loans (the “Class A-1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annualized interest on the 2036 Asset-Backed Debt will be paid, to the extent of funds available. The Debt is scheduled to mature on April 18, 2036.</w:t>
      </w:r>
    </w:p>
    <w:p>
      <w:pPr>
        <w:spacing w:after="0" w:line="137" w:lineRule="exact"/>
        <w:rPr>
          <w:sz w:val="20"/>
          <w:szCs w:val="20"/>
          <w:color w:val="auto"/>
        </w:rPr>
      </w:pPr>
    </w:p>
    <w:p>
      <w:pPr>
        <w:jc w:val="both"/>
        <w:ind w:right="160" w:firstLine="432"/>
        <w:spacing w:after="0" w:line="268" w:lineRule="auto"/>
        <w:rPr>
          <w:sz w:val="20"/>
          <w:szCs w:val="20"/>
          <w:color w:val="auto"/>
        </w:rPr>
      </w:pPr>
      <w:r>
        <w:rPr>
          <w:rFonts w:ascii="Times New Roman" w:cs="Times New Roman" w:eastAsia="Times New Roman" w:hAnsi="Times New Roman"/>
          <w:sz w:val="13"/>
          <w:szCs w:val="13"/>
          <w:color w:val="auto"/>
        </w:rPr>
        <w:t>The 2036 Asset-Backed Debt is included in the Consolidated Statement of Assets and Liabilities as debt of the Company and the Subordinated Notes of the 2036-Securitization Issuer were eliminated in consolidation. As of September 30, 2024, the Company had $287.0 million of 2036 Asset-Backed Debt outstanding with a weighted average interest rate of 8.1%. As of September 30, 2024, the unamortized fees on the 2036 Asset-Backed Debt were $2.9 million.</w:t>
      </w:r>
    </w:p>
    <w:p>
      <w:pPr>
        <w:spacing w:after="0" w:line="123" w:lineRule="exact"/>
        <w:rPr>
          <w:sz w:val="20"/>
          <w:szCs w:val="20"/>
          <w:color w:val="auto"/>
        </w:rPr>
      </w:pPr>
    </w:p>
    <w:p>
      <w:pPr>
        <w:ind w:right="300" w:firstLine="432"/>
        <w:spacing w:after="0" w:line="286"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2"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3"/>
          <w:szCs w:val="13"/>
          <w:color w:val="auto"/>
        </w:rPr>
        <w:t>On August 20, 2021, we entered into equity distribution agreements with each of JMP Securities LLC and Raymond James &amp; Associates, Inc., as the sales agents, in connection with the sale of shares of our common stock, with an aggregate offering price of up to $ 75 million under an at-the -market offering. The equity distribution agreements provide that we may offer and sell shares of our common stock from time to time through a sales agent in amounts and at times to be determined by us. On May 5, 2022, we amended the equity distribution agreements to update references from NASDAQ to NYSE and reflect that the agents are now represented by Kirkland &amp; Ellis LLP. On March 27, 2023 we terminated the equity distribution agreements and entered into new equity distribution agreements with Citizens JMP Securities LLC, Raymond James &amp; Associates, Inc. and Truist Securities, Inc. (together, the "Prior Equity Distribution Agreements"), as sales agents (each, as "Sales Agent," and together, the "Sales Agents") in connection with the sale of shares of our common stock, with an aggregate offering price of up to $100 million under an ATM program. On August 11, 2023, we amended the Prior Equity Distribution Agreements with each of the Sales Agents (together, the “Amended and Restated Equity Distribution Agreements”) to increase the aggregate offering price to up to $250 million. On July 17, 2024 we terminated the existing equity distribution agreements and entered into new equity distribution agreements with the Sales Agents (together, the "Equity Distribution Agreements") in connection with the sale of our shares of common stock with an aggregate offering price of up to $500 million under an ATM Program ("ATM Program") .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134" w:lineRule="exact"/>
        <w:rPr>
          <w:sz w:val="20"/>
          <w:szCs w:val="20"/>
          <w:color w:val="auto"/>
        </w:rPr>
      </w:pPr>
    </w:p>
    <w:p>
      <w:pPr>
        <w:ind w:right="100" w:firstLine="432"/>
        <w:spacing w:after="0" w:line="262" w:lineRule="auto"/>
        <w:rPr>
          <w:sz w:val="20"/>
          <w:szCs w:val="20"/>
          <w:color w:val="auto"/>
        </w:rPr>
      </w:pPr>
      <w:r>
        <w:rPr>
          <w:rFonts w:ascii="Times New Roman" w:cs="Times New Roman" w:eastAsia="Times New Roman" w:hAnsi="Times New Roman"/>
          <w:sz w:val="13"/>
          <w:szCs w:val="13"/>
          <w:color w:val="auto"/>
        </w:rPr>
        <w:t>During the years ended September 30, 2024, and 2023 we issued 18,845,194 and 9,089,064 shares of our Common Stock, respectively, under ATM Programs at an average price of $11.35 and $11.03 per share, respectively, raising $213.3 million and $100.2 million of net proceeds after commissions to the sales agents and inclusive of proceeds from the Investment Adviser to ensure that all shares were sold at or above NAV. We incurred $0.8 million and $0.5 million, respectively, of deferred offering costs incurred related to establishing the ATM Programs. As of September 30, 2024, and 2023, we had $437.3 million and $154.1 million available under the ATM Programs.</w:t>
      </w:r>
    </w:p>
    <w:p>
      <w:pPr>
        <w:spacing w:after="0" w:line="127"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Since inception of the ATM Programs through September 30, 2024, we issued 27,848,081 shares of our Common Stock under the ATM Programs at a weighted -average price of $11.22, raising $312.5 million of net proceeds after commissions to the sales agents and inclusive of proceeds from the Investment Adviser to ensure that all shares were sold at or above NAV. We incurred $1.2 million of legal and other offering costs associated with establishing the ATM Programs.</w:t>
      </w:r>
    </w:p>
    <w:p>
      <w:pPr>
        <w:spacing w:after="0" w:line="87"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9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2023,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91"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May 2024, the Administrator furnishes us with office facilities and administrative services necessary to conduct our day-to -day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94"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4" w:right="660" w:bottom="1440" w:gutter="0" w:footer="0" w:header="0"/>
        </w:sectPr>
      </w:pPr>
    </w:p>
    <w:bookmarkStart w:id="53" w:name="page54"/>
    <w:bookmarkEnd w:id="53"/>
    <w:p>
      <w:pPr>
        <w:ind w:right="40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and 2023, we had cash equivalents of $112.1 million and $100.6 million, respectively, available for investing and general corporate purposes. We believe our liquidity and capital resources are sufficient to take advantage of market opportunities.</w:t>
      </w:r>
    </w:p>
    <w:p>
      <w:pPr>
        <w:spacing w:after="0" w:line="76"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Our operating activities used cash of $801.4 million for the year ended September 30, 2024, and our financing activities provided cash of $ 812.9 million for the same period. Our operating activities used cash primarily for our investment activities and our financing activities provided cash primarily from proceeds from ATM program, borrowing under our Credit Facility and issuances of asset-backed debt.</w:t>
      </w:r>
    </w:p>
    <w:p>
      <w:pPr>
        <w:spacing w:after="0" w:line="123" w:lineRule="exact"/>
        <w:rPr>
          <w:sz w:val="20"/>
          <w:szCs w:val="20"/>
          <w:color w:val="auto"/>
        </w:rPr>
      </w:pPr>
    </w:p>
    <w:p>
      <w:pPr>
        <w:jc w:val="both"/>
        <w:ind w:right="300" w:firstLine="420"/>
        <w:spacing w:after="0" w:line="268" w:lineRule="auto"/>
        <w:rPr>
          <w:sz w:val="20"/>
          <w:szCs w:val="20"/>
          <w:color w:val="auto"/>
        </w:rPr>
      </w:pPr>
      <w:r>
        <w:rPr>
          <w:rFonts w:ascii="Times New Roman" w:cs="Times New Roman" w:eastAsia="Times New Roman" w:hAnsi="Times New Roman"/>
          <w:sz w:val="13"/>
          <w:szCs w:val="13"/>
          <w:color w:val="auto"/>
        </w:rPr>
        <w:t>Our operating activities provided cash of $140.6 million for the year ended September 30, 2023, and our financing activities used cash of $91.5 million for the same period. Our operating activities provided cash primarily from for our investment activities and our financing activities used cash primarily from paying down the Credit Facility and paying distributions to stockholders offset by offering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Senior Securities</w:t>
      </w:r>
    </w:p>
    <w:p>
      <w:pPr>
        <w:spacing w:after="0" w:line="165"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Information about our senior securities is shown in the following table as of September 30, 2024, 2023, 2022, 2021, 2020, 2019, 2018, 2017, 2016, and 2015. The report of RSM US LLP, an independent registered public accounting firm, on the Senior Securities table as of September 30, 2024, is attached as an exhibit to this Report.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8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Average</w:t>
            </w:r>
          </w:p>
        </w:tc>
      </w:tr>
      <w:tr>
        <w:trPr>
          <w:trHeight w:val="145"/>
        </w:trPr>
        <w:tc>
          <w:tcPr>
            <w:tcW w:w="2640" w:type="dxa"/>
            <w:vAlign w:val="bottom"/>
          </w:tcPr>
          <w:p>
            <w:pPr>
              <w:spacing w:after="0"/>
              <w:rPr>
                <w:sz w:val="12"/>
                <w:szCs w:val="12"/>
                <w:color w:val="auto"/>
              </w:rPr>
            </w:pPr>
          </w:p>
        </w:tc>
        <w:tc>
          <w:tcPr>
            <w:tcW w:w="2700" w:type="dxa"/>
            <w:vAlign w:val="bottom"/>
          </w:tcPr>
          <w:p>
            <w:pPr>
              <w:ind w:left="1760"/>
              <w:spacing w:after="0" w:line="145" w:lineRule="exact"/>
              <w:rPr>
                <w:sz w:val="20"/>
                <w:szCs w:val="20"/>
                <w:color w:val="auto"/>
              </w:rPr>
            </w:pPr>
            <w:r>
              <w:rPr>
                <w:rFonts w:ascii="Times New Roman" w:cs="Times New Roman" w:eastAsia="Times New Roman" w:hAnsi="Times New Roman"/>
                <w:sz w:val="13"/>
                <w:szCs w:val="13"/>
                <w:b w:val="1"/>
                <w:bCs w:val="1"/>
                <w:color w:val="auto"/>
              </w:rPr>
              <w:t>Total Amount</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tcPr>
          <w:p>
            <w:pPr>
              <w:jc w:val="right"/>
              <w:ind w:right="894"/>
              <w:spacing w:after="0" w:line="145" w:lineRule="exact"/>
              <w:rPr>
                <w:sz w:val="20"/>
                <w:szCs w:val="20"/>
                <w:color w:val="auto"/>
              </w:rPr>
            </w:pPr>
            <w:r>
              <w:rPr>
                <w:rFonts w:ascii="Times New Roman" w:cs="Times New Roman" w:eastAsia="Times New Roman" w:hAnsi="Times New Roman"/>
                <w:sz w:val="13"/>
                <w:szCs w:val="13"/>
                <w:b w:val="1"/>
                <w:bCs w:val="1"/>
                <w:color w:val="auto"/>
              </w:rPr>
              <w:t>Asset Coverage</w:t>
            </w:r>
          </w:p>
        </w:tc>
        <w:tc>
          <w:tcPr>
            <w:tcW w:w="2080" w:type="dxa"/>
            <w:vAlign w:val="bottom"/>
          </w:tcPr>
          <w:p>
            <w:pPr>
              <w:jc w:val="center"/>
              <w:ind w:right="134"/>
              <w:spacing w:after="0" w:line="145" w:lineRule="exact"/>
              <w:rPr>
                <w:sz w:val="20"/>
                <w:szCs w:val="20"/>
                <w:color w:val="auto"/>
              </w:rPr>
            </w:pPr>
            <w:r>
              <w:rPr>
                <w:rFonts w:ascii="Times New Roman" w:cs="Times New Roman" w:eastAsia="Times New Roman" w:hAnsi="Times New Roman"/>
                <w:sz w:val="13"/>
                <w:szCs w:val="13"/>
                <w:b w:val="1"/>
                <w:bCs w:val="1"/>
                <w:color w:val="auto"/>
              </w:rPr>
              <w:t>Market Value</w:t>
            </w:r>
          </w:p>
        </w:tc>
      </w:tr>
      <w:tr>
        <w:trPr>
          <w:trHeight w:val="181"/>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Class and Year</w:t>
            </w:r>
          </w:p>
        </w:tc>
        <w:tc>
          <w:tcPr>
            <w:tcW w:w="2700" w:type="dxa"/>
            <w:vAlign w:val="bottom"/>
          </w:tcPr>
          <w:p>
            <w:pPr>
              <w:ind w:left="176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Outstanding </w:t>
            </w:r>
            <w:r>
              <w:rPr>
                <w:rFonts w:ascii="Times New Roman" w:cs="Times New Roman" w:eastAsia="Times New Roman" w:hAnsi="Times New Roman"/>
                <w:sz w:val="16"/>
                <w:szCs w:val="16"/>
                <w:b w:val="1"/>
                <w:bCs w:val="1"/>
                <w:color w:val="auto"/>
                <w:vertAlign w:val="superscript"/>
              </w:rPr>
              <w:t>(1)</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jc w:val="right"/>
              <w:ind w:right="101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Per Unit </w:t>
            </w:r>
            <w:r>
              <w:rPr>
                <w:rFonts w:ascii="Times New Roman" w:cs="Times New Roman" w:eastAsia="Times New Roman" w:hAnsi="Times New Roman"/>
                <w:sz w:val="16"/>
                <w:szCs w:val="16"/>
                <w:b w:val="1"/>
                <w:bCs w:val="1"/>
                <w:color w:val="auto"/>
                <w:vertAlign w:val="superscript"/>
              </w:rPr>
              <w:t>(2)</w:t>
            </w:r>
          </w:p>
        </w:tc>
        <w:tc>
          <w:tcPr>
            <w:tcW w:w="208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3"/>
                <w:szCs w:val="13"/>
                <w:b w:val="1"/>
                <w:bCs w:val="1"/>
                <w:color w:val="auto"/>
                <w:w w:val="95"/>
              </w:rPr>
              <w:t xml:space="preserve">Per Unit </w:t>
            </w:r>
            <w:r>
              <w:rPr>
                <w:rFonts w:ascii="Times New Roman" w:cs="Times New Roman" w:eastAsia="Times New Roman" w:hAnsi="Times New Roman"/>
                <w:sz w:val="16"/>
                <w:szCs w:val="16"/>
                <w:b w:val="1"/>
                <w:bCs w:val="1"/>
                <w:color w:val="auto"/>
                <w:w w:val="95"/>
                <w:vertAlign w:val="superscript"/>
              </w:rPr>
              <w:t>(3)</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Credit Facility</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spacing w:after="0"/>
              <w:rPr>
                <w:sz w:val="13"/>
                <w:szCs w:val="13"/>
                <w:color w:val="auto"/>
              </w:rPr>
            </w:pPr>
          </w:p>
        </w:tc>
        <w:tc>
          <w:tcPr>
            <w:tcW w:w="2080" w:type="dxa"/>
            <w:vAlign w:val="bottom"/>
            <w:shd w:val="clear" w:color="auto" w:fill="CCECFF"/>
          </w:tcPr>
          <w:p>
            <w:pPr>
              <w:spacing w:after="0"/>
              <w:rPr>
                <w:sz w:val="13"/>
                <w:szCs w:val="13"/>
                <w:color w:val="auto"/>
              </w:rPr>
            </w:pP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2024</w:t>
            </w:r>
          </w:p>
        </w:tc>
        <w:tc>
          <w:tcPr>
            <w:tcW w:w="2700" w:type="dxa"/>
            <w:vAlign w:val="bottom"/>
          </w:tcPr>
          <w:p>
            <w:pPr>
              <w:jc w:val="right"/>
              <w:ind w:right="14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443,855</w:t>
            </w: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1,742</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9,400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2,304</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168,830</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1,784</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219,400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1,746</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2020</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308,599</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1,677</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2019</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265,308</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1,786</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2018</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333,728</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2,122</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2017</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253,783</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2,780</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2016</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232,908</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2,601</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2015</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29,600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13,598</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2023 Notes</w:t>
            </w:r>
          </w:p>
        </w:tc>
        <w:tc>
          <w:tcPr>
            <w:tcW w:w="2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2024</w:t>
            </w:r>
          </w:p>
        </w:tc>
        <w:tc>
          <w:tcPr>
            <w:tcW w:w="2700" w:type="dxa"/>
            <w:vAlign w:val="bottom"/>
            <w:shd w:val="clear" w:color="auto" w:fill="CCECFF"/>
          </w:tcPr>
          <w:p>
            <w:pPr>
              <w:jc w:val="right"/>
              <w:ind w:right="14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76,219</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2,304</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97,006</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1,784</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117,793</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1,746</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2020</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138,580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1,677</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2019</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138,580</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1,786</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2018</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138,580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2,122</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2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2024</w:t>
            </w:r>
          </w:p>
        </w:tc>
        <w:tc>
          <w:tcPr>
            <w:tcW w:w="2700" w:type="dxa"/>
            <w:vAlign w:val="bottom"/>
            <w:shd w:val="clear" w:color="auto" w:fill="CCECFF"/>
          </w:tcPr>
          <w:p>
            <w:pPr>
              <w:jc w:val="right"/>
              <w:ind w:right="14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185,000</w:t>
            </w:r>
          </w:p>
        </w:tc>
        <w:tc>
          <w:tcPr>
            <w:tcW w:w="4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1,742</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185,000</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2,304</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185,000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1,784</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100,000</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1,746</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2031 Asset-Backed Debt</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spacing w:after="0"/>
              <w:rPr>
                <w:sz w:val="13"/>
                <w:szCs w:val="13"/>
                <w:color w:val="auto"/>
              </w:rPr>
            </w:pPr>
          </w:p>
        </w:tc>
        <w:tc>
          <w:tcPr>
            <w:tcW w:w="2080" w:type="dxa"/>
            <w:vAlign w:val="bottom"/>
            <w:shd w:val="clear" w:color="auto" w:fill="CCECFF"/>
          </w:tcPr>
          <w:p>
            <w:pPr>
              <w:spacing w:after="0"/>
              <w:rPr>
                <w:sz w:val="13"/>
                <w:szCs w:val="13"/>
                <w:color w:val="auto"/>
              </w:rPr>
            </w:pP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2024</w:t>
            </w:r>
          </w:p>
        </w:tc>
        <w:tc>
          <w:tcPr>
            <w:tcW w:w="2700" w:type="dxa"/>
            <w:vAlign w:val="bottom"/>
          </w:tcPr>
          <w:p>
            <w:pPr>
              <w:jc w:val="right"/>
              <w:ind w:right="14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228,000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2,304</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228,000</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1,784</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228,000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1,746</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2020</w:t>
            </w:r>
          </w:p>
        </w:tc>
        <w:tc>
          <w:tcPr>
            <w:tcW w:w="270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228,000</w:t>
            </w:r>
          </w:p>
        </w:tc>
        <w:tc>
          <w:tcPr>
            <w:tcW w:w="440" w:type="dxa"/>
            <w:vAlign w:val="bottom"/>
          </w:tcPr>
          <w:p>
            <w:pPr>
              <w:spacing w:after="0"/>
              <w:rPr>
                <w:sz w:val="13"/>
                <w:szCs w:val="13"/>
                <w:color w:val="auto"/>
              </w:rPr>
            </w:pP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1,677</w:t>
            </w:r>
          </w:p>
        </w:tc>
        <w:tc>
          <w:tcPr>
            <w:tcW w:w="2080" w:type="dxa"/>
            <w:vAlign w:val="bottom"/>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2019</w:t>
            </w:r>
          </w:p>
        </w:tc>
        <w:tc>
          <w:tcPr>
            <w:tcW w:w="2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228,000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1,786</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2036 Asset-Backed Debt</w:t>
            </w:r>
          </w:p>
        </w:tc>
        <w:tc>
          <w:tcPr>
            <w:tcW w:w="2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2024</w:t>
            </w:r>
          </w:p>
        </w:tc>
        <w:tc>
          <w:tcPr>
            <w:tcW w:w="2700" w:type="dxa"/>
            <w:vAlign w:val="bottom"/>
            <w:shd w:val="clear" w:color="auto" w:fill="CCECFF"/>
          </w:tcPr>
          <w:p>
            <w:pPr>
              <w:jc w:val="right"/>
              <w:ind w:right="14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287,000</w:t>
            </w:r>
          </w:p>
        </w:tc>
        <w:tc>
          <w:tcPr>
            <w:tcW w:w="4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1,742</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174"/>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2036-R Asset-Backed Debt</w:t>
            </w:r>
          </w:p>
        </w:tc>
        <w:tc>
          <w:tcPr>
            <w:tcW w:w="2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14"/>
        </w:trPr>
        <w:tc>
          <w:tcPr>
            <w:tcW w:w="26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080" w:type="dxa"/>
            <w:vAlign w:val="bottom"/>
          </w:tcPr>
          <w:p>
            <w:pPr>
              <w:spacing w:after="0"/>
              <w:rPr>
                <w:sz w:val="9"/>
                <w:szCs w:val="9"/>
                <w:color w:val="auto"/>
              </w:rPr>
            </w:pPr>
          </w:p>
        </w:tc>
      </w:tr>
      <w:tr>
        <w:trPr>
          <w:trHeight w:val="156"/>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2024</w:t>
            </w:r>
          </w:p>
        </w:tc>
        <w:tc>
          <w:tcPr>
            <w:tcW w:w="2700" w:type="dxa"/>
            <w:vAlign w:val="bottom"/>
            <w:shd w:val="clear" w:color="auto" w:fill="CCECFF"/>
          </w:tcPr>
          <w:p>
            <w:pPr>
              <w:jc w:val="right"/>
              <w:ind w:right="14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266,000</w:t>
            </w:r>
          </w:p>
        </w:tc>
        <w:tc>
          <w:tcPr>
            <w:tcW w:w="44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1,742</w:t>
            </w:r>
          </w:p>
        </w:tc>
        <w:tc>
          <w:tcPr>
            <w:tcW w:w="208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3"/>
                <w:szCs w:val="13"/>
                <w:color w:val="auto"/>
                <w:w w:val="98"/>
              </w:rPr>
              <w:t>N/A</w:t>
            </w:r>
          </w:p>
        </w:tc>
      </w:tr>
      <w:tr>
        <w:trPr>
          <w:trHeight w:val="48"/>
        </w:trPr>
        <w:tc>
          <w:tcPr>
            <w:tcW w:w="264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p>
      <w:pPr>
        <w:sectPr>
          <w:pgSz w:w="11900" w:h="16840" w:orient="portrait"/>
          <w:cols w:equalWidth="0" w:num="1">
            <w:col w:w="10560"/>
          </w:cols>
          <w:pgMar w:left="660" w:top="1434" w:right="680" w:bottom="1440" w:gutter="0" w:footer="0" w:header="0"/>
        </w:sectPr>
      </w:pPr>
    </w:p>
    <w:p>
      <w:pPr>
        <w:ind w:left="20"/>
        <w:spacing w:after="0"/>
        <w:rPr>
          <w:sz w:val="20"/>
          <w:szCs w:val="20"/>
          <w:color w:val="auto"/>
        </w:rPr>
      </w:pPr>
      <w:r>
        <w:rPr>
          <w:rFonts w:ascii="Times New Roman" w:cs="Times New Roman" w:eastAsia="Times New Roman" w:hAnsi="Times New Roman"/>
          <w:sz w:val="6"/>
          <w:szCs w:val="6"/>
          <w:b w:val="1"/>
          <w:bCs w:val="1"/>
          <w:color w:val="auto"/>
        </w:rPr>
        <w:t>(1)</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
          <w:szCs w:val="6"/>
          <w:b w:val="1"/>
          <w:bCs w:val="1"/>
          <w:color w:val="auto"/>
        </w:rPr>
        <w:t>(2)</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
          <w:szCs w:val="6"/>
          <w:b w:val="1"/>
          <w:bCs w:val="1"/>
          <w:color w:val="auto"/>
        </w:rPr>
        <w:t>(3)</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Total cost of each class of senior securities outstanding at the end of the period presented in thousands (000s).</w:t>
      </w:r>
    </w:p>
    <w:p>
      <w:pPr>
        <w:spacing w:after="0" w:line="210"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 applicable, as senior securities are not registered for public trading in the United States of America.</w:t>
      </w:r>
    </w:p>
    <w:p>
      <w:pPr>
        <w:spacing w:after="0" w:line="148" w:lineRule="exact"/>
        <w:rPr>
          <w:sz w:val="20"/>
          <w:szCs w:val="20"/>
          <w:color w:val="auto"/>
        </w:rPr>
      </w:pPr>
    </w:p>
    <w:p>
      <w:pPr>
        <w:sectPr>
          <w:pgSz w:w="11900" w:h="16840" w:orient="portrait"/>
          <w:cols w:equalWidth="0" w:num="2">
            <w:col w:w="100" w:space="360"/>
            <w:col w:w="10100"/>
          </w:cols>
          <w:pgMar w:left="660" w:top="1434" w:right="680"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65"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September 30, 2024 and 2023, PSSL had total assets of $988.1 million and $869.4 million, respectively, and its investment portfolio consisted of investments in 109 and 105 portfolio companies, respectively. As of September 30, 2024, at fair value, the largest investment in a single portfolio company in PSSL was $ 21.3 million and the five largest investments totaled $97.3 million. As of September 30, 2023, at fair value, the largest investment in a single portfolio company in PSSL was $18.5 million and the five largest investments totaled $83.4 million. PSSL invests in portfolio companies in the same industries in which we may directly invest.</w:t>
      </w:r>
    </w:p>
    <w:p>
      <w:pPr>
        <w:spacing w:after="0" w:line="130"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We and Kemper provide capital to PSSL in the form of first lien secured debt and equity interests. As of September 30, 2024 and 2023, we and Kemper owned 87.5% and 12.5%, respectively, of each of the outstanding first lien secured debt and equity interests. As of the same dates, our investment in PSSL consisted of first lien secured debt of $237.7 million (zero remaining unfunded) and $210.1 million (additional $27.6 million unfunded), respectively, and equity interests of $101.9 million (zero remaining unfunded) and $90.0 million (additional $11.8 million unfunded), respectively.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type w:val="continuous"/>
        </w:sectPr>
      </w:pPr>
    </w:p>
    <w:bookmarkStart w:id="54" w:name="page55"/>
    <w:bookmarkEnd w:id="54"/>
    <w:p>
      <w:pPr>
        <w:spacing w:after="0" w:line="31" w:lineRule="exact"/>
        <w:rPr>
          <w:sz w:val="20"/>
          <w:szCs w:val="20"/>
          <w:color w:val="auto"/>
        </w:rPr>
      </w:pPr>
    </w:p>
    <w:p>
      <w:pPr>
        <w:ind w:right="40" w:firstLine="420"/>
        <w:spacing w:after="0" w:line="258" w:lineRule="auto"/>
        <w:rPr>
          <w:sz w:val="20"/>
          <w:szCs w:val="20"/>
          <w:color w:val="auto"/>
        </w:rPr>
      </w:pPr>
      <w:r>
        <w:rPr>
          <w:rFonts w:ascii="Times New Roman" w:cs="Times New Roman" w:eastAsia="Times New Roman" w:hAnsi="Times New Roman"/>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89"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In August 2023 PSSL entered into a $260.0 million (decreased from $325.0 million) senior secured revolving credit facility which bears interest at SOFR plus 260 basis points (including a spread adjustment) with Ally Bank through its wholly-owned subsidiary, PennantPark Senior Secured Loan Facility LLC II, or PSSL Subsidiary II, subject to leverage and borrowing base restrictions. On January 2024, the maturity was extended to 2029 and the interest change to SOFR plus 280 basis points.</w:t>
      </w:r>
    </w:p>
    <w:p>
      <w:pPr>
        <w:spacing w:after="0" w:line="123"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94"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In May 2024, PSSL completed the refinancing of the 2032 Asset-Backed Debt through a $300.7 million debt securitization in the form of a collateralized loan obligation, or the "2036 PSSL Asset -Backed Debt". The 2036 PSSL Asset-Backed Debt is secured by a diversified portfolio of PennantPark CLO II, Ltd., a wholly-owned subsidiary of PSSL, consisting primarily of middle market loans and participation interest in middle market loans. The 2036 PSSL Asset-Backed Debt is scheduled to mature in April 2036. PSSL retained the preferred shares and Class E-R Notes through a consolidated subsidiary.</w:t>
      </w:r>
    </w:p>
    <w:p>
      <w:pPr>
        <w:spacing w:after="0" w:line="91"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April 2023, PSSL completed a $297.8 million debt securitization in the form of a collateralized loan obligation, or the “2035 Asset- Backed Debt”. The 2035 Asset -Backed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PSSL’s portfolio at fair value ($ in thousands):</w:t>
            </w:r>
          </w:p>
        </w:tc>
        <w:tc>
          <w:tcPr>
            <w:tcW w:w="2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88"/>
        </w:trPr>
        <w:tc>
          <w:tcPr>
            <w:tcW w:w="4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0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913,281</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785,859</w:t>
            </w:r>
          </w:p>
        </w:tc>
        <w:tc>
          <w:tcPr>
            <w:tcW w:w="4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7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2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40" w:type="dxa"/>
            <w:vAlign w:val="bottom"/>
          </w:tcPr>
          <w:p>
            <w:pPr>
              <w:spacing w:after="0"/>
              <w:rPr>
                <w:sz w:val="13"/>
                <w:szCs w:val="13"/>
                <w:color w:val="auto"/>
              </w:rPr>
            </w:pP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2720" w:type="dxa"/>
            <w:vAlign w:val="bottom"/>
            <w:shd w:val="clear" w:color="auto" w:fill="CCECFF"/>
          </w:tcPr>
          <w:p>
            <w:pPr>
              <w:spacing w:after="0"/>
              <w:rPr>
                <w:sz w:val="13"/>
                <w:szCs w:val="13"/>
                <w:color w:val="auto"/>
              </w:rPr>
            </w:pP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109</w:t>
            </w:r>
          </w:p>
        </w:tc>
        <w:tc>
          <w:tcPr>
            <w:tcW w:w="200" w:type="dxa"/>
            <w:vAlign w:val="bottom"/>
            <w:shd w:val="clear" w:color="auto" w:fill="CCECFF"/>
          </w:tcPr>
          <w:p>
            <w:pPr>
              <w:spacing w:after="0"/>
              <w:rPr>
                <w:sz w:val="13"/>
                <w:szCs w:val="13"/>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105</w:t>
            </w:r>
          </w:p>
        </w:tc>
        <w:tc>
          <w:tcPr>
            <w:tcW w:w="4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21,274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18,463</w:t>
            </w:r>
          </w:p>
        </w:tc>
        <w:tc>
          <w:tcPr>
            <w:tcW w:w="40" w:type="dxa"/>
            <w:vAlign w:val="bottom"/>
          </w:tcPr>
          <w:p>
            <w:pPr>
              <w:spacing w:after="0"/>
              <w:rPr>
                <w:sz w:val="13"/>
                <w:szCs w:val="13"/>
                <w:color w:val="auto"/>
              </w:rPr>
            </w:pP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2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97,292</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83,365</w:t>
            </w:r>
          </w:p>
        </w:tc>
        <w:tc>
          <w:tcPr>
            <w:tcW w:w="40" w:type="dxa"/>
            <w:vAlign w:val="bottom"/>
          </w:tcPr>
          <w:p>
            <w:pPr>
              <w:spacing w:after="0"/>
              <w:rPr>
                <w:sz w:val="13"/>
                <w:szCs w:val="13"/>
                <w:color w:val="auto"/>
              </w:rPr>
            </w:pPr>
          </w:p>
        </w:tc>
      </w:tr>
      <w:tr>
        <w:trPr>
          <w:trHeight w:val="436"/>
        </w:trPr>
        <w:tc>
          <w:tcPr>
            <w:tcW w:w="4680" w:type="dxa"/>
            <w:vAlign w:val="bottom"/>
          </w:tcPr>
          <w:p>
            <w:pPr>
              <w:spacing w:after="0"/>
              <w:rPr>
                <w:sz w:val="24"/>
                <w:szCs w:val="24"/>
                <w:color w:val="auto"/>
              </w:rPr>
            </w:pPr>
          </w:p>
        </w:tc>
        <w:tc>
          <w:tcPr>
            <w:tcW w:w="2720" w:type="dxa"/>
            <w:vAlign w:val="bottom"/>
          </w:tcPr>
          <w:p>
            <w:pPr>
              <w:jc w:val="right"/>
              <w:ind w:right="1974"/>
              <w:spacing w:after="0"/>
              <w:rPr>
                <w:sz w:val="20"/>
                <w:szCs w:val="20"/>
                <w:color w:val="auto"/>
              </w:rPr>
            </w:pPr>
            <w:r>
              <w:rPr>
                <w:rFonts w:ascii="Times New Roman" w:cs="Times New Roman" w:eastAsia="Times New Roman" w:hAnsi="Times New Roman"/>
                <w:sz w:val="13"/>
                <w:szCs w:val="13"/>
                <w:color w:val="auto"/>
              </w:rPr>
              <w:t>53</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0"/>
        </w:trPr>
        <w:tc>
          <w:tcPr>
            <w:tcW w:w="468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5" w:name="page56"/>
    <w:bookmarkEnd w:id="55"/>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2024 (par and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84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60" w:type="dxa"/>
            <w:vAlign w:val="bottom"/>
          </w:tcPr>
          <w:p>
            <w:pPr>
              <w:jc w:val="center"/>
              <w:spacing w:after="0" w:line="120"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240" w:type="dxa"/>
            <w:vAlign w:val="bottom"/>
          </w:tcPr>
          <w:p>
            <w:pPr>
              <w:spacing w:after="0"/>
              <w:rPr>
                <w:sz w:val="10"/>
                <w:szCs w:val="10"/>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00" w:type="dxa"/>
            <w:vAlign w:val="bottom"/>
          </w:tcPr>
          <w:p>
            <w:pPr>
              <w:jc w:val="right"/>
              <w:ind w:right="112"/>
              <w:spacing w:after="0" w:line="120"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- 1,404.5%</w:t>
            </w:r>
          </w:p>
        </w:tc>
        <w:tc>
          <w:tcPr>
            <w:tcW w:w="8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12/22/2028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10.95%</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SOFR+610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2,903</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2,855</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2,903</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10.58%</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9,925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9,771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9,602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10.83%</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SOFR+550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18,762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18,434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18,837</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11.28%</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SOFR+626</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8,708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8,658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8,708</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12/18/2028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9.85%</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15,880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15,665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15,880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11/30/2026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11.30%</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SOFR+610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12,722</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12,213</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SOFR+590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4,717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4,717</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10.50%</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SOFR+590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4,625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4,625</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12/29/2026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SOFR+590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11,155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10,988</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11.56%</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11,115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10,967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11,059</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6/21/2029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9.85%</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9,825</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SOFR+575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2/28/2030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11.18%</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15,423</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15,167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15,423</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11.70%</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8,888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8,797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Distributors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11.00%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SOFR+640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14,974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14,718</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10.60%</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SOFR+600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5,546</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5,523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5,435</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10.97%</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SOFR+611</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2,274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2,274</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Automotive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10.20%</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5/16/2025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12.18%</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SOFR+698</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13,084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13,084</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2/7/2030</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10.60%</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15,243</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15,025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15,015</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Distributors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9,539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9,431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9,539</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11.21%</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SOFR+619</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6,751</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6,682</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6,649</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10/28/2028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8.96%</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SOFR+400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6,708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6,506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6,540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10.53%</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SOFR+561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3,775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3,734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3,775</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10.71%</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SOFR+586</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2,068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9.95%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14,562</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14,398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14,562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12/21/2028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SOFR+535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2,420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2,509</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11.20%</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13,805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13,788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13,694</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(6)</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7/15/2028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10.38%</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SOFR+526</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1,360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1,358</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10/15/2028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10.88%</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SOFR+576</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8,439</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8,439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7,769</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8.85%</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SOFR+400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4,963</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4,973</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SOFR+575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8,865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8,732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11.20%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SOFR+635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12,546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12,418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12,484</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11.56%</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12,249</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12,032</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10.60%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9,268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9,176</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More Defense</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9.65%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SOFR+450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10,117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10,071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10,128</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11.43%</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3,696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3,511</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10.45%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SOFR+560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3,723</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3,686</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3,685</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12/31/2026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SOFR+560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2,153</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2,110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9.75%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3,691</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3,648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3,665</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11.11%</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8,957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8,868</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11.18%</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SOFR+590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3,486</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3,475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3,486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11/15/2027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SOFR+510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9,154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9,018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9,108</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12/28/2028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11.45%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SOFR+685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6,029</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5,932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6,089</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11.75%</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SOFR+715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9,707</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60" w:type="dxa"/>
            <w:vAlign w:val="bottom"/>
            <w:shd w:val="clear" w:color="auto" w:fill="CCECFF"/>
          </w:tcPr>
          <w:p>
            <w:pPr>
              <w:spacing w:after="0"/>
              <w:rPr>
                <w:sz w:val="10"/>
                <w:szCs w:val="10"/>
                <w:color w:val="auto"/>
              </w:rPr>
            </w:pP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(PIK 2.25%)</w:t>
            </w:r>
          </w:p>
        </w:tc>
        <w:tc>
          <w:tcPr>
            <w:tcW w:w="86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12.46%</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SOFR+761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8,164</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8,094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8,041</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10.58%</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3,855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3,900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11/10/2027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10.75%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13,492</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13,289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13,492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12.94%</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SOFR+785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14,731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14,539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14,584</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60" w:type="dxa"/>
            <w:vAlign w:val="bottom"/>
            <w:shd w:val="clear" w:color="auto" w:fill="CCECFF"/>
          </w:tcPr>
          <w:p>
            <w:pPr>
              <w:spacing w:after="0"/>
              <w:rPr>
                <w:sz w:val="10"/>
                <w:szCs w:val="10"/>
                <w:color w:val="auto"/>
              </w:rPr>
            </w:pP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(PIK 5.10%)</w:t>
            </w:r>
          </w:p>
        </w:tc>
        <w:tc>
          <w:tcPr>
            <w:tcW w:w="86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(6)</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11.42%</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SOFR+643</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12,125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12,102</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11,907</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 - Term Loan Incremental</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11.64%</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SOFR+640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2,861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2,810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10.15%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11,330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11,258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11,330</w:t>
            </w:r>
          </w:p>
        </w:tc>
        <w:tc>
          <w:tcPr>
            <w:tcW w:w="0" w:type="dxa"/>
            <w:vAlign w:val="bottom"/>
          </w:tcPr>
          <w:p>
            <w:pPr>
              <w:spacing w:after="0"/>
              <w:rPr>
                <w:sz w:val="1"/>
                <w:szCs w:val="1"/>
                <w:color w:val="auto"/>
              </w:rPr>
            </w:pPr>
          </w:p>
        </w:tc>
      </w:tr>
      <w:tr>
        <w:trPr>
          <w:trHeight w:val="124"/>
        </w:trPr>
        <w:tc>
          <w:tcPr>
            <w:tcW w:w="30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24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8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10.48%</w:t>
            </w:r>
          </w:p>
        </w:tc>
        <w:tc>
          <w:tcPr>
            <w:tcW w:w="860" w:type="dxa"/>
            <w:vAlign w:val="bottom"/>
            <w:vMerge w:val="restart"/>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2,516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2,559</w:t>
            </w:r>
          </w:p>
        </w:tc>
        <w:tc>
          <w:tcPr>
            <w:tcW w:w="0" w:type="dxa"/>
            <w:vAlign w:val="bottom"/>
          </w:tcPr>
          <w:p>
            <w:pPr>
              <w:spacing w:after="0"/>
              <w:rPr>
                <w:sz w:val="1"/>
                <w:szCs w:val="1"/>
                <w:color w:val="auto"/>
              </w:rPr>
            </w:pPr>
          </w:p>
        </w:tc>
      </w:tr>
      <w:tr>
        <w:trPr>
          <w:trHeight w:val="80"/>
        </w:trPr>
        <w:tc>
          <w:tcPr>
            <w:tcW w:w="3000" w:type="dxa"/>
            <w:vAlign w:val="bottom"/>
            <w:vMerge w:val="continue"/>
            <w:shd w:val="clear" w:color="auto" w:fill="CCECFF"/>
          </w:tcPr>
          <w:p>
            <w:pPr>
              <w:spacing w:after="0"/>
              <w:rPr>
                <w:sz w:val="6"/>
                <w:szCs w:val="6"/>
                <w:color w:val="auto"/>
              </w:rPr>
            </w:pPr>
          </w:p>
        </w:tc>
        <w:tc>
          <w:tcPr>
            <w:tcW w:w="840" w:type="dxa"/>
            <w:vAlign w:val="bottom"/>
            <w:vMerge w:val="continue"/>
            <w:shd w:val="clear" w:color="auto" w:fill="CCECFF"/>
          </w:tcPr>
          <w:p>
            <w:pPr>
              <w:spacing w:after="0"/>
              <w:rPr>
                <w:sz w:val="6"/>
                <w:szCs w:val="6"/>
                <w:color w:val="auto"/>
              </w:rPr>
            </w:pPr>
          </w:p>
        </w:tc>
        <w:tc>
          <w:tcPr>
            <w:tcW w:w="2460" w:type="dxa"/>
            <w:vAlign w:val="bottom"/>
            <w:vMerge w:val="continue"/>
            <w:shd w:val="clear" w:color="auto" w:fill="CCECFF"/>
          </w:tcPr>
          <w:p>
            <w:pPr>
              <w:spacing w:after="0"/>
              <w:rPr>
                <w:sz w:val="6"/>
                <w:szCs w:val="6"/>
                <w:color w:val="auto"/>
              </w:rPr>
            </w:pPr>
          </w:p>
        </w:tc>
        <w:tc>
          <w:tcPr>
            <w:tcW w:w="860" w:type="dxa"/>
            <w:vAlign w:val="bottom"/>
            <w:vMerge w:val="continue"/>
            <w:shd w:val="clear" w:color="auto" w:fill="CCECFF"/>
          </w:tcPr>
          <w:p>
            <w:pPr>
              <w:spacing w:after="0"/>
              <w:rPr>
                <w:sz w:val="6"/>
                <w:szCs w:val="6"/>
                <w:color w:val="auto"/>
              </w:rPr>
            </w:pPr>
          </w:p>
        </w:tc>
        <w:tc>
          <w:tcPr>
            <w:tcW w:w="860" w:type="dxa"/>
            <w:vAlign w:val="bottom"/>
            <w:vMerge w:val="continue"/>
            <w:shd w:val="clear" w:color="auto" w:fill="CCECFF"/>
          </w:tcPr>
          <w:p>
            <w:pPr>
              <w:spacing w:after="0"/>
              <w:rPr>
                <w:sz w:val="6"/>
                <w:szCs w:val="6"/>
                <w:color w:val="auto"/>
              </w:rPr>
            </w:pPr>
          </w:p>
        </w:tc>
        <w:tc>
          <w:tcPr>
            <w:tcW w:w="86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580" w:type="dxa"/>
            <w:vAlign w:val="bottom"/>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70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11.10%</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7,407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7,288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First-Out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12.77%</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SOFR+765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12.77%</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SOFR+765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SOFR+550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2,085</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12.13%</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SOFR+701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337</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12.38%</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SOFR+801</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Third-Out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11.63%</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SOFR+726</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(6)</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10.38%</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SOFR+540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1,845</w:t>
            </w:r>
          </w:p>
        </w:tc>
        <w:tc>
          <w:tcPr>
            <w:tcW w:w="0" w:type="dxa"/>
            <w:vAlign w:val="bottom"/>
          </w:tcPr>
          <w:p>
            <w:pPr>
              <w:spacing w:after="0"/>
              <w:rPr>
                <w:sz w:val="1"/>
                <w:szCs w:val="1"/>
                <w:color w:val="auto"/>
              </w:rPr>
            </w:pPr>
          </w:p>
        </w:tc>
      </w:tr>
      <w:tr>
        <w:trPr>
          <w:trHeight w:val="96"/>
        </w:trPr>
        <w:tc>
          <w:tcPr>
            <w:tcW w:w="3000" w:type="dxa"/>
            <w:vAlign w:val="bottom"/>
          </w:tcPr>
          <w:p>
            <w:pPr>
              <w:ind w:left="20"/>
              <w:spacing w:after="0" w:line="96" w:lineRule="exact"/>
              <w:rPr>
                <w:sz w:val="20"/>
                <w:szCs w:val="20"/>
                <w:color w:val="auto"/>
              </w:rPr>
            </w:pPr>
            <w:r>
              <w:rPr>
                <w:rFonts w:ascii="Times New Roman" w:cs="Times New Roman" w:eastAsia="Times New Roman" w:hAnsi="Times New Roman"/>
                <w:sz w:val="9"/>
                <w:szCs w:val="9"/>
                <w:color w:val="auto"/>
              </w:rPr>
              <w:t xml:space="preserve">Marketplace Events, LLC - Super Priority First Lien Unfunded Term Loan </w:t>
            </w:r>
            <w:r>
              <w:rPr>
                <w:rFonts w:ascii="Times New Roman" w:cs="Times New Roman" w:eastAsia="Times New Roman" w:hAnsi="Times New Roman"/>
                <w:sz w:val="11"/>
                <w:szCs w:val="11"/>
                <w:color w:val="auto"/>
                <w:vertAlign w:val="superscript"/>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860" w:type="dxa"/>
            <w:vAlign w:val="bottom"/>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2"/>
              </w:rPr>
              <w:t>0.00%</w:t>
            </w:r>
          </w:p>
        </w:tc>
        <w:tc>
          <w:tcPr>
            <w:tcW w:w="860" w:type="dxa"/>
            <w:vAlign w:val="bottom"/>
          </w:tcPr>
          <w:p>
            <w:pPr>
              <w:spacing w:after="0"/>
              <w:rPr>
                <w:sz w:val="8"/>
                <w:szCs w:val="8"/>
                <w:color w:val="auto"/>
              </w:rPr>
            </w:pP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564</w:t>
            </w:r>
          </w:p>
        </w:tc>
        <w:tc>
          <w:tcPr>
            <w:tcW w:w="240" w:type="dxa"/>
            <w:vAlign w:val="bottom"/>
          </w:tcPr>
          <w:p>
            <w:pPr>
              <w:spacing w:after="0"/>
              <w:rPr>
                <w:sz w:val="8"/>
                <w:szCs w:val="8"/>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77"/>
        </w:trPr>
        <w:tc>
          <w:tcPr>
            <w:tcW w:w="3000" w:type="dxa"/>
            <w:vAlign w:val="bottom"/>
          </w:tcPr>
          <w:p>
            <w:pPr>
              <w:ind w:left="20"/>
              <w:spacing w:after="0"/>
              <w:rPr>
                <w:sz w:val="20"/>
                <w:szCs w:val="20"/>
                <w:color w:val="auto"/>
              </w:rPr>
            </w:pPr>
            <w:r>
              <w:rPr>
                <w:rFonts w:ascii="Times New Roman" w:cs="Times New Roman" w:eastAsia="Times New Roman" w:hAnsi="Times New Roman"/>
                <w:sz w:val="6"/>
                <w:szCs w:val="6"/>
                <w:color w:val="auto"/>
              </w:rPr>
              <w:t>(6)</w:t>
            </w:r>
          </w:p>
        </w:tc>
        <w:tc>
          <w:tcPr>
            <w:tcW w:w="840" w:type="dxa"/>
            <w:vAlign w:val="bottom"/>
            <w:vMerge w:val="continue"/>
          </w:tcPr>
          <w:p>
            <w:pPr>
              <w:spacing w:after="0"/>
              <w:rPr>
                <w:sz w:val="6"/>
                <w:szCs w:val="6"/>
                <w:color w:val="auto"/>
              </w:rPr>
            </w:pPr>
          </w:p>
        </w:tc>
        <w:tc>
          <w:tcPr>
            <w:tcW w:w="24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30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46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12"/>
                <w:szCs w:val="12"/>
                <w:color w:val="auto"/>
                <w:vertAlign w:val="superscript"/>
              </w:rPr>
              <w:t>(6)</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10.53%</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10.59%</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SOFR+585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7,256</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7,183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7,256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(New Issue) - Incremental</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11.34%</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SOFR+660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523</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528</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 (New Issue) - Second Incremental</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11.09%</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551</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554</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10.60%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4,851</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 - Incremental</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11.25%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SOFR+600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1,416</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1,409</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12/10/2027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10.50%</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SOFR+590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2,348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2,289</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10/20/2028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10.85%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SOFR+625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19,199</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18,911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19,199</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9.85%</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15,671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14,794</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10.50%</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SOFR+590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5,551</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5,551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5,551</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1/16/2030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13,067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12,891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12,871</w:t>
            </w:r>
          </w:p>
        </w:tc>
        <w:tc>
          <w:tcPr>
            <w:tcW w:w="0" w:type="dxa"/>
            <w:vAlign w:val="bottom"/>
          </w:tcPr>
          <w:p>
            <w:pPr>
              <w:spacing w:after="0"/>
              <w:rPr>
                <w:sz w:val="1"/>
                <w:szCs w:val="1"/>
                <w:color w:val="auto"/>
              </w:rPr>
            </w:pPr>
          </w:p>
        </w:tc>
      </w:tr>
      <w:tr>
        <w:trPr>
          <w:trHeight w:val="12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9/28/2027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Distributors</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9.75%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SOFR+515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3,395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3,395</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2024 (continued):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100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Par or Number</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84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1000" w:type="dxa"/>
            <w:vAlign w:val="bottom"/>
          </w:tcPr>
          <w:p>
            <w:pPr>
              <w:jc w:val="center"/>
              <w:ind w:left="11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0"/>
                <w:szCs w:val="10"/>
                <w:b w:val="1"/>
                <w:bCs w:val="1"/>
                <w:color w:val="auto"/>
                <w:w w:val="94"/>
              </w:rPr>
              <w:t>Fair Value</w:t>
            </w:r>
            <w:r>
              <w:rPr>
                <w:rFonts w:ascii="Times New Roman" w:cs="Times New Roman" w:eastAsia="Times New Roman" w:hAnsi="Times New Roman"/>
                <w:sz w:val="12"/>
                <w:szCs w:val="12"/>
                <w:b w:val="1"/>
                <w:bCs w:val="1"/>
                <w:color w:val="auto"/>
                <w:w w:val="94"/>
                <w:vertAlign w:val="superscript"/>
              </w:rPr>
              <w:t>(2)</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8/19/2026</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&amp; Childcare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11.05%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SOFR+585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10,602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10,504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10,284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SOFR+635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21,274</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20,913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21,274</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Air Freight and Logistics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11.21%</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SOFR+636</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15,682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15,480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15,682</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14.00%</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SOFR+940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2,140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1,819</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7.50%)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13.75%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SOFR+843</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821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5/30/2028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12.00%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SOFR+668</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SOFR+535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3,893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3,842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3,825</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5/18/2026</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11.12%</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SOFR+651</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4,307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4,307</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11.51%</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SOFR+625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11,938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11,745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11,914</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10.81%</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3,871</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3,818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3,871</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9/29/2025</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10.17%</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SOFR+543</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9,391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11/9/2027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11.99%</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SOFR+725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7,816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7,733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6,253</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4.00%)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12.35%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SOFR+750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11,855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11,480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7,261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(PIK 12.35%)</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SOFR+635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2,775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SOFR+560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1,016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2/28/2028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Air Freight and Logistics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SOFR+615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4,875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3,656</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1/29/2026</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11.75%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SOFR+715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4,825</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4,796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4,777</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5/3/2029</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9,776</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6/15/2029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4,336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4,266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5/23/2029</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SOFR+525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9,973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9,873</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SOFR+620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9,268</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9,260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9,268</w:t>
            </w:r>
          </w:p>
        </w:tc>
        <w:tc>
          <w:tcPr>
            <w:tcW w:w="80" w:type="dxa"/>
            <w:vAlign w:val="bottom"/>
            <w:shd w:val="clear" w:color="auto" w:fill="CCECFF"/>
          </w:tcPr>
          <w:p>
            <w:pPr>
              <w:spacing w:after="0"/>
              <w:rPr>
                <w:sz w:val="10"/>
                <w:szCs w:val="10"/>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12.45%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SOFR+760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4,916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4,916</w:t>
            </w:r>
          </w:p>
        </w:tc>
        <w:tc>
          <w:tcPr>
            <w:tcW w:w="80" w:type="dxa"/>
            <w:vAlign w:val="bottom"/>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1.00%)</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7/14/2025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13.20%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SOFR+835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12,388</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12,078</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0.50%)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6/13/2029</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SOFR+615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4,900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4,842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11.50%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SOFR+690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18,620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18,370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18,434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12/2/2026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11.00%</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SOFR+640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11,359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5/17/2028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9.46%</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SOFR+461</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1,290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SOFR+610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4,863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4,863</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SOFR+550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11,887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11,860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10,520</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1.50%)</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7/17/2025</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12.40%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SOFR+715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4,582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4,560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4,582</w:t>
            </w:r>
          </w:p>
        </w:tc>
        <w:tc>
          <w:tcPr>
            <w:tcW w:w="80" w:type="dxa"/>
            <w:vAlign w:val="bottom"/>
            <w:shd w:val="clear" w:color="auto" w:fill="CCECFF"/>
          </w:tcPr>
          <w:p>
            <w:pPr>
              <w:spacing w:after="0"/>
              <w:rPr>
                <w:sz w:val="10"/>
                <w:szCs w:val="10"/>
                <w:color w:val="auto"/>
              </w:rPr>
            </w:pPr>
          </w:p>
        </w:tc>
      </w:tr>
      <w:tr>
        <w:trPr>
          <w:trHeight w:val="192"/>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SOFR+565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4,070</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4,017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4,070</w:t>
            </w:r>
          </w:p>
        </w:tc>
        <w:tc>
          <w:tcPr>
            <w:tcW w:w="80" w:type="dxa"/>
            <w:vAlign w:val="bottom"/>
          </w:tcPr>
          <w:p>
            <w:pPr>
              <w:spacing w:after="0"/>
              <w:rPr>
                <w:sz w:val="16"/>
                <w:szCs w:val="16"/>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9.31%</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SOFR+425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1,777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1,653</w:t>
            </w:r>
          </w:p>
        </w:tc>
        <w:tc>
          <w:tcPr>
            <w:tcW w:w="80" w:type="dxa"/>
            <w:vAlign w:val="bottom"/>
            <w:shd w:val="clear" w:color="auto" w:fill="CCECFF"/>
          </w:tcPr>
          <w:p>
            <w:pPr>
              <w:spacing w:after="0"/>
              <w:rPr>
                <w:sz w:val="10"/>
                <w:szCs w:val="10"/>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7"/>
              </w:rPr>
              <w:t>System Planning and Analysis, Inc. (f/k/a Management Consulting &amp; Research,</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10.26%</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SOFR+500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14,588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14,558</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11.10%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SOFR+650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19,626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19,312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19,430</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9.95%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SOFR+500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343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338</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3/13/2031</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9.60%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SOFR+475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5,473</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5,418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5,490</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7/27/2026</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SOFR+665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8,521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8,427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8,521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8/31/2027</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Construction and Engineering</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SOFR+610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7,636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7,538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7,639</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10.84%</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SOFR+565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16,524</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16,394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16,524</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Automotive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18,552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18,293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18,552</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6/16/2025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11.33%</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SOFR+640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943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10.23%</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SOFR+490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14,670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14,585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14,376</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6/15/2026</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10.76%</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SOFR+550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6,823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6,742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6,755</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(4)(6)</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0.00%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5,441</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4,986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w w:val="97"/>
              </w:rPr>
              <w:t xml:space="preserve">Walker Edison Furniture Company LLC - Junior Revolving Credit Facility </w:t>
            </w:r>
            <w:r>
              <w:rPr>
                <w:rFonts w:ascii="Times New Roman" w:cs="Times New Roman" w:eastAsia="Times New Roman" w:hAnsi="Times New Roman"/>
                <w:sz w:val="12"/>
                <w:szCs w:val="12"/>
                <w:color w:val="auto"/>
                <w:w w:val="97"/>
                <w:vertAlign w:val="superscript"/>
              </w:rPr>
              <w:t>(4)(6)</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0.00%</w:t>
            </w:r>
          </w:p>
        </w:tc>
        <w:tc>
          <w:tcPr>
            <w:tcW w:w="100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(3)(4)(6)</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0.00%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83</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(76 )</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SOFR+600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12,189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12,067</w:t>
            </w:r>
          </w:p>
        </w:tc>
        <w:tc>
          <w:tcPr>
            <w:tcW w:w="80" w:type="dxa"/>
            <w:vAlign w:val="bottom"/>
          </w:tcPr>
          <w:p>
            <w:pPr>
              <w:spacing w:after="0"/>
              <w:rPr>
                <w:sz w:val="10"/>
                <w:szCs w:val="10"/>
                <w:color w:val="auto"/>
              </w:rPr>
            </w:pPr>
          </w:p>
        </w:tc>
      </w:tr>
      <w:tr>
        <w:trPr>
          <w:trHeight w:val="121"/>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2/27/2027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16,014</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15,916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16,014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Automobiles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12.46%</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SOFR+740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16,736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16,722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1.50%)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920,485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906,532</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- 10.5%</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Insight Holdings, Inc.</w:t>
            </w:r>
          </w:p>
        </w:tc>
        <w:tc>
          <w:tcPr>
            <w:tcW w:w="84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74</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40" w:type="dxa"/>
            <w:vAlign w:val="bottom"/>
          </w:tcPr>
          <w:p>
            <w:pPr>
              <w:spacing w:after="0"/>
              <w:rPr>
                <w:sz w:val="10"/>
                <w:szCs w:val="10"/>
                <w:color w:val="auto"/>
              </w:rPr>
            </w:pP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2,710</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40" w:type="dxa"/>
            <w:vAlign w:val="bottom"/>
          </w:tcPr>
          <w:p>
            <w:pPr>
              <w:spacing w:after="0"/>
              <w:rPr>
                <w:sz w:val="10"/>
                <w:szCs w:val="10"/>
                <w:color w:val="auto"/>
              </w:rPr>
            </w:pP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8,498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- 1,415.0%</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928,983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913,281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- 106.0%</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—1,521.0%</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981,710</w:t>
            </w:r>
          </w:p>
        </w:tc>
        <w:tc>
          <w:tcPr>
            <w:tcW w:w="80" w:type="dxa"/>
            <w:vAlign w:val="bottom"/>
          </w:tcPr>
          <w:p>
            <w:pPr>
              <w:spacing w:after="0"/>
              <w:rPr>
                <w:sz w:val="10"/>
                <w:szCs w:val="10"/>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316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(1,421.0)%</w:t>
            </w:r>
          </w:p>
        </w:tc>
        <w:tc>
          <w:tcPr>
            <w:tcW w:w="840" w:type="dxa"/>
            <w:vAlign w:val="bottom"/>
            <w:shd w:val="clear" w:color="auto" w:fill="CCECFF"/>
          </w:tcPr>
          <w:p>
            <w:pPr>
              <w:spacing w:after="0"/>
              <w:rPr>
                <w:sz w:val="8"/>
                <w:szCs w:val="8"/>
                <w:color w:val="auto"/>
              </w:rPr>
            </w:pPr>
          </w:p>
        </w:tc>
        <w:tc>
          <w:tcPr>
            <w:tcW w:w="192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(917,163 )</w:t>
            </w:r>
          </w:p>
        </w:tc>
      </w:tr>
      <w:tr>
        <w:trPr>
          <w:trHeight w:val="120"/>
        </w:trPr>
        <w:tc>
          <w:tcPr>
            <w:tcW w:w="316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64,547</w:t>
            </w:r>
          </w:p>
        </w:tc>
        <w:tc>
          <w:tcPr>
            <w:tcW w:w="80" w:type="dxa"/>
            <w:vAlign w:val="bottom"/>
          </w:tcPr>
          <w:p>
            <w:pPr>
              <w:spacing w:after="0"/>
              <w:rPr>
                <w:sz w:val="10"/>
                <w:szCs w:val="10"/>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0"/>
          <w:szCs w:val="10"/>
          <w:color w:val="auto"/>
        </w:rPr>
        <w:t>(1)Represents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(2)Valued based on PSSL’s accounting policy.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(3)Represents the purchase of a security with a delayed settlement or a revolving line of credit that is currently an unfunded investment. This security does not earn a basis point spread above an index while it is unfunded.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(4)Non-accrual security.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(5)Partial PIK non-accrual security.</w:t>
      </w:r>
    </w:p>
    <w:p>
      <w:pPr>
        <w:spacing w:after="0" w:line="2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0"/>
          <w:szCs w:val="10"/>
          <w:color w:val="auto"/>
        </w:rPr>
        <w:t>(6)The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(7)All investments are in US Companies unless noted otherwise.</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2023 (Par and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40" w:type="dxa"/>
            <w:vAlign w:val="bottom"/>
          </w:tcPr>
          <w:p>
            <w:pPr>
              <w:jc w:val="center"/>
              <w:ind w:right="132"/>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w:t>
            </w:r>
          </w:p>
        </w:tc>
        <w:tc>
          <w:tcPr>
            <w:tcW w:w="240" w:type="dxa"/>
            <w:vAlign w:val="bottom"/>
          </w:tcPr>
          <w:p>
            <w:pPr>
              <w:spacing w:after="0"/>
              <w:rPr>
                <w:sz w:val="10"/>
                <w:szCs w:val="10"/>
                <w:color w:val="auto"/>
              </w:rPr>
            </w:pPr>
          </w:p>
        </w:tc>
        <w:tc>
          <w:tcPr>
            <w:tcW w:w="6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00" w:type="dxa"/>
            <w:vAlign w:val="bottom"/>
          </w:tcPr>
          <w:p>
            <w:pPr>
              <w:jc w:val="right"/>
              <w:ind w:right="112"/>
              <w:spacing w:after="0" w:line="120"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22"/>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- 1,347.5%</w:t>
            </w: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11.84 %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SOFR+660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2,940</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2,886</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11.65 %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SOFR+626</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8,723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8,754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12,852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12,535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12,338</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5/23/2024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 March 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5/23/2024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4,875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7/21/2027</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11.59 %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7,510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7,348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10.52 %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2,187</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2,181</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10.69 %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11,013</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9,579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9,475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9,387</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DDTL Unfunded (3)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11.62 %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9,218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9,093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9,126</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11.14 %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1/31/2028</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11.83 %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9/17/2026</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15,132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14,905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12/4/2025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11.50 %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SOFR+626</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9/26/2029</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Automotive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420</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5/16/2025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12.43 %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SOFR+688</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13,821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13,778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13,579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Cadence Aerospace,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11/14/2023</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12.07 %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SOFR+665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4,011</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(PIK 2.00%)</w:t>
            </w: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6/14/2028</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11.39 %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9,636</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8/20/2026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11.60 %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SOFR+619</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6,820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6,722</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6,684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 Holdings,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4/10/2025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10.15 %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SOFR+476</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5,499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5,455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5,499</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SOFR+675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9,232</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9,201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8,955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1.00%)</w:t>
            </w:r>
          </w:p>
        </w:tc>
        <w:tc>
          <w:tcPr>
            <w:tcW w:w="9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9.32 %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SOFR+400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6,797</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6,559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6,445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7/13/2027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SOFR+576</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3,815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3,681</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10.90 %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SOFR+551</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2,079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8/31/2027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14,712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14,511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14,712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2,627</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2,418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11/3/2025</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14,429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14,376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14,256</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6/30/2024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11.89 %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10,904</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10,740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10.07 %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SOFR+475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1/10/2029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11.64 %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8,955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8,821</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1/17/2024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11.00 %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2,200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2,171</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3/15/2027</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12,675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12,422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5/29/2029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11.89 %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6/17/2028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10.40 %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SOFR+475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10,195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10,143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10,114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3/16/2026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11.96 %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SOFR+660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3,736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3,724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3,549</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8/10/2027</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10.99 %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2,316</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10.92 %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2,250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2,217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4,913</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11.75 %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3,014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2,968</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10.72 %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9,248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9,075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9,110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12.51 %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SOFR+715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16,453</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16,257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16,453</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SOFR+685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6,090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6,090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Integrated Data Services</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11.87 %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18,904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18,532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18,463</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12.54 %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SOFR+700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11,105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11,083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10,439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(PIK 2.25%)</w:t>
            </w: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8/27/2026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11.57 %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5,906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5,851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5,847</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6/30/2025</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12.93 %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SOFR+761</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8,246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8,104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8,080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3,940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3,886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3,861</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12/20/2023</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13.42 %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SOFR+810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15,509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15,487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15,509</w:t>
            </w:r>
          </w:p>
        </w:tc>
        <w:tc>
          <w:tcPr>
            <w:tcW w:w="0" w:type="dxa"/>
            <w:vAlign w:val="bottom"/>
          </w:tcPr>
          <w:p>
            <w:pPr>
              <w:spacing w:after="0"/>
              <w:rPr>
                <w:sz w:val="1"/>
                <w:szCs w:val="1"/>
                <w:color w:val="auto"/>
              </w:rPr>
            </w:pPr>
          </w:p>
        </w:tc>
      </w:tr>
      <w:tr>
        <w:trPr>
          <w:trHeight w:val="124"/>
        </w:trPr>
        <w:tc>
          <w:tcPr>
            <w:tcW w:w="30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7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40" w:type="dxa"/>
            <w:vAlign w:val="bottom"/>
            <w:vMerge w:val="restart"/>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16,662</w:t>
            </w:r>
          </w:p>
        </w:tc>
        <w:tc>
          <w:tcPr>
            <w:tcW w:w="240" w:type="dxa"/>
            <w:vAlign w:val="bottom"/>
            <w:shd w:val="clear" w:color="auto" w:fill="CCECFF"/>
          </w:tcPr>
          <w:p>
            <w:pPr>
              <w:spacing w:after="0"/>
              <w:rPr>
                <w:sz w:val="10"/>
                <w:szCs w:val="10"/>
                <w:color w:val="auto"/>
              </w:rPr>
            </w:pPr>
          </w:p>
        </w:tc>
        <w:tc>
          <w:tcPr>
            <w:tcW w:w="6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16,346</w:t>
            </w:r>
          </w:p>
        </w:tc>
        <w:tc>
          <w:tcPr>
            <w:tcW w:w="160" w:type="dxa"/>
            <w:vAlign w:val="bottom"/>
            <w:shd w:val="clear" w:color="auto" w:fill="CCECFF"/>
          </w:tcPr>
          <w:p>
            <w:pPr>
              <w:spacing w:after="0"/>
              <w:rPr>
                <w:sz w:val="10"/>
                <w:szCs w:val="10"/>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16,412</w:t>
            </w:r>
          </w:p>
        </w:tc>
        <w:tc>
          <w:tcPr>
            <w:tcW w:w="0" w:type="dxa"/>
            <w:vAlign w:val="bottom"/>
          </w:tcPr>
          <w:p>
            <w:pPr>
              <w:spacing w:after="0"/>
              <w:rPr>
                <w:sz w:val="1"/>
                <w:szCs w:val="1"/>
                <w:color w:val="auto"/>
              </w:rPr>
            </w:pPr>
          </w:p>
        </w:tc>
      </w:tr>
      <w:tr>
        <w:trPr>
          <w:trHeight w:val="68"/>
        </w:trPr>
        <w:tc>
          <w:tcPr>
            <w:tcW w:w="3020" w:type="dxa"/>
            <w:vAlign w:val="bottom"/>
            <w:vMerge w:val="continue"/>
            <w:shd w:val="clear" w:color="auto" w:fill="CCECFF"/>
          </w:tcPr>
          <w:p>
            <w:pPr>
              <w:spacing w:after="0"/>
              <w:rPr>
                <w:sz w:val="5"/>
                <w:szCs w:val="5"/>
                <w:color w:val="auto"/>
              </w:rPr>
            </w:pPr>
          </w:p>
        </w:tc>
        <w:tc>
          <w:tcPr>
            <w:tcW w:w="740" w:type="dxa"/>
            <w:vAlign w:val="bottom"/>
            <w:vMerge w:val="continue"/>
            <w:shd w:val="clear" w:color="auto" w:fill="CCECFF"/>
          </w:tcPr>
          <w:p>
            <w:pPr>
              <w:spacing w:after="0"/>
              <w:rPr>
                <w:sz w:val="5"/>
                <w:szCs w:val="5"/>
                <w:color w:val="auto"/>
              </w:rPr>
            </w:pPr>
          </w:p>
        </w:tc>
        <w:tc>
          <w:tcPr>
            <w:tcW w:w="2440" w:type="dxa"/>
            <w:vAlign w:val="bottom"/>
            <w:shd w:val="clear" w:color="auto" w:fill="CCECFF"/>
          </w:tcPr>
          <w:p>
            <w:pPr>
              <w:spacing w:after="0"/>
              <w:rPr>
                <w:sz w:val="5"/>
                <w:szCs w:val="5"/>
                <w:color w:val="auto"/>
              </w:rPr>
            </w:pPr>
          </w:p>
        </w:tc>
        <w:tc>
          <w:tcPr>
            <w:tcW w:w="1000" w:type="dxa"/>
            <w:vAlign w:val="bottom"/>
            <w:vMerge w:val="continue"/>
            <w:shd w:val="clear" w:color="auto" w:fill="CCECFF"/>
          </w:tcPr>
          <w:p>
            <w:pPr>
              <w:spacing w:after="0"/>
              <w:rPr>
                <w:sz w:val="5"/>
                <w:szCs w:val="5"/>
                <w:color w:val="auto"/>
              </w:rPr>
            </w:pPr>
          </w:p>
        </w:tc>
        <w:tc>
          <w:tcPr>
            <w:tcW w:w="940" w:type="dxa"/>
            <w:vAlign w:val="bottom"/>
            <w:vMerge w:val="continue"/>
            <w:shd w:val="clear" w:color="auto" w:fill="CCECFF"/>
          </w:tcPr>
          <w:p>
            <w:pPr>
              <w:spacing w:after="0"/>
              <w:rPr>
                <w:sz w:val="5"/>
                <w:szCs w:val="5"/>
                <w:color w:val="auto"/>
              </w:rPr>
            </w:pPr>
          </w:p>
        </w:tc>
        <w:tc>
          <w:tcPr>
            <w:tcW w:w="720" w:type="dxa"/>
            <w:vAlign w:val="bottom"/>
            <w:vMerge w:val="continue"/>
            <w:shd w:val="clear" w:color="auto" w:fill="CCECFF"/>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600" w:type="dxa"/>
            <w:vAlign w:val="bottom"/>
            <w:vMerge w:val="continue"/>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70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2/18/2027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12.13 %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SOFR+675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14,210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13,989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14,068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SOFR+643</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15,042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14,997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14,862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10.70 %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11,911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11,935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11.77 %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5/26/2028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12.39 %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SOFR+700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7,481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7,337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7/20/2027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0.00 %</w:t>
            </w:r>
          </w:p>
        </w:tc>
        <w:tc>
          <w:tcPr>
            <w:tcW w:w="9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4,207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OpCo DIP Loans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15.33 %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SOFR+1000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2,097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1,986</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10.63 %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Term Loan</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10.94 %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21"/>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9"/>
              </w:rPr>
              <w:t>Marketplace Events, LLC - Super Priority First Lien Unfunded Term Loan</w:t>
            </w: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9/30/2026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10.94 %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3,782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5/14/2026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11,476</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4/16/2027</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7,758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7/25/2028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6,271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6,244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2,372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2,312</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2023 (continued):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8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8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60" w:type="dxa"/>
            <w:vAlign w:val="bottom"/>
          </w:tcPr>
          <w:p>
            <w:pPr>
              <w:jc w:val="center"/>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Par</w:t>
            </w:r>
          </w:p>
        </w:tc>
        <w:tc>
          <w:tcPr>
            <w:tcW w:w="140" w:type="dxa"/>
            <w:vAlign w:val="bottom"/>
          </w:tcPr>
          <w:p>
            <w:pPr>
              <w:spacing w:after="0"/>
              <w:rPr>
                <w:sz w:val="10"/>
                <w:szCs w:val="10"/>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Output Services Group, Inc. </w:t>
            </w:r>
            <w:r>
              <w:rPr>
                <w:rFonts w:ascii="Times New Roman" w:cs="Times New Roman" w:eastAsia="Times New Roman" w:hAnsi="Times New Roman"/>
                <w:sz w:val="12"/>
                <w:szCs w:val="12"/>
                <w:color w:val="auto"/>
                <w:vertAlign w:val="superscript"/>
              </w:rPr>
              <w:t>(4)</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6/27/2026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0.00 %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7,759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7,689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3,893</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3,832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3,834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5/18/2026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SOFR+751</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4,345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Peaquod Merger Sub,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12/2/2026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11,474</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11,244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9/29/2025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10.68 %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9,493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7,974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11/9/2027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SOFR+710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7,565</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7,467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6,809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4.00%)</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5/8/2026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2,551</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2,491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7/6/2028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11,138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10,999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11/19/2026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line="192" w:lineRule="exact"/>
              <w:rPr>
                <w:sz w:val="20"/>
                <w:szCs w:val="20"/>
                <w:color w:val="auto"/>
              </w:rPr>
            </w:pPr>
            <w:r>
              <w:rPr>
                <w:rFonts w:ascii="Times New Roman" w:cs="Times New Roman" w:eastAsia="Times New Roman" w:hAnsi="Times New Roman"/>
                <w:sz w:val="10"/>
                <w:szCs w:val="10"/>
                <w:color w:val="auto"/>
              </w:rPr>
              <w:t xml:space="preserve">11.74 </w:t>
            </w:r>
            <w:r>
              <w:rPr>
                <w:rFonts w:ascii="Times New Roman" w:cs="Times New Roman" w:eastAsia="Times New Roman" w:hAnsi="Times New Roman"/>
                <w:sz w:val="19"/>
                <w:szCs w:val="19"/>
                <w:color w:val="auto"/>
                <w:vertAlign w:val="superscript"/>
              </w:rPr>
              <w:t>%</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2,803</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2,776</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12/18/2025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1,029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2/28/2028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4,938</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4,876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4,740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1/29/2026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4,875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12/20/2024</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11.13 %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SOFR+576</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12,432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12,322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10,878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11.52 %</w:t>
            </w: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3,749</w:t>
            </w:r>
          </w:p>
        </w:tc>
        <w:tc>
          <w:tcPr>
            <w:tcW w:w="1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3,676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8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1/3/2025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SOFR+620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9,522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12/20/2024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SOFR+760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5,167</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5,148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1.00%)</w:t>
            </w: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11,791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11,777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11,407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0.50%)</w:t>
            </w: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6/13/2029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4,950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4,802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12/18/2025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SOFR+865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13,787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13,579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13,580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5/17/2028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1,300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10/14/2025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11,796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11,739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10,598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7/17/2025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4,582</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4,577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4,112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4,047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4,022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12/11/2026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9,075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9,025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8,894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1,786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1,779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8/16/2027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14,738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10.75 %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346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7/18/2025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2,262</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10/31/2025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5,602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5,560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5,518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7/27/2026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5,403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5,382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8/31/2027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7,716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7,656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10.95 %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8,654</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8,556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8,654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6/16/2025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4,316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4/1/2028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14,670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14,565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13,379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6,892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(5)</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SOFR+685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3,521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Revolving Credit</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Facility </w:t>
            </w:r>
            <w:r>
              <w:rPr>
                <w:rFonts w:ascii="Times New Roman" w:cs="Times New Roman" w:eastAsia="Times New Roman" w:hAnsi="Times New Roman"/>
                <w:sz w:val="12"/>
                <w:szCs w:val="12"/>
                <w:color w:val="auto"/>
                <w:vertAlign w:val="superscript"/>
              </w:rPr>
              <w:t>(5)</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11.68 %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(3)(5)</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333</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2/27/2026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10,565</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10,491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10,460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16,732</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16,660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16,188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801,215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783,598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- 3.9%</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1,766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- 1,351.4%</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804,608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785,859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- 133.2%</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8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—1,484.6%</w:t>
            </w:r>
          </w:p>
        </w:tc>
        <w:tc>
          <w:tcPr>
            <w:tcW w:w="880" w:type="dxa"/>
            <w:vAlign w:val="bottom"/>
            <w:tcBorders>
              <w:bottom w:val="single" w:sz="8" w:color="CCECFF"/>
            </w:tcBorders>
            <w:shd w:val="clear" w:color="auto" w:fill="CCECFF"/>
          </w:tcPr>
          <w:p>
            <w:pPr>
              <w:spacing w:after="0"/>
              <w:rPr>
                <w:sz w:val="13"/>
                <w:szCs w:val="13"/>
                <w:color w:val="auto"/>
              </w:rPr>
            </w:pPr>
          </w:p>
        </w:tc>
        <w:tc>
          <w:tcPr>
            <w:tcW w:w="242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882,054</w:t>
            </w:r>
          </w:p>
        </w:tc>
        <w:tc>
          <w:tcPr>
            <w:tcW w:w="20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863,305</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88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(1,384.6)%</w:t>
            </w:r>
          </w:p>
        </w:tc>
        <w:tc>
          <w:tcPr>
            <w:tcW w:w="8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(805,155 )</w:t>
            </w:r>
          </w:p>
        </w:tc>
        <w:tc>
          <w:tcPr>
            <w:tcW w:w="0" w:type="dxa"/>
            <w:vAlign w:val="bottom"/>
          </w:tcPr>
          <w:p>
            <w:pPr>
              <w:spacing w:after="0"/>
              <w:rPr>
                <w:sz w:val="1"/>
                <w:szCs w:val="1"/>
                <w:color w:val="auto"/>
              </w:rPr>
            </w:pPr>
          </w:p>
        </w:tc>
      </w:tr>
      <w:tr>
        <w:trPr>
          <w:trHeight w:val="160"/>
        </w:trPr>
        <w:tc>
          <w:tcPr>
            <w:tcW w:w="288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80" w:type="dxa"/>
            <w:vAlign w:val="bottom"/>
            <w:tcBorders>
              <w:bottom w:val="single" w:sz="8" w:color="CCECFF"/>
            </w:tcBorders>
            <w:shd w:val="clear" w:color="auto" w:fill="CCECFF"/>
          </w:tcPr>
          <w:p>
            <w:pPr>
              <w:spacing w:after="0"/>
              <w:rPr>
                <w:sz w:val="13"/>
                <w:szCs w:val="13"/>
                <w:color w:val="auto"/>
              </w:rPr>
            </w:pPr>
          </w:p>
        </w:tc>
        <w:tc>
          <w:tcPr>
            <w:tcW w:w="242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58,150</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1"/>
          <w:szCs w:val="11"/>
          <w:color w:val="auto"/>
        </w:rPr>
        <w:t>(1)Represents floating rate instruments that accrue interest at a predetermined spread relative to an index, typically the applicable LIBOR, or “L”, Secured Overnight Financing Rate or "SOFR", or Prime rate or “P”. The spread may change based on the type of rate used. The terms in the Consolidated Schedule of Investments disclose the actual interest rate in effect as of the reporting period. LIBOR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(2)Valued based on PSSL’s accounting policy.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(3)Represents the purchase of a security with a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(4)Non-accrual security</w:t>
      </w:r>
    </w:p>
    <w:p>
      <w:pPr>
        <w:spacing w:after="0" w:line="3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0"/>
          <w:szCs w:val="10"/>
          <w:color w:val="auto"/>
        </w:rPr>
        <w:t>(5)The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(6)All investments are in US Companies unless noted otherwise.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2"/>
        </w:trPr>
        <w:tc>
          <w:tcPr>
            <w:tcW w:w="72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PSSL ($ in thousands):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5"/>
                <w:szCs w:val="15"/>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52"/>
        </w:trPr>
        <w:tc>
          <w:tcPr>
            <w:tcW w:w="72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cost—$928,983 and $804,608, respectively)</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913,281</w:t>
            </w:r>
          </w:p>
        </w:tc>
        <w:tc>
          <w:tcPr>
            <w:tcW w:w="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785,859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(cost—$68,429 and $77,446, respectively)</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68,429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2032 Asset-backed debt, net (par—$0 and $246,000)</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243,973</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 and $246,000, respectively)</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243,934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243,483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2036 Asset-backed debt, net (par—$246,000 and $0, respectively)</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244,372</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13,466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9,281</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14,291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to affiliate</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2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923,575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Commitments and contingencies </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64,547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24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As of both September 30, 2024 and 2023, PSSL had $0.6 million and $1.1 million unfunded commitments to fund investments, respectively.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PSSL ($ in thousands):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7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56"/>
        </w:trPr>
        <w:tc>
          <w:tcPr>
            <w:tcW w:w="7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0"/>
        </w:trPr>
        <w:tc>
          <w:tcPr>
            <w:tcW w:w="7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56"/>
        </w:trPr>
        <w:tc>
          <w:tcPr>
            <w:tcW w:w="7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109,094</w:t>
            </w:r>
          </w:p>
        </w:tc>
        <w:tc>
          <w:tcPr>
            <w:tcW w:w="2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89,547</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110,285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90,844</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and expenses on credit facility and asset-backed debt</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54,814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42,797</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34,186</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30,325</w:t>
            </w: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line="156" w:lineRule="exact"/>
              <w:rPr>
                <w:sz w:val="20"/>
                <w:szCs w:val="20"/>
                <w:color w:val="auto"/>
              </w:rPr>
            </w:pPr>
            <w:r>
              <w:rPr>
                <w:rFonts w:ascii="Times New Roman" w:cs="Times New Roman" w:eastAsia="Times New Roman" w:hAnsi="Times New Roman"/>
                <w:sz w:val="13"/>
                <w:szCs w:val="13"/>
                <w:color w:val="auto"/>
              </w:rPr>
              <w:t xml:space="preserve">Other general and administrative expenses </w:t>
            </w:r>
            <w:r>
              <w:rPr>
                <w:rFonts w:ascii="Times New Roman" w:cs="Times New Roman" w:eastAsia="Times New Roman" w:hAnsi="Times New Roman"/>
                <w:sz w:val="16"/>
                <w:szCs w:val="16"/>
                <w:color w:val="auto"/>
                <w:vertAlign w:val="superscript"/>
              </w:rPr>
              <w:t>(1)</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debt issuance costs</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92,818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76,341</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Debt issuance costs</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93,817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76,341</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16,468</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14,503</w:t>
            </w: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(loss) gain on investments and debt: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(loss) gain on investments</w:t>
            </w:r>
          </w:p>
        </w:tc>
        <w:tc>
          <w:tcPr>
            <w:tcW w:w="200" w:type="dxa"/>
            <w:vAlign w:val="bottom"/>
            <w:shd w:val="clear" w:color="auto" w:fill="CCECFF"/>
          </w:tcPr>
          <w:p>
            <w:pPr>
              <w:spacing w:after="0"/>
              <w:rPr>
                <w:sz w:val="13"/>
                <w:szCs w:val="13"/>
                <w:color w:val="auto"/>
              </w:rPr>
            </w:pPr>
          </w:p>
        </w:tc>
        <w:tc>
          <w:tcPr>
            <w:tcW w:w="15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(8,914 )</w:t>
            </w:r>
          </w:p>
        </w:tc>
        <w:tc>
          <w:tcPr>
            <w:tcW w:w="18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(6,328 )</w:t>
            </w:r>
          </w:p>
        </w:tc>
      </w:tr>
      <w:tr>
        <w:trPr>
          <w:trHeight w:val="156"/>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extinguishment</w:t>
            </w:r>
          </w:p>
        </w:tc>
        <w:tc>
          <w:tcPr>
            <w:tcW w:w="20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(705 )</w:t>
            </w:r>
          </w:p>
        </w:tc>
        <w:tc>
          <w:tcPr>
            <w:tcW w:w="18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(depreciation) appreciation on investments</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3,048</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(3,171 )</w:t>
            </w: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 and debt</w:t>
            </w:r>
          </w:p>
        </w:tc>
        <w:tc>
          <w:tcPr>
            <w:tcW w:w="20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(6,571 )</w:t>
            </w:r>
          </w:p>
        </w:tc>
        <w:tc>
          <w:tcPr>
            <w:tcW w:w="180" w:type="dxa"/>
            <w:vAlign w:val="bottom"/>
          </w:tcPr>
          <w:p>
            <w:pPr>
              <w:spacing w:after="0"/>
              <w:rPr>
                <w:sz w:val="13"/>
                <w:szCs w:val="13"/>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(9,499 )</w:t>
            </w:r>
          </w:p>
        </w:tc>
      </w:tr>
      <w:tr>
        <w:trPr>
          <w:trHeight w:val="196"/>
        </w:trPr>
        <w:tc>
          <w:tcPr>
            <w:tcW w:w="73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9,897</w:t>
            </w:r>
          </w:p>
        </w:tc>
        <w:tc>
          <w:tcPr>
            <w:tcW w:w="28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5,004</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No management or incentive fees are payable by PSSL. If any fees were to be charged, they would be separately disclosed in the Statement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31" w:lineRule="exact"/>
        <w:rPr>
          <w:sz w:val="20"/>
          <w:szCs w:val="20"/>
          <w:color w:val="auto"/>
        </w:rPr>
      </w:pPr>
    </w:p>
    <w:p>
      <w:pPr>
        <w:jc w:val="both"/>
        <w:ind w:right="80" w:firstLine="420"/>
        <w:spacing w:after="0" w:line="268"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23"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 -term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94"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During the years ended September 30, 2024 and 2023, we declared distributions of $1.23 per share and $1.19 per share, respectively, for total distributions of $80.6 million and $ 60.5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intend to continue to make monthly distributions to our stockholders. Our monthly distributions, if any, are determined by our board of directors quarterly.</w:t>
      </w:r>
    </w:p>
    <w:p>
      <w:pPr>
        <w:spacing w:after="0" w:line="163" w:lineRule="exact"/>
        <w:rPr>
          <w:sz w:val="20"/>
          <w:szCs w:val="20"/>
          <w:color w:val="auto"/>
        </w:rPr>
      </w:pPr>
    </w:p>
    <w:p>
      <w:pPr>
        <w:jc w:val="center"/>
        <w:ind w:left="700" w:right="380"/>
        <w:spacing w:after="0" w:line="440" w:lineRule="auto"/>
        <w:rPr>
          <w:sz w:val="20"/>
          <w:szCs w:val="20"/>
          <w:color w:val="auto"/>
        </w:rPr>
      </w:pPr>
      <w:r>
        <w:rPr>
          <w:rFonts w:ascii="Times New Roman" w:cs="Times New Roman" w:eastAsia="Times New Roman" w:hAnsi="Times New Roman"/>
          <w:sz w:val="13"/>
          <w:szCs w:val="13"/>
          <w:color w:val="auto"/>
        </w:rPr>
        <w:t>On November 22, 2017, we terminated our dividend reinvestment plan. The termination of the plan applies to the reinvestment of cash distributions paid on or after December 22, 2017.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60" w:name="page61"/>
    <w:bookmarkEnd w:id="60"/>
    <w:p>
      <w:pPr>
        <w:ind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31"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adopted ASU 2020-04, the effect of which was not material to the consolidated financial statements and the notes thereto.</w:t>
      </w:r>
    </w:p>
    <w:p>
      <w:pPr>
        <w:spacing w:after="0" w:line="94"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which was not material to the consolidated financial statements and the notes thereto.</w:t>
      </w:r>
    </w:p>
    <w:p>
      <w:pPr>
        <w:spacing w:after="0" w:line="130"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2" w:lineRule="exact"/>
        <w:rPr>
          <w:sz w:val="20"/>
          <w:szCs w:val="20"/>
          <w:color w:val="auto"/>
        </w:rPr>
      </w:pPr>
    </w:p>
    <w:p>
      <w:pPr>
        <w:ind w:right="140" w:firstLine="420"/>
        <w:spacing w:after="0" w:line="256"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issued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our fiscal years beginning December 15, 2024, and should be applied on a retrospective basis to all periods presented, noting early adoption is permitted. The Company is currently evaluating the impact of this standard on its consolidated financial statements and related disclosures.</w:t>
      </w:r>
    </w:p>
    <w:p>
      <w:pPr>
        <w:spacing w:after="0" w:line="132" w:lineRule="exact"/>
        <w:rPr>
          <w:sz w:val="20"/>
          <w:szCs w:val="20"/>
          <w:color w:val="auto"/>
        </w:rPr>
      </w:pPr>
    </w:p>
    <w:p>
      <w:pPr>
        <w:jc w:val="both"/>
        <w:ind w:right="38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financial statements.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34" w:right="72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color w:val="auto"/>
        </w:rPr>
        <w:t>Item 7A. Quantitative and Qualitative Disclosures About Market Risk</w:t>
      </w:r>
    </w:p>
    <w:p>
      <w:pPr>
        <w:spacing w:after="0" w:line="129" w:lineRule="exact"/>
        <w:rPr>
          <w:sz w:val="20"/>
          <w:szCs w:val="20"/>
          <w:color w:val="auto"/>
        </w:rPr>
      </w:pPr>
    </w:p>
    <w:p>
      <w:pPr>
        <w:ind w:left="80" w:firstLine="420"/>
        <w:spacing w:after="0" w:line="259"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September 30, 2024, our debt portfolio consisted of approximately 100% variable-rate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94" w:lineRule="exact"/>
        <w:rPr>
          <w:sz w:val="20"/>
          <w:szCs w:val="20"/>
          <w:color w:val="auto"/>
        </w:rPr>
      </w:pPr>
    </w:p>
    <w:p>
      <w:pPr>
        <w:ind w:left="80" w:right="160" w:firstLine="420"/>
        <w:spacing w:after="0" w:line="286"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3000" w:type="dxa"/>
            <w:vAlign w:val="bottom"/>
          </w:tcPr>
          <w:p>
            <w:pPr>
              <w:spacing w:after="0"/>
              <w:rPr>
                <w:sz w:val="13"/>
                <w:szCs w:val="13"/>
                <w:color w:val="auto"/>
              </w:rPr>
            </w:pPr>
          </w:p>
        </w:tc>
        <w:tc>
          <w:tcPr>
            <w:tcW w:w="326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49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r>
      <w:tr>
        <w:trPr>
          <w:trHeight w:val="156"/>
        </w:trPr>
        <w:tc>
          <w:tcPr>
            <w:tcW w:w="3000" w:type="dxa"/>
            <w:vAlign w:val="bottom"/>
          </w:tcPr>
          <w:p>
            <w:pPr>
              <w:spacing w:after="0"/>
              <w:rPr>
                <w:sz w:val="13"/>
                <w:szCs w:val="13"/>
                <w:color w:val="auto"/>
              </w:rPr>
            </w:pPr>
          </w:p>
        </w:tc>
        <w:tc>
          <w:tcPr>
            <w:tcW w:w="326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rPr>
              <w:t>Net of Interest</w:t>
            </w:r>
          </w:p>
        </w:tc>
      </w:tr>
      <w:tr>
        <w:trPr>
          <w:trHeight w:val="170"/>
        </w:trPr>
        <w:tc>
          <w:tcPr>
            <w:tcW w:w="3000" w:type="dxa"/>
            <w:vAlign w:val="bottom"/>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326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80" w:type="dxa"/>
            <w:vAlign w:val="bottom"/>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rPr>
              <w:t>Expense Per Share</w:t>
            </w:r>
          </w:p>
        </w:tc>
      </w:tr>
      <w:tr>
        <w:trPr>
          <w:trHeight w:val="156"/>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Down 1%</w:t>
            </w:r>
          </w:p>
        </w:tc>
        <w:tc>
          <w:tcPr>
            <w:tcW w:w="3260" w:type="dxa"/>
            <w:vAlign w:val="bottom"/>
            <w:shd w:val="clear" w:color="auto" w:fill="CCECFF"/>
          </w:tcPr>
          <w:p>
            <w:pPr>
              <w:jc w:val="right"/>
              <w:ind w:right="25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(7,730 )</w:t>
            </w:r>
          </w:p>
        </w:tc>
        <w:tc>
          <w:tcPr>
            <w:tcW w:w="600" w:type="dxa"/>
            <w:vAlign w:val="bottom"/>
            <w:shd w:val="clear" w:color="auto" w:fill="CCECFF"/>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(0.10 )</w:t>
            </w:r>
          </w:p>
        </w:tc>
      </w:tr>
      <w:tr>
        <w:trPr>
          <w:trHeight w:val="156"/>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Up 1%</w:t>
            </w:r>
          </w:p>
        </w:tc>
        <w:tc>
          <w:tcPr>
            <w:tcW w:w="3260" w:type="dxa"/>
            <w:vAlign w:val="bottom"/>
          </w:tcPr>
          <w:p>
            <w:pPr>
              <w:spacing w:after="0"/>
              <w:rPr>
                <w:sz w:val="13"/>
                <w:szCs w:val="13"/>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7,730</w:t>
            </w:r>
          </w:p>
        </w:tc>
        <w:tc>
          <w:tcPr>
            <w:tcW w:w="600" w:type="dxa"/>
            <w:vAlign w:val="bottom"/>
          </w:tcPr>
          <w:p>
            <w:pPr>
              <w:spacing w:after="0"/>
              <w:rPr>
                <w:sz w:val="13"/>
                <w:szCs w:val="13"/>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0.10</w:t>
            </w:r>
          </w:p>
        </w:tc>
      </w:tr>
      <w:tr>
        <w:trPr>
          <w:trHeight w:val="156"/>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Up 2%</w:t>
            </w:r>
          </w:p>
        </w:tc>
        <w:tc>
          <w:tcPr>
            <w:tcW w:w="3260" w:type="dxa"/>
            <w:vAlign w:val="bottom"/>
            <w:shd w:val="clear" w:color="auto" w:fill="CCECFF"/>
          </w:tcPr>
          <w:p>
            <w:pPr>
              <w:spacing w:after="0"/>
              <w:rPr>
                <w:sz w:val="13"/>
                <w:szCs w:val="13"/>
                <w:color w:val="auto"/>
              </w:rPr>
            </w:pPr>
          </w:p>
        </w:tc>
        <w:tc>
          <w:tcPr>
            <w:tcW w:w="8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15,460</w:t>
            </w:r>
          </w:p>
        </w:tc>
        <w:tc>
          <w:tcPr>
            <w:tcW w:w="600" w:type="dxa"/>
            <w:vAlign w:val="bottom"/>
            <w:shd w:val="clear" w:color="auto" w:fill="CCECFF"/>
          </w:tcPr>
          <w:p>
            <w:pPr>
              <w:spacing w:after="0"/>
              <w:rPr>
                <w:sz w:val="13"/>
                <w:szCs w:val="13"/>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0.20</w:t>
            </w:r>
          </w:p>
        </w:tc>
      </w:tr>
      <w:tr>
        <w:trPr>
          <w:trHeight w:val="156"/>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Up 3%</w:t>
            </w:r>
          </w:p>
        </w:tc>
        <w:tc>
          <w:tcPr>
            <w:tcW w:w="3260" w:type="dxa"/>
            <w:vAlign w:val="bottom"/>
          </w:tcPr>
          <w:p>
            <w:pPr>
              <w:spacing w:after="0"/>
              <w:rPr>
                <w:sz w:val="13"/>
                <w:szCs w:val="13"/>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23,190</w:t>
            </w:r>
          </w:p>
        </w:tc>
        <w:tc>
          <w:tcPr>
            <w:tcW w:w="600" w:type="dxa"/>
            <w:vAlign w:val="bottom"/>
          </w:tcPr>
          <w:p>
            <w:pPr>
              <w:spacing w:after="0"/>
              <w:rPr>
                <w:sz w:val="13"/>
                <w:szCs w:val="13"/>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0.30</w:t>
            </w:r>
          </w:p>
        </w:tc>
      </w:tr>
      <w:tr>
        <w:trPr>
          <w:trHeight w:val="204"/>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Up 4%</w:t>
            </w:r>
          </w:p>
        </w:tc>
        <w:tc>
          <w:tcPr>
            <w:tcW w:w="3260" w:type="dxa"/>
            <w:vAlign w:val="bottom"/>
            <w:shd w:val="clear" w:color="auto" w:fill="CCECFF"/>
          </w:tcPr>
          <w:p>
            <w:pPr>
              <w:spacing w:after="0"/>
              <w:rPr>
                <w:sz w:val="17"/>
                <w:szCs w:val="17"/>
                <w:color w:val="auto"/>
              </w:rPr>
            </w:pPr>
          </w:p>
        </w:tc>
        <w:tc>
          <w:tcPr>
            <w:tcW w:w="8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30,938</w:t>
            </w:r>
          </w:p>
        </w:tc>
        <w:tc>
          <w:tcPr>
            <w:tcW w:w="600" w:type="dxa"/>
            <w:vAlign w:val="bottom"/>
            <w:shd w:val="clear" w:color="auto" w:fill="CCECFF"/>
          </w:tcPr>
          <w:p>
            <w:pPr>
              <w:spacing w:after="0"/>
              <w:rPr>
                <w:sz w:val="17"/>
                <w:szCs w:val="17"/>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0.40</w:t>
            </w:r>
          </w:p>
        </w:tc>
      </w:tr>
    </w:tbl>
    <w:p>
      <w:pPr>
        <w:spacing w:after="0" w:line="144" w:lineRule="exact"/>
        <w:rPr>
          <w:sz w:val="20"/>
          <w:szCs w:val="20"/>
          <w:color w:val="auto"/>
        </w:rPr>
      </w:pPr>
    </w:p>
    <w:p>
      <w:pPr>
        <w:ind w:left="80" w:right="260" w:firstLine="420"/>
        <w:spacing w:after="0" w:line="268"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87" w:lineRule="exact"/>
        <w:rPr>
          <w:sz w:val="20"/>
          <w:szCs w:val="20"/>
          <w:color w:val="auto"/>
        </w:rPr>
      </w:pPr>
    </w:p>
    <w:p>
      <w:pPr>
        <w:ind w:left="80" w:right="8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87" w:lineRule="exact"/>
        <w:rPr>
          <w:sz w:val="20"/>
          <w:szCs w:val="20"/>
          <w:color w:val="auto"/>
        </w:rPr>
      </w:pPr>
    </w:p>
    <w:p>
      <w:pPr>
        <w:ind w:left="80" w:firstLine="420"/>
        <w:spacing w:after="0" w:line="262"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the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32" w:right="68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4"/>
        </w:trPr>
        <w:tc>
          <w:tcPr>
            <w:tcW w:w="800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Item 8. Consolidated Financial Statements and Supplementary Data</w:t>
            </w:r>
          </w:p>
        </w:tc>
        <w:tc>
          <w:tcPr>
            <w:tcW w:w="2640" w:type="dxa"/>
            <w:vAlign w:val="bottom"/>
          </w:tcPr>
          <w:p>
            <w:pPr>
              <w:spacing w:after="0"/>
              <w:rPr>
                <w:sz w:val="15"/>
                <w:szCs w:val="15"/>
                <w:color w:val="auto"/>
              </w:rPr>
            </w:pPr>
          </w:p>
        </w:tc>
      </w:tr>
      <w:tr>
        <w:trPr>
          <w:trHeight w:val="336"/>
        </w:trPr>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84"/>
        </w:trPr>
        <w:tc>
          <w:tcPr>
            <w:tcW w:w="100" w:type="dxa"/>
            <w:vAlign w:val="bottom"/>
          </w:tcPr>
          <w:p>
            <w:pPr>
              <w:spacing w:after="0"/>
              <w:rPr>
                <w:sz w:val="24"/>
                <w:szCs w:val="24"/>
                <w:color w:val="auto"/>
              </w:rPr>
            </w:pPr>
          </w:p>
        </w:tc>
        <w:tc>
          <w:tcPr>
            <w:tcW w:w="360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rPr>
            </w:pPr>
            <w:hyperlink w:anchor="page64">
              <w:r>
                <w:rPr>
                  <w:rFonts w:ascii="Times New Roman" w:cs="Times New Roman" w:eastAsia="Times New Roman" w:hAnsi="Times New Roman"/>
                  <w:sz w:val="13"/>
                  <w:szCs w:val="13"/>
                  <w:color w:val="0000FF"/>
                </w:rPr>
                <w:t>Management’s Report on Internal Control Over Financial Reporting</w:t>
              </w:r>
            </w:hyperlink>
          </w:p>
        </w:tc>
        <w:tc>
          <w:tcPr>
            <w:tcW w:w="4300" w:type="dxa"/>
            <w:vAlign w:val="bottom"/>
            <w:gridSpan w:val="8"/>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92"/>
        </w:trPr>
        <w:tc>
          <w:tcPr>
            <w:tcW w:w="100" w:type="dxa"/>
            <w:vAlign w:val="bottom"/>
          </w:tcPr>
          <w:p>
            <w:pPr>
              <w:spacing w:after="0"/>
              <w:rPr>
                <w:sz w:val="24"/>
                <w:szCs w:val="24"/>
                <w:color w:val="auto"/>
              </w:rPr>
            </w:pPr>
          </w:p>
        </w:tc>
        <w:tc>
          <w:tcPr>
            <w:tcW w:w="5520" w:type="dxa"/>
            <w:vAlign w:val="bottom"/>
            <w:tcBorders>
              <w:bottom w:val="single" w:sz="8" w:color="0000FF"/>
            </w:tcBorders>
            <w:gridSpan w:val="8"/>
          </w:tcPr>
          <w:p>
            <w:pPr>
              <w:spacing w:after="0"/>
              <w:rPr>
                <w:rFonts w:ascii="Times New Roman" w:cs="Times New Roman" w:eastAsia="Times New Roman" w:hAnsi="Times New Roman"/>
                <w:sz w:val="13"/>
                <w:szCs w:val="13"/>
                <w:color w:val="0000FF"/>
              </w:rPr>
            </w:pPr>
            <w:hyperlink w:anchor="page65">
              <w:r>
                <w:rPr>
                  <w:rFonts w:ascii="Times New Roman" w:cs="Times New Roman" w:eastAsia="Times New Roman" w:hAnsi="Times New Roman"/>
                  <w:sz w:val="13"/>
                  <w:szCs w:val="13"/>
                  <w:color w:val="0000FF"/>
                </w:rPr>
                <w:t>Report of Independent Registered Public Accounting Firm on Internal Control Over Financial Reporting</w:t>
              </w:r>
            </w:hyperlink>
          </w:p>
        </w:tc>
        <w:tc>
          <w:tcPr>
            <w:tcW w:w="2380" w:type="dxa"/>
            <w:vAlign w:val="bottom"/>
            <w:gridSpan w:val="2"/>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292"/>
        </w:trPr>
        <w:tc>
          <w:tcPr>
            <w:tcW w:w="100" w:type="dxa"/>
            <w:vAlign w:val="bottom"/>
          </w:tcPr>
          <w:p>
            <w:pPr>
              <w:spacing w:after="0"/>
              <w:rPr>
                <w:sz w:val="24"/>
                <w:szCs w:val="24"/>
                <w:color w:val="auto"/>
              </w:rPr>
            </w:pPr>
          </w:p>
        </w:tc>
        <w:tc>
          <w:tcPr>
            <w:tcW w:w="7900" w:type="dxa"/>
            <w:vAlign w:val="bottom"/>
            <w:gridSpan w:val="10"/>
          </w:tcPr>
          <w:p>
            <w:pPr>
              <w:spacing w:after="0"/>
              <w:rPr>
                <w:rFonts w:ascii="Times New Roman" w:cs="Times New Roman" w:eastAsia="Times New Roman" w:hAnsi="Times New Roman"/>
                <w:sz w:val="13"/>
                <w:szCs w:val="13"/>
                <w:color w:val="0000FF"/>
              </w:rPr>
            </w:pPr>
            <w:hyperlink w:anchor="page66">
              <w:r>
                <w:rPr>
                  <w:rFonts w:ascii="Times New Roman" w:cs="Times New Roman" w:eastAsia="Times New Roman" w:hAnsi="Times New Roman"/>
                  <w:sz w:val="13"/>
                  <w:szCs w:val="13"/>
                  <w:color w:val="0000FF"/>
                </w:rPr>
                <w:t>Report of Independent Registered Public Accounting Firm (PCAOB ID - 49)</w:t>
              </w:r>
            </w:hyperlink>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2"/>
        </w:trPr>
        <w:tc>
          <w:tcPr>
            <w:tcW w:w="100" w:type="dxa"/>
            <w:vAlign w:val="bottom"/>
          </w:tcPr>
          <w:p>
            <w:pPr>
              <w:spacing w:after="0"/>
              <w:rPr>
                <w:sz w:val="24"/>
                <w:szCs w:val="24"/>
                <w:color w:val="auto"/>
              </w:rPr>
            </w:pPr>
          </w:p>
        </w:tc>
        <w:tc>
          <w:tcPr>
            <w:tcW w:w="452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rPr>
            </w:pPr>
            <w:hyperlink w:anchor="page68">
              <w:r>
                <w:rPr>
                  <w:rFonts w:ascii="Times New Roman" w:cs="Times New Roman" w:eastAsia="Times New Roman" w:hAnsi="Times New Roman"/>
                  <w:sz w:val="13"/>
                  <w:szCs w:val="13"/>
                  <w:color w:val="0000FF"/>
                </w:rPr>
                <w:t>Consolidated Statements of Assets and Liabilities as of September 30, 2024 and 2023</w:t>
              </w:r>
            </w:hyperlink>
          </w:p>
        </w:tc>
        <w:tc>
          <w:tcPr>
            <w:tcW w:w="3380" w:type="dxa"/>
            <w:vAlign w:val="bottom"/>
            <w:gridSpan w:val="5"/>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92"/>
        </w:trPr>
        <w:tc>
          <w:tcPr>
            <w:tcW w:w="100" w:type="dxa"/>
            <w:vAlign w:val="bottom"/>
          </w:tcPr>
          <w:p>
            <w:pPr>
              <w:spacing w:after="0"/>
              <w:rPr>
                <w:sz w:val="24"/>
                <w:szCs w:val="24"/>
                <w:color w:val="auto"/>
              </w:rPr>
            </w:pPr>
          </w:p>
        </w:tc>
        <w:tc>
          <w:tcPr>
            <w:tcW w:w="7900" w:type="dxa"/>
            <w:vAlign w:val="bottom"/>
            <w:gridSpan w:val="10"/>
          </w:tcPr>
          <w:p>
            <w:pPr>
              <w:spacing w:after="0"/>
              <w:rPr>
                <w:rFonts w:ascii="Times New Roman" w:cs="Times New Roman" w:eastAsia="Times New Roman" w:hAnsi="Times New Roman"/>
                <w:sz w:val="13"/>
                <w:szCs w:val="13"/>
                <w:color w:val="0000FF"/>
              </w:rPr>
            </w:pPr>
            <w:hyperlink w:anchor="page69">
              <w:r>
                <w:rPr>
                  <w:rFonts w:ascii="Times New Roman" w:cs="Times New Roman" w:eastAsia="Times New Roman" w:hAnsi="Times New Roman"/>
                  <w:sz w:val="13"/>
                  <w:szCs w:val="13"/>
                  <w:color w:val="0000FF"/>
                </w:rPr>
                <w:t>Consolidated Statements of Operations for the years ended September 30, 2024, 2023 and 2022</w:t>
              </w:r>
            </w:hyperlink>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2"/>
        </w:trPr>
        <w:tc>
          <w:tcPr>
            <w:tcW w:w="100" w:type="dxa"/>
            <w:vAlign w:val="bottom"/>
          </w:tcPr>
          <w:p>
            <w:pPr>
              <w:spacing w:after="0"/>
              <w:rPr>
                <w:sz w:val="24"/>
                <w:szCs w:val="24"/>
                <w:color w:val="auto"/>
              </w:rPr>
            </w:pPr>
          </w:p>
        </w:tc>
        <w:tc>
          <w:tcPr>
            <w:tcW w:w="566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w:anchor="page70">
              <w:r>
                <w:rPr>
                  <w:rFonts w:ascii="Times New Roman" w:cs="Times New Roman" w:eastAsia="Times New Roman" w:hAnsi="Times New Roman"/>
                  <w:sz w:val="13"/>
                  <w:szCs w:val="13"/>
                  <w:color w:val="0000FF"/>
                </w:rPr>
                <w:t>Consolidated Statements of Changes in Net Assets for the years ended September 30, 2024, 2023 and 2022</w:t>
              </w:r>
            </w:hyperlink>
          </w:p>
        </w:tc>
        <w:tc>
          <w:tcPr>
            <w:tcW w:w="224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100" w:type="dxa"/>
            <w:vAlign w:val="bottom"/>
          </w:tcPr>
          <w:p>
            <w:pPr>
              <w:spacing w:after="0"/>
              <w:rPr>
                <w:sz w:val="24"/>
                <w:szCs w:val="24"/>
                <w:color w:val="auto"/>
              </w:rPr>
            </w:pPr>
          </w:p>
        </w:tc>
        <w:tc>
          <w:tcPr>
            <w:tcW w:w="7900" w:type="dxa"/>
            <w:vAlign w:val="bottom"/>
            <w:gridSpan w:val="10"/>
          </w:tcPr>
          <w:p>
            <w:pPr>
              <w:spacing w:after="0"/>
              <w:rPr>
                <w:rFonts w:ascii="Times New Roman" w:cs="Times New Roman" w:eastAsia="Times New Roman" w:hAnsi="Times New Roman"/>
                <w:sz w:val="13"/>
                <w:szCs w:val="13"/>
                <w:color w:val="0000FF"/>
              </w:rPr>
            </w:pPr>
            <w:hyperlink w:anchor="page71">
              <w:r>
                <w:rPr>
                  <w:rFonts w:ascii="Times New Roman" w:cs="Times New Roman" w:eastAsia="Times New Roman" w:hAnsi="Times New Roman"/>
                  <w:sz w:val="13"/>
                  <w:szCs w:val="13"/>
                  <w:color w:val="0000FF"/>
                </w:rPr>
                <w:t>Consolidated Statements of Cash Flows for the years ended September 30, 2024, 2023 and 2022</w:t>
              </w:r>
            </w:hyperlink>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292"/>
        </w:trPr>
        <w:tc>
          <w:tcPr>
            <w:tcW w:w="100" w:type="dxa"/>
            <w:vAlign w:val="bottom"/>
          </w:tcPr>
          <w:p>
            <w:pPr>
              <w:spacing w:after="0"/>
              <w:rPr>
                <w:sz w:val="24"/>
                <w:szCs w:val="24"/>
                <w:color w:val="auto"/>
              </w:rPr>
            </w:pPr>
          </w:p>
        </w:tc>
        <w:tc>
          <w:tcPr>
            <w:tcW w:w="39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3"/>
                <w:szCs w:val="13"/>
                <w:color w:val="0000FF"/>
              </w:rPr>
            </w:pPr>
            <w:hyperlink w:anchor="page72">
              <w:r>
                <w:rPr>
                  <w:rFonts w:ascii="Times New Roman" w:cs="Times New Roman" w:eastAsia="Times New Roman" w:hAnsi="Times New Roman"/>
                  <w:sz w:val="13"/>
                  <w:szCs w:val="13"/>
                  <w:color w:val="0000FF"/>
                </w:rPr>
                <w:t>Consolidated Schedules of Investments as of September 30, 2024 and 2023</w:t>
              </w:r>
            </w:hyperlink>
          </w:p>
        </w:tc>
        <w:tc>
          <w:tcPr>
            <w:tcW w:w="1100" w:type="dxa"/>
            <w:vAlign w:val="bottom"/>
            <w:tcBorders>
              <w:top w:val="single" w:sz="8" w:color="0000FF"/>
            </w:tcBorders>
            <w:gridSpan w:val="4"/>
          </w:tcPr>
          <w:p>
            <w:pPr>
              <w:spacing w:after="0"/>
              <w:rPr>
                <w:sz w:val="24"/>
                <w:szCs w:val="24"/>
                <w:color w:val="auto"/>
              </w:rPr>
            </w:pPr>
          </w:p>
        </w:tc>
        <w:tc>
          <w:tcPr>
            <w:tcW w:w="2820" w:type="dxa"/>
            <w:vAlign w:val="bottom"/>
            <w:gridSpan w:val="3"/>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292"/>
        </w:trPr>
        <w:tc>
          <w:tcPr>
            <w:tcW w:w="100" w:type="dxa"/>
            <w:vAlign w:val="bottom"/>
          </w:tcPr>
          <w:p>
            <w:pPr>
              <w:spacing w:after="0"/>
              <w:rPr>
                <w:sz w:val="24"/>
                <w:szCs w:val="24"/>
                <w:color w:val="auto"/>
              </w:rPr>
            </w:pPr>
          </w:p>
        </w:tc>
        <w:tc>
          <w:tcPr>
            <w:tcW w:w="2500" w:type="dxa"/>
            <w:vAlign w:val="bottom"/>
            <w:tcBorders>
              <w:bottom w:val="single" w:sz="8" w:color="0000FF"/>
            </w:tcBorders>
          </w:tcPr>
          <w:p>
            <w:pPr>
              <w:spacing w:after="0"/>
              <w:rPr>
                <w:rFonts w:ascii="Times New Roman" w:cs="Times New Roman" w:eastAsia="Times New Roman" w:hAnsi="Times New Roman"/>
                <w:sz w:val="13"/>
                <w:szCs w:val="13"/>
                <w:color w:val="0000FF"/>
              </w:rPr>
            </w:pPr>
            <w:hyperlink w:anchor="page86">
              <w:r>
                <w:rPr>
                  <w:rFonts w:ascii="Times New Roman" w:cs="Times New Roman" w:eastAsia="Times New Roman" w:hAnsi="Times New Roman"/>
                  <w:sz w:val="13"/>
                  <w:szCs w:val="13"/>
                  <w:color w:val="0000FF"/>
                </w:rPr>
                <w:t>Notes to the Consolidated Financial Statements</w:t>
              </w:r>
            </w:hyperlink>
          </w:p>
        </w:tc>
        <w:tc>
          <w:tcPr>
            <w:tcW w:w="5400" w:type="dxa"/>
            <w:vAlign w:val="bottom"/>
            <w:gridSpan w:val="9"/>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416"/>
        </w:trPr>
        <w:tc>
          <w:tcPr>
            <w:tcW w:w="5620" w:type="dxa"/>
            <w:vAlign w:val="bottom"/>
            <w:gridSpan w:val="9"/>
          </w:tcPr>
          <w:p>
            <w:pPr>
              <w:jc w:val="right"/>
              <w:ind w:right="180"/>
              <w:spacing w:after="0"/>
              <w:rPr>
                <w:sz w:val="20"/>
                <w:szCs w:val="20"/>
                <w:color w:val="auto"/>
              </w:rPr>
            </w:pPr>
            <w:r>
              <w:rPr>
                <w:rFonts w:ascii="Times New Roman" w:cs="Times New Roman" w:eastAsia="Times New Roman" w:hAnsi="Times New Roman"/>
                <w:sz w:val="13"/>
                <w:szCs w:val="13"/>
                <w:color w:val="auto"/>
              </w:rPr>
              <w:t>61</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680"/>
        </w:trPr>
        <w:tc>
          <w:tcPr>
            <w:tcW w:w="100" w:type="dxa"/>
            <w:vAlign w:val="bottom"/>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24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-27305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12" w:right="680"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Management’s Report on Internal Control Over Financial Reporting</w:t>
      </w:r>
    </w:p>
    <w:p>
      <w:pPr>
        <w:spacing w:after="0" w:line="165"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The management of PennantPark Floating Rate Capital, Ltd. (except where the context suggests otherwise, the terms “we,” “us,” “our” and “PennantPark Floating” refer to PennantPark Floating Rate Capital, Ltd.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2024. Our internal control system is a process designed to provide reasonable assurance to our management and board of directors regarding the preparation and fair presentation of published financial statements.</w:t>
      </w:r>
    </w:p>
    <w:p>
      <w:pPr>
        <w:spacing w:after="0" w:line="12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PennantPark Floating’s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Floating, and provide reasonable assurance regarding prevention or timely detection of unauthorized acquisition, use or disposition of our assets that could have a material effect on our financial statements.</w:t>
      </w:r>
    </w:p>
    <w:p>
      <w:pPr>
        <w:spacing w:after="0" w:line="127"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Management assessed the effectiveness of PennantPark Floating’s internal control over financial reporting as of September 30, 2024. In making this assessment, we used the criteria set forth by the Committee of Sponsoring Organizations of the Treadway Commission in 2013 Internal Control—Integrated Framework. Based on such assessment management has determined that, as of September 30, 2024, our internal control over financial reporting is effective based on those criteria.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2" w:right="700" w:bottom="1440" w:gutter="0" w:footer="0" w:header="0"/>
        </w:sectPr>
      </w:pPr>
    </w:p>
    <w:bookmarkStart w:id="64" w:name="page65"/>
    <w:bookmarkEnd w:id="64"/>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Floating Rate Capital Ltd. and Subsidiaries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Opinion on the Internal Control Over Financial Reporting</w:t>
      </w:r>
    </w:p>
    <w:p>
      <w:pPr>
        <w:spacing w:after="0" w:line="2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3"/>
          <w:szCs w:val="13"/>
          <w:color w:val="auto"/>
        </w:rPr>
        <w:t xml:space="preserve">We have audited PennantPark Floating Rate Capital Ltd. and Subsidiaries’ (the Company) internal control over financial reporting as of September 30, 2024, based on criteria established in </w:t>
      </w:r>
      <w:r>
        <w:rPr>
          <w:rFonts w:ascii="Times New Roman" w:cs="Times New Roman" w:eastAsia="Times New Roman" w:hAnsi="Times New Roman"/>
          <w:sz w:val="13"/>
          <w:szCs w:val="13"/>
          <w:i w:val="1"/>
          <w:iCs w:val="1"/>
          <w:color w:val="auto"/>
        </w:rPr>
        <w:t>Internal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Control—Integrated Framework </w:t>
      </w:r>
      <w:r>
        <w:rPr>
          <w:rFonts w:ascii="Times New Roman" w:cs="Times New Roman" w:eastAsia="Times New Roman" w:hAnsi="Times New Roman"/>
          <w:sz w:val="13"/>
          <w:szCs w:val="13"/>
          <w:color w:val="auto"/>
        </w:rPr>
        <w:t>issued by the Committee of Sponsoring Organizations of the Treadway Commission in 2013. In our opinion, the Company maintained, in all material respects,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effective internal control over financial reporting as of September 30, 2024, based on criteria established in </w:t>
      </w:r>
      <w:r>
        <w:rPr>
          <w:rFonts w:ascii="Times New Roman" w:cs="Times New Roman" w:eastAsia="Times New Roman" w:hAnsi="Times New Roman"/>
          <w:sz w:val="13"/>
          <w:szCs w:val="13"/>
          <w:i w:val="1"/>
          <w:iCs w:val="1"/>
          <w:color w:val="auto"/>
        </w:rPr>
        <w:t>Internal Control—Integrated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w:t>
      </w:r>
    </w:p>
    <w:p>
      <w:pPr>
        <w:spacing w:after="0" w:line="133" w:lineRule="exact"/>
        <w:rPr>
          <w:sz w:val="20"/>
          <w:szCs w:val="20"/>
          <w:color w:val="auto"/>
        </w:rPr>
      </w:pPr>
    </w:p>
    <w:p>
      <w:pPr>
        <w:ind w:right="40" w:firstLine="33"/>
        <w:spacing w:after="0" w:line="262"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(PCAOB), the consolidated statements of assets and liabilities, including the consolidated schedules of investments, as of September 30, 2024 and 2023, the related consolidated statements of operations, changes in net assets, and cash flows for each of the three years in the period ended September 30, 2024, and the related notes to the consolidated financial statements (collectively, the financial statements) of the Company and our report dated November 25, 2024, expressed an unqualified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25, 2024</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692150</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Floating Rate Capital Ltd. and Subsidiaries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3"/>
          <w:szCs w:val="13"/>
          <w:color w:val="auto"/>
        </w:rPr>
        <w:t>We have audited the accompanying consolidated statements of assets and liabilities of PennantPark Floating Rate Capital Ltd. and Subsidiaries (the Company), including the consolidated schedules of investments, as of September 30, 2024 and 2023, the related consolidated statements of operations, changes in net assets, and cash flows for each of the three years in the period ended September 30, 2024, and the related notes to the consolidated financial statements (collectively, the financial statements). In our opinion, the financial statements present fairly, in all material respects, the financial position of the Company as of September 30, 2024 and 2023, and the results of its operations, changes in net assets, and cash flows for each of the three years in the period ended September 30, 2024, in conformity with accounting principles generally accepted in the United States of America.</w:t>
      </w:r>
    </w:p>
    <w:p>
      <w:pPr>
        <w:spacing w:after="0" w:line="13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3"/>
          <w:szCs w:val="13"/>
          <w:color w:val="auto"/>
        </w:rPr>
        <w:t xml:space="preserve">We have also audited, in accordance with the standards of the Public Company Accounting Oversight Board (United States) (PCAOB), the Company's internal control over financial reporting as of September 30, 2024, based on criteria established in </w:t>
      </w:r>
      <w:r>
        <w:rPr>
          <w:rFonts w:ascii="Times New Roman" w:cs="Times New Roman" w:eastAsia="Times New Roman" w:hAnsi="Times New Roman"/>
          <w:sz w:val="13"/>
          <w:szCs w:val="13"/>
          <w:i w:val="1"/>
          <w:iCs w:val="1"/>
          <w:color w:val="auto"/>
        </w:rPr>
        <w:t>Internal Control—Integrated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 and our report dated November 25, 2024, expressed an unqualified opinion on the effectiveness of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1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September 30, 2024 and 2023, by correspondence with the custodians, underlying fund advisors, and by other appropriate auditing procedures.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Matters</w:t>
      </w:r>
    </w:p>
    <w:p>
      <w:pPr>
        <w:spacing w:after="0" w:line="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Level 3 Fair Value Measurements</w:t>
      </w:r>
    </w:p>
    <w:p>
      <w:pPr>
        <w:spacing w:after="0" w:line="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3"/>
          <w:szCs w:val="13"/>
          <w:color w:val="auto"/>
        </w:rPr>
        <w:t>The fair value of the Company’s investments valued using Level 3 fair value measurements was approximately $1,917.8 million as of September 30, 2024. The fair value of the Company’s financial instruments classified as liabilities valued using Level 3 fair value measurements was approximately $443.9 million as of September 30, 2024. As discussed in Notes 2 and 5 to the consolidated financial statements, the Company’s investment portfolio generally consists of illiquid securities, including debt and equity investments, which were acquired directly from the issuer. Such investments include first lien secured debt, second lien secured debt, subordinated debt and equity investments. Additionally, the Company has elected to apply the fair value option to certain financial instruments classified as liabilities. The inputs into the determination of fair value require significant management judgment or estimation.</w:t>
      </w:r>
    </w:p>
    <w:p>
      <w:pPr>
        <w:spacing w:after="0" w:line="13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3"/>
          <w:szCs w:val="13"/>
          <w:color w:val="auto"/>
        </w:rPr>
        <w:t>We identified Level 3 fair value measurements as a critical audit matter due to the subjective nature of the judgments necessary for management to select valuation techniques and the use of significant unobservable inputs to estimate the fair value. Auditing the reasonableness of management’s selection of valuation technique and the related unobservable inputs required a high degree of auditor judgment and increased audit effort, including the use of a valuation specialist.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primary procedures we performed to address this critical audit matter included the following, among others:</w:t>
      </w:r>
    </w:p>
    <w:p>
      <w:pPr>
        <w:spacing w:after="0" w:line="127" w:lineRule="exact"/>
        <w:rPr>
          <w:sz w:val="20"/>
          <w:szCs w:val="20"/>
          <w:color w:val="auto"/>
        </w:rPr>
      </w:pPr>
    </w:p>
    <w:p>
      <w:pPr>
        <w:jc w:val="both"/>
        <w:ind w:left="480" w:right="100"/>
        <w:spacing w:after="0" w:line="286" w:lineRule="auto"/>
        <w:rPr>
          <w:sz w:val="20"/>
          <w:szCs w:val="20"/>
          <w:color w:val="auto"/>
        </w:rPr>
      </w:pPr>
      <w:r>
        <w:rPr>
          <w:rFonts w:ascii="Times New Roman" w:cs="Times New Roman" w:eastAsia="Times New Roman" w:hAnsi="Times New Roman"/>
          <w:sz w:val="13"/>
          <w:szCs w:val="13"/>
          <w:color w:val="auto"/>
        </w:rPr>
        <w:t>•We obtained an understanding of the relevant controls related to management’s valuation of Level 3 fair value measurements, including those related to valuation techniques and significant unobservable inputs and tested such controls for design and operating effectiveness.</w:t>
      </w:r>
    </w:p>
    <w:p>
      <w:pPr>
        <w:spacing w:after="0" w:line="208" w:lineRule="exact"/>
        <w:rPr>
          <w:sz w:val="20"/>
          <w:szCs w:val="20"/>
          <w:color w:val="auto"/>
        </w:rPr>
      </w:pPr>
    </w:p>
    <w:p>
      <w:pPr>
        <w:jc w:val="both"/>
        <w:ind w:left="480" w:right="100"/>
        <w:spacing w:after="0" w:line="268" w:lineRule="auto"/>
        <w:rPr>
          <w:sz w:val="20"/>
          <w:szCs w:val="20"/>
          <w:color w:val="auto"/>
        </w:rPr>
      </w:pPr>
      <w:r>
        <w:rPr>
          <w:rFonts w:ascii="Times New Roman" w:cs="Times New Roman" w:eastAsia="Times New Roman" w:hAnsi="Times New Roman"/>
          <w:sz w:val="13"/>
          <w:szCs w:val="13"/>
          <w:color w:val="auto"/>
        </w:rPr>
        <w:t>•With the assistance of our valuation specialists, we evaluated the appropriateness of the selected valuation techniques, and any changes to selected valuation techniques from prior periods, used for Level 3 fair value measurements. For a sample of investments, we evaluated both the reasonableness of the significant unobservable inputs and the reasonableness of any significant changes in significant unobservable inputs from prior periods, when applicable, by comparing the unobservable inputs to external sources, including, but not limited to:</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•Historical operating results of the investee.</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•Available market data for comparable companies.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•Subsequent events and transactions, where available.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tested both the source information used to determine the unobservable input and the mathematical accuracy of the calculation used to compute the unobservable input for a sample of investments.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2013.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25, 2024</w:t>
      </w:r>
    </w:p>
    <w:p>
      <w:pPr>
        <w:spacing w:after="0" w:line="7"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14"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16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September 30, 2023</w:t>
            </w: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Investments at fair value</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Non-controlled, non-affiliated investments (cost—$1,622,669 and $768,240, respectively)</w:t>
            </w:r>
          </w:p>
        </w:tc>
        <w:tc>
          <w:tcPr>
            <w:tcW w:w="1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1,632,269</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772,178</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Controlled, affiliated investments (cost— $372,271 and $324,639, respectively)</w:t>
            </w: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351,235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294,996</w:t>
            </w: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Total of investments (cost—$1,994,940 and $1,092,878, respectively)</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1,983,504</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1,067,174</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and cash equivalents (cost—$112,046 and $100,555, respectively)</w:t>
            </w: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112,050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100,555</w:t>
            </w: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Interest receivable</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12,167</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10,423</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receivable</w:t>
            </w: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w:t>
            </w: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Due from affiliate</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291</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2,108,845</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1,179,611</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Credit Facility payable, at fair value (cost—$443,855 and $9,400, respectively)</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443,880</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9,400</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2023 Notes payable, at fair value (par—$0 and $76,219, respectively)</w:t>
            </w:r>
          </w:p>
        </w:tc>
        <w:tc>
          <w:tcPr>
            <w:tcW w:w="160" w:type="dxa"/>
            <w:vAlign w:val="bottom"/>
          </w:tcPr>
          <w:p>
            <w:pPr>
              <w:spacing w:after="0"/>
              <w:rPr>
                <w:sz w:val="12"/>
                <w:szCs w:val="12"/>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76,219</w:t>
            </w: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2026 Notes payable, net (par—$185,000)</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183,832</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183,054</w:t>
            </w:r>
          </w:p>
        </w:tc>
        <w:tc>
          <w:tcPr>
            <w:tcW w:w="80" w:type="dxa"/>
            <w:vAlign w:val="bottom"/>
            <w:shd w:val="clear" w:color="auto" w:fill="CCECFF"/>
          </w:tcPr>
          <w:p>
            <w:pPr>
              <w:spacing w:after="0"/>
              <w:rPr>
                <w:sz w:val="12"/>
                <w:szCs w:val="12"/>
                <w:color w:val="auto"/>
              </w:rPr>
            </w:pP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2031 Asset-Backed Debt, net (par—$0 and $228,000, respectively)</w:t>
            </w:r>
          </w:p>
        </w:tc>
        <w:tc>
          <w:tcPr>
            <w:tcW w:w="160" w:type="dxa"/>
            <w:vAlign w:val="bottom"/>
          </w:tcPr>
          <w:p>
            <w:pPr>
              <w:spacing w:after="0"/>
              <w:rPr>
                <w:sz w:val="15"/>
                <w:szCs w:val="15"/>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226,759</w:t>
            </w:r>
          </w:p>
        </w:tc>
        <w:tc>
          <w:tcPr>
            <w:tcW w:w="80" w:type="dxa"/>
            <w:vAlign w:val="bottom"/>
          </w:tcPr>
          <w:p>
            <w:pPr>
              <w:spacing w:after="0"/>
              <w:rPr>
                <w:sz w:val="15"/>
                <w:szCs w:val="15"/>
                <w:color w:val="auto"/>
              </w:rPr>
            </w:pP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2036 Asset-Backed Debt, net (par - $287,000 and $0, respectively)</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284,086</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2036-R Asset-Backed Debt, net (par—$266,000 and $0, respectively)</w:t>
            </w: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265,235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Payable for investments purchased</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20,363</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4,905</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payable on debt</w:t>
            </w: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14,645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8,615</w:t>
            </w: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Distributions payable</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7,834</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6,020</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Base management fee payable</w:t>
            </w: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2,759</w:t>
            </w:r>
          </w:p>
        </w:tc>
        <w:tc>
          <w:tcPr>
            <w:tcW w:w="80" w:type="dxa"/>
            <w:vAlign w:val="bottom"/>
          </w:tcPr>
          <w:p>
            <w:pPr>
              <w:spacing w:after="0"/>
              <w:rPr>
                <w:sz w:val="12"/>
                <w:szCs w:val="12"/>
                <w:color w:val="auto"/>
              </w:rPr>
            </w:pPr>
          </w:p>
        </w:tc>
      </w:tr>
      <w:tr>
        <w:trPr>
          <w:trHeight w:val="180"/>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Incentive fee payable</w:t>
            </w:r>
          </w:p>
        </w:tc>
        <w:tc>
          <w:tcPr>
            <w:tcW w:w="16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3,189</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4,628</w:t>
            </w:r>
          </w:p>
        </w:tc>
        <w:tc>
          <w:tcPr>
            <w:tcW w:w="80" w:type="dxa"/>
            <w:vAlign w:val="bottom"/>
            <w:shd w:val="clear" w:color="auto" w:fill="CCECFF"/>
          </w:tcPr>
          <w:p>
            <w:pPr>
              <w:spacing w:after="0"/>
              <w:rPr>
                <w:sz w:val="15"/>
                <w:szCs w:val="15"/>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1,287</w:t>
            </w: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Deferred tax liability</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1,712</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1,794</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Due to affiliates</w:t>
            </w:r>
          </w:p>
        </w:tc>
        <w:tc>
          <w:tcPr>
            <w:tcW w:w="160" w:type="dxa"/>
            <w:vAlign w:val="bottom"/>
          </w:tcPr>
          <w:p>
            <w:pPr>
              <w:spacing w:after="0"/>
              <w:rPr>
                <w:sz w:val="12"/>
                <w:szCs w:val="12"/>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1,231,551</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526,006</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Commitments and contingencies (See Note 12)</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33"/>
        </w:trPr>
        <w:tc>
          <w:tcPr>
            <w:tcW w:w="72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Common stock, 77,579,896 and 58,734,702 shares issued and outstanding, respectively</w:t>
            </w: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7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Par value $0.001 per share and 200,000,000 shares authorized</w:t>
            </w:r>
          </w:p>
        </w:tc>
        <w:tc>
          <w:tcPr>
            <w:tcW w:w="1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13"/>
                <w:szCs w:val="13"/>
                <w:color w:val="auto"/>
              </w:rPr>
            </w:pPr>
          </w:p>
        </w:tc>
      </w:tr>
      <w:tr>
        <w:trPr>
          <w:trHeight w:val="14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Paid-in capital in excess of par value</w:t>
            </w:r>
          </w:p>
        </w:tc>
        <w:tc>
          <w:tcPr>
            <w:tcW w:w="16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976,744</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765,187</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tcPr>
          <w:p>
            <w:pPr>
              <w:spacing w:after="0"/>
              <w:rPr>
                <w:sz w:val="12"/>
                <w:szCs w:val="12"/>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(99,528 )</w:t>
            </w:r>
          </w:p>
        </w:tc>
        <w:tc>
          <w:tcPr>
            <w:tcW w:w="160" w:type="dxa"/>
            <w:vAlign w:val="bottom"/>
          </w:tcPr>
          <w:p>
            <w:pPr>
              <w:spacing w:after="0"/>
              <w:rPr>
                <w:sz w:val="12"/>
                <w:szCs w:val="1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(111,641 )</w:t>
            </w:r>
          </w:p>
        </w:tc>
      </w:tr>
      <w:tr>
        <w:trPr>
          <w:trHeight w:val="144"/>
        </w:trPr>
        <w:tc>
          <w:tcPr>
            <w:tcW w:w="726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2"/>
                <w:szCs w:val="12"/>
                <w:b w:val="1"/>
                <w:bCs w:val="1"/>
                <w:color w:val="auto"/>
              </w:rPr>
              <w:t>Total net assets</w:t>
            </w:r>
          </w:p>
        </w:tc>
        <w:tc>
          <w:tcPr>
            <w:tcW w:w="1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877,294</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653,605</w:t>
            </w:r>
          </w:p>
        </w:tc>
        <w:tc>
          <w:tcPr>
            <w:tcW w:w="80" w:type="dxa"/>
            <w:vAlign w:val="bottom"/>
            <w:shd w:val="clear" w:color="auto" w:fill="CCECFF"/>
          </w:tcPr>
          <w:p>
            <w:pPr>
              <w:spacing w:after="0"/>
              <w:rPr>
                <w:sz w:val="12"/>
                <w:szCs w:val="12"/>
                <w:color w:val="auto"/>
              </w:rPr>
            </w:pPr>
          </w:p>
        </w:tc>
      </w:tr>
      <w:tr>
        <w:trPr>
          <w:trHeight w:val="144"/>
        </w:trPr>
        <w:tc>
          <w:tcPr>
            <w:tcW w:w="7260" w:type="dxa"/>
            <w:vAlign w:val="bottom"/>
          </w:tcPr>
          <w:p>
            <w:pPr>
              <w:ind w:left="500"/>
              <w:spacing w:after="0"/>
              <w:rPr>
                <w:sz w:val="20"/>
                <w:szCs w:val="20"/>
                <w:color w:val="auto"/>
              </w:rPr>
            </w:pPr>
            <w:r>
              <w:rPr>
                <w:rFonts w:ascii="Times New Roman" w:cs="Times New Roman" w:eastAsia="Times New Roman" w:hAnsi="Times New Roman"/>
                <w:sz w:val="12"/>
                <w:szCs w:val="12"/>
                <w:b w:val="1"/>
                <w:bCs w:val="1"/>
                <w:color w:val="auto"/>
              </w:rPr>
              <w:t>Total liabilities and net assets</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2,108,845</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1,179,611</w:t>
            </w:r>
          </w:p>
        </w:tc>
        <w:tc>
          <w:tcPr>
            <w:tcW w:w="80" w:type="dxa"/>
            <w:vAlign w:val="bottom"/>
          </w:tcPr>
          <w:p>
            <w:pPr>
              <w:spacing w:after="0"/>
              <w:rPr>
                <w:sz w:val="12"/>
                <w:szCs w:val="12"/>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7260" w:type="dxa"/>
            <w:vAlign w:val="bottom"/>
            <w:tcBorders>
              <w:bottom w:val="single" w:sz="8" w:color="CCECFF"/>
            </w:tcBorders>
            <w:shd w:val="clear" w:color="auto" w:fill="CCECFF"/>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Net asset value per share</w:t>
            </w:r>
          </w:p>
        </w:tc>
        <w:tc>
          <w:tcPr>
            <w:tcW w:w="160" w:type="dxa"/>
            <w:vAlign w:val="bottom"/>
            <w:tcBorders>
              <w:bottom w:val="single" w:sz="8" w:color="auto"/>
            </w:tcBorders>
            <w:shd w:val="clear" w:color="auto" w:fill="CCECFF"/>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C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11.31</w:t>
            </w:r>
          </w:p>
        </w:tc>
        <w:tc>
          <w:tcPr>
            <w:tcW w:w="2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C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11.13</w:t>
            </w:r>
          </w:p>
        </w:tc>
        <w:tc>
          <w:tcPr>
            <w:tcW w:w="80" w:type="dxa"/>
            <w:vAlign w:val="bottom"/>
            <w:tcBorders>
              <w:bottom w:val="single" w:sz="8" w:color="CCECFF"/>
            </w:tcBorders>
            <w:shd w:val="clear" w:color="auto" w:fill="CCECFF"/>
          </w:tcPr>
          <w:p>
            <w:pPr>
              <w:spacing w:after="0"/>
              <w:rPr>
                <w:sz w:val="13"/>
                <w:szCs w:val="13"/>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800" w:type="dxa"/>
            <w:vAlign w:val="bottom"/>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128,397</w:t>
            </w:r>
          </w:p>
        </w:tc>
        <w:tc>
          <w:tcPr>
            <w:tcW w:w="60" w:type="dxa"/>
            <w:vAlign w:val="bottom"/>
            <w:shd w:val="clear" w:color="auto" w:fill="CCECFF"/>
          </w:tcPr>
          <w:p>
            <w:pPr>
              <w:spacing w:after="0"/>
              <w:rPr>
                <w:sz w:val="13"/>
                <w:szCs w:val="13"/>
                <w:color w:val="auto"/>
              </w:rPr>
            </w:pPr>
          </w:p>
        </w:tc>
        <w:tc>
          <w:tcPr>
            <w:tcW w:w="46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88,649</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68,413</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Dividend</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5,506</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4,278</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non-controlled, affiliated investments: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8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80" w:type="dxa"/>
            <w:vAlign w:val="bottom"/>
            <w:gridSpan w:val="3"/>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35,093</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31,047</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16,724</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Dividend</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13,650</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80" w:type="dxa"/>
            <w:vAlign w:val="bottom"/>
            <w:gridSpan w:val="3"/>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186,355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105,485</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Base management fee</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11,930</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Incentive fee</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18,125</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16,873</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11,625</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and expenses on debt</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59,221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29,755</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amendment costs, debt issuance costs and provision for taxes</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98,871</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70,862</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56,503</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Credit Facility amendment costs and debt issuance costs</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108,634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56,903</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77,721</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67,491</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48,582</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(15,892 )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11,209</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8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80" w:type="dxa"/>
            <w:vAlign w:val="bottom"/>
            <w:gridSpan w:val="3"/>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(22,315 )</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Debt extinguishment</w:t>
            </w:r>
          </w:p>
        </w:tc>
        <w:tc>
          <w:tcPr>
            <w:tcW w:w="8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(383 )</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 on realized gain on investments</w:t>
            </w:r>
          </w:p>
        </w:tc>
        <w:tc>
          <w:tcPr>
            <w:tcW w:w="8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(263 )</w:t>
            </w: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 and debt</w:t>
            </w:r>
          </w:p>
        </w:tc>
        <w:tc>
          <w:tcPr>
            <w:tcW w:w="8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(206 )</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(16,155 )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(11,106 )</w:t>
            </w: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(6,707 )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(22,009 )</w:t>
            </w: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Controlled and non-controlled, affiliated investments</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8,606</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(5,858 )</w:t>
            </w: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(2,503 )</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(4,568 )</w:t>
            </w: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Debt depreciation (appreciation)</w:t>
            </w:r>
          </w:p>
        </w:tc>
        <w:tc>
          <w:tcPr>
            <w:tcW w:w="8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(2,284 )</w:t>
            </w: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(4,943 )</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 debt</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(12,075 )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(34,023 )</w:t>
            </w: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14,118</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(28,230 )</w:t>
            </w: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(45,129 )</w:t>
            </w:r>
          </w:p>
        </w:tc>
      </w:tr>
      <w:tr>
        <w:trPr>
          <w:trHeight w:val="156"/>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operations</w:t>
            </w: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91,839</w:t>
            </w:r>
          </w:p>
        </w:tc>
        <w:tc>
          <w:tcPr>
            <w:tcW w:w="60" w:type="dxa"/>
            <w:vAlign w:val="bottom"/>
          </w:tcPr>
          <w:p>
            <w:pPr>
              <w:spacing w:after="0"/>
              <w:rPr>
                <w:sz w:val="13"/>
                <w:szCs w:val="13"/>
                <w:color w:val="auto"/>
              </w:rPr>
            </w:pPr>
          </w:p>
        </w:tc>
        <w:tc>
          <w:tcPr>
            <w:tcW w:w="4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80" w:type="dxa"/>
            <w:vAlign w:val="bottom"/>
          </w:tcPr>
          <w:p>
            <w:pPr>
              <w:spacing w:after="0"/>
              <w:rPr>
                <w:sz w:val="13"/>
                <w:szCs w:val="13"/>
                <w:color w:val="auto"/>
              </w:rPr>
            </w:pPr>
          </w:p>
        </w:tc>
      </w:tr>
      <w:tr>
        <w:trPr>
          <w:trHeight w:val="20"/>
        </w:trPr>
        <w:tc>
          <w:tcPr>
            <w:tcW w:w="6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624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Net increase in net assets resulting from operations per common share</w:t>
            </w:r>
          </w:p>
        </w:tc>
        <w:tc>
          <w:tcPr>
            <w:tcW w:w="800" w:type="dxa"/>
            <w:vAlign w:val="bottom"/>
            <w:tcBorders>
              <w:bottom w:val="single" w:sz="8" w:color="auto"/>
            </w:tcBorders>
            <w:shd w:val="clear" w:color="auto" w:fill="CCECFF"/>
          </w:tcPr>
          <w:p>
            <w:pPr>
              <w:jc w:val="right"/>
              <w:ind w:right="6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1.40</w:t>
            </w:r>
          </w:p>
        </w:tc>
        <w:tc>
          <w:tcPr>
            <w:tcW w:w="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0.77</w:t>
            </w:r>
          </w:p>
        </w:tc>
        <w:tc>
          <w:tcPr>
            <w:tcW w:w="10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0.08</w:t>
            </w:r>
          </w:p>
        </w:tc>
        <w:tc>
          <w:tcPr>
            <w:tcW w:w="80" w:type="dxa"/>
            <w:vAlign w:val="bottom"/>
            <w:tcBorders>
              <w:bottom w:val="single" w:sz="8" w:color="CCECFF"/>
            </w:tcBorders>
            <w:shd w:val="clear" w:color="auto" w:fill="CCECFF"/>
          </w:tcPr>
          <w:p>
            <w:pPr>
              <w:spacing w:after="0"/>
              <w:rPr>
                <w:sz w:val="14"/>
                <w:szCs w:val="14"/>
                <w:color w:val="auto"/>
              </w:rPr>
            </w:pPr>
          </w:p>
        </w:tc>
      </w:tr>
      <w:tr>
        <w:trPr>
          <w:trHeight w:val="132"/>
        </w:trPr>
        <w:tc>
          <w:tcPr>
            <w:tcW w:w="624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investment income per common share</w:t>
            </w:r>
          </w:p>
        </w:tc>
        <w:tc>
          <w:tcPr>
            <w:tcW w:w="800" w:type="dxa"/>
            <w:vAlign w:val="bottom"/>
          </w:tcPr>
          <w:p>
            <w:pPr>
              <w:jc w:val="right"/>
              <w:ind w:right="6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1.18</w:t>
            </w:r>
          </w:p>
        </w:tc>
        <w:tc>
          <w:tcPr>
            <w:tcW w:w="60" w:type="dxa"/>
            <w:vAlign w:val="bottom"/>
          </w:tcPr>
          <w:p>
            <w:pPr>
              <w:spacing w:after="0"/>
              <w:rPr>
                <w:sz w:val="11"/>
                <w:szCs w:val="11"/>
                <w:color w:val="auto"/>
              </w:rPr>
            </w:pPr>
          </w:p>
        </w:tc>
        <w:tc>
          <w:tcPr>
            <w:tcW w:w="460" w:type="dxa"/>
            <w:vAlign w:val="bottom"/>
            <w:gridSpan w:val="2"/>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1"/>
                <w:szCs w:val="11"/>
                <w:color w:val="auto"/>
              </w:rPr>
            </w:pPr>
          </w:p>
        </w:tc>
      </w:tr>
      <w:tr>
        <w:trPr>
          <w:trHeight w:val="20"/>
        </w:trPr>
        <w:tc>
          <w:tcPr>
            <w:tcW w:w="6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issue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9"/>
              </w:rPr>
              <w:t>Years Ended September 30,</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net assets from operations:</w:t>
            </w: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77,721</w:t>
            </w:r>
          </w:p>
        </w:tc>
        <w:tc>
          <w:tcPr>
            <w:tcW w:w="6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67,491</w:t>
            </w:r>
          </w:p>
        </w:tc>
        <w:tc>
          <w:tcPr>
            <w:tcW w:w="22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48,582</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(15,892 )</w:t>
            </w: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(11,106 )</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realized loss on debt extinguishment</w:t>
            </w:r>
          </w:p>
        </w:tc>
        <w:tc>
          <w:tcPr>
            <w:tcW w:w="3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(383 )</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14,268</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(12,565 )</w:t>
            </w: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(24,512 )</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unrealized appreciation (depreciation) on investments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(4,568 )</w:t>
            </w: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realized gain on investments</w:t>
            </w:r>
          </w:p>
        </w:tc>
        <w:tc>
          <w:tcPr>
            <w:tcW w:w="3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(263 )</w:t>
            </w: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depreciation on debt</w:t>
            </w:r>
          </w:p>
        </w:tc>
        <w:tc>
          <w:tcPr>
            <w:tcW w:w="3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(2,284 )</w:t>
            </w: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(4,943 )</w:t>
            </w: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operations</w:t>
            </w: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91,839</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39,261</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3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(80,627 )</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(60,451 )</w:t>
            </w: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(46,685 )</w:t>
            </w: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 of realized gains</w:t>
            </w:r>
          </w:p>
        </w:tc>
        <w:tc>
          <w:tcPr>
            <w:tcW w:w="30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distributions to stockholders</w:t>
            </w:r>
          </w:p>
        </w:tc>
        <w:tc>
          <w:tcPr>
            <w:tcW w:w="3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(80,627 )</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(60,451 )</w:t>
            </w: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(46,685 )</w:t>
            </w:r>
          </w:p>
        </w:tc>
      </w:tr>
      <w:tr>
        <w:trPr>
          <w:trHeight w:val="156"/>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transactions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Public offering (See Note 1)</w:t>
            </w: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213,910</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148,408</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81,936</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Offering costs</w:t>
            </w:r>
          </w:p>
        </w:tc>
        <w:tc>
          <w:tcPr>
            <w:tcW w:w="3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(1,433 )</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(705 )</w:t>
            </w: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(2,223 )</w:t>
            </w:r>
          </w:p>
        </w:tc>
      </w:tr>
      <w:tr>
        <w:trPr>
          <w:trHeight w:val="15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capital transactions</w:t>
            </w: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212,477</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147,703</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79,713</w:t>
            </w: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223,689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126,513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36,481</w:t>
            </w:r>
          </w:p>
        </w:tc>
        <w:tc>
          <w:tcPr>
            <w:tcW w:w="80" w:type="dxa"/>
            <w:vAlign w:val="bottom"/>
          </w:tcPr>
          <w:p>
            <w:pPr>
              <w:spacing w:after="0"/>
              <w:rPr>
                <w:sz w:val="13"/>
                <w:szCs w:val="13"/>
                <w:color w:val="auto"/>
              </w:rPr>
            </w:pP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Beginning of year</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653,605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527,092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490,611</w:t>
            </w:r>
          </w:p>
        </w:tc>
        <w:tc>
          <w:tcPr>
            <w:tcW w:w="80" w:type="dxa"/>
            <w:vAlign w:val="bottom"/>
          </w:tcPr>
          <w:p>
            <w:pPr>
              <w:spacing w:after="0"/>
              <w:rPr>
                <w:sz w:val="13"/>
                <w:szCs w:val="13"/>
                <w:color w:val="auto"/>
              </w:rPr>
            </w:pPr>
          </w:p>
        </w:tc>
      </w:tr>
      <w:tr>
        <w:trPr>
          <w:trHeight w:val="196"/>
        </w:trPr>
        <w:tc>
          <w:tcPr>
            <w:tcW w:w="62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End of year</w:t>
            </w:r>
          </w:p>
        </w:tc>
        <w:tc>
          <w:tcPr>
            <w:tcW w:w="3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877,294</w:t>
            </w:r>
          </w:p>
        </w:tc>
        <w:tc>
          <w:tcPr>
            <w:tcW w:w="60" w:type="dxa"/>
            <w:vAlign w:val="bottom"/>
            <w:shd w:val="clear" w:color="auto" w:fill="CCECFF"/>
          </w:tcPr>
          <w:p>
            <w:pPr>
              <w:spacing w:after="0"/>
              <w:rPr>
                <w:sz w:val="17"/>
                <w:szCs w:val="17"/>
                <w:color w:val="auto"/>
              </w:rPr>
            </w:pPr>
          </w:p>
        </w:tc>
        <w:tc>
          <w:tcPr>
            <w:tcW w:w="4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653,605</w:t>
            </w:r>
          </w:p>
        </w:tc>
        <w:tc>
          <w:tcPr>
            <w:tcW w:w="220" w:type="dxa"/>
            <w:vAlign w:val="bottom"/>
            <w:shd w:val="clear" w:color="auto" w:fill="CCECFF"/>
          </w:tcPr>
          <w:p>
            <w:pPr>
              <w:spacing w:after="0"/>
              <w:rPr>
                <w:sz w:val="17"/>
                <w:szCs w:val="17"/>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527,092</w:t>
            </w:r>
          </w:p>
        </w:tc>
        <w:tc>
          <w:tcPr>
            <w:tcW w:w="80" w:type="dxa"/>
            <w:vAlign w:val="bottom"/>
            <w:shd w:val="clear" w:color="auto" w:fill="CCECFF"/>
          </w:tcPr>
          <w:p>
            <w:pPr>
              <w:spacing w:after="0"/>
              <w:rPr>
                <w:sz w:val="17"/>
                <w:szCs w:val="17"/>
                <w:color w:val="auto"/>
              </w:rPr>
            </w:pPr>
          </w:p>
        </w:tc>
      </w:tr>
      <w:tr>
        <w:trPr>
          <w:trHeight w:val="132"/>
        </w:trPr>
        <w:tc>
          <w:tcPr>
            <w:tcW w:w="6240" w:type="dxa"/>
            <w:vAlign w:val="bottom"/>
            <w:tcBorders>
              <w:top w:val="single" w:sz="8" w:color="CCECFF"/>
            </w:tcBorders>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Capital share activity:</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 w:type="dxa"/>
            <w:vAlign w:val="bottom"/>
            <w:tcBorders>
              <w:top w:val="single" w:sz="8" w:color="CCECFF"/>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CCECFF"/>
            </w:tcBorders>
          </w:tcPr>
          <w:p>
            <w:pPr>
              <w:spacing w:after="0"/>
              <w:rPr>
                <w:sz w:val="11"/>
                <w:szCs w:val="11"/>
                <w:color w:val="auto"/>
              </w:rPr>
            </w:pPr>
          </w:p>
        </w:tc>
      </w:tr>
      <w:tr>
        <w:trPr>
          <w:trHeight w:val="196"/>
        </w:trPr>
        <w:tc>
          <w:tcPr>
            <w:tcW w:w="624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Shares issued from public offering</w:t>
            </w:r>
          </w:p>
        </w:tc>
        <w:tc>
          <w:tcPr>
            <w:tcW w:w="300" w:type="dxa"/>
            <w:vAlign w:val="bottom"/>
            <w:tcBorders>
              <w:bottom w:val="single" w:sz="8" w:color="auto"/>
            </w:tcBorders>
            <w:shd w:val="clear" w:color="auto" w:fill="CCECFF"/>
          </w:tcPr>
          <w:p>
            <w:pPr>
              <w:spacing w:after="0"/>
              <w:rPr>
                <w:sz w:val="17"/>
                <w:szCs w:val="17"/>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18,845,194</w:t>
            </w:r>
          </w:p>
        </w:tc>
        <w:tc>
          <w:tcPr>
            <w:tcW w:w="6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13,389,064</w:t>
            </w:r>
          </w:p>
        </w:tc>
        <w:tc>
          <w:tcPr>
            <w:tcW w:w="22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6,464,910</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6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91,839</w:t>
            </w:r>
          </w:p>
        </w:tc>
        <w:tc>
          <w:tcPr>
            <w:tcW w:w="24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39,261</w:t>
            </w:r>
          </w:p>
        </w:tc>
        <w:tc>
          <w:tcPr>
            <w:tcW w:w="22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80" w:type="dxa"/>
            <w:vAlign w:val="bottom"/>
          </w:tcPr>
          <w:p>
            <w:pPr>
              <w:spacing w:after="0"/>
              <w:rPr>
                <w:sz w:val="13"/>
                <w:szCs w:val="13"/>
                <w:color w:val="auto"/>
              </w:rPr>
            </w:pPr>
          </w:p>
        </w:tc>
      </w:tr>
      <w:tr>
        <w:trPr>
          <w:trHeight w:val="144"/>
        </w:trPr>
        <w:tc>
          <w:tcPr>
            <w:tcW w:w="6520" w:type="dxa"/>
            <w:vAlign w:val="bottom"/>
            <w:shd w:val="clear" w:color="auto" w:fill="CCECFF"/>
          </w:tcPr>
          <w:p>
            <w:pPr>
              <w:ind w:left="34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w:t>
            </w: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68"/>
        </w:trPr>
        <w:tc>
          <w:tcPr>
            <w:tcW w:w="6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3"/>
                <w:szCs w:val="13"/>
                <w:color w:val="auto"/>
              </w:rPr>
              <w:t>operations to net cash provided by (used in) operating activities:</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(14,268 )</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24,512</w:t>
            </w:r>
          </w:p>
        </w:tc>
        <w:tc>
          <w:tcPr>
            <w:tcW w:w="80" w:type="dxa"/>
            <w:vAlign w:val="bottom"/>
          </w:tcPr>
          <w:p>
            <w:pPr>
              <w:spacing w:after="0"/>
              <w:rPr>
                <w:sz w:val="13"/>
                <w:szCs w:val="13"/>
                <w:color w:val="auto"/>
              </w:rPr>
            </w:pP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2,284</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4,943</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Debt extinguishment realized loss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0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(222 )</w:t>
            </w: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15,892</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11,106</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(4,828 )</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(5,200 )</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(4,194 )</w:t>
            </w: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0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(1,407,529 )</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(324,546 )</w:t>
            </w:r>
          </w:p>
        </w:tc>
        <w:tc>
          <w:tcPr>
            <w:tcW w:w="26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(607,765 )</w:t>
            </w: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Payment-in-kind interest</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(3,634 )</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(1,296 )</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(1,389 )</w:t>
            </w: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514,147</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399,085</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495,191</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tcPr>
          <w:p>
            <w:pPr>
              <w:spacing w:after="0"/>
              <w:rPr>
                <w:sz w:val="13"/>
                <w:szCs w:val="13"/>
                <w:color w:val="auto"/>
              </w:rPr>
            </w:pP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(Increase) decrease in:</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Interest receivable</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(1,744 )</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(2,880 )</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(2,097 )</w:t>
            </w:r>
          </w:p>
        </w:tc>
      </w:tr>
      <w:tr>
        <w:trPr>
          <w:trHeight w:val="156"/>
        </w:trPr>
        <w:tc>
          <w:tcPr>
            <w:tcW w:w="65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30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3,441</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30,525</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Dividend receivable</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(70 )</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(565 )</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r>
      <w:tr>
        <w:trPr>
          <w:trHeight w:val="156"/>
        </w:trPr>
        <w:tc>
          <w:tcPr>
            <w:tcW w:w="65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(146 )</w:t>
            </w:r>
          </w:p>
        </w:tc>
        <w:tc>
          <w:tcPr>
            <w:tcW w:w="26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(748 )</w:t>
            </w:r>
          </w:p>
        </w:tc>
      </w:tr>
      <w:tr>
        <w:trPr>
          <w:trHeight w:val="156"/>
        </w:trPr>
        <w:tc>
          <w:tcPr>
            <w:tcW w:w="65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Due from affiliate</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(291 )</w:t>
            </w:r>
          </w:p>
        </w:tc>
        <w:tc>
          <w:tcPr>
            <w:tcW w:w="2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Increase (decrease) in:</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(13,546 )</w:t>
            </w:r>
          </w:p>
        </w:tc>
      </w:tr>
      <w:tr>
        <w:trPr>
          <w:trHeight w:val="156"/>
        </w:trPr>
        <w:tc>
          <w:tcPr>
            <w:tcW w:w="65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Interest payable on debt</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6,030</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(268 )</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3"/>
                <w:szCs w:val="13"/>
                <w:color w:val="auto"/>
              </w:rPr>
            </w:pPr>
          </w:p>
        </w:tc>
      </w:tr>
      <w:tr>
        <w:trPr>
          <w:trHeight w:val="156"/>
        </w:trPr>
        <w:tc>
          <w:tcPr>
            <w:tcW w:w="65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Incentive fee payable</w:t>
            </w:r>
          </w:p>
        </w:tc>
        <w:tc>
          <w:tcPr>
            <w:tcW w:w="30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(1,439 )</w:t>
            </w: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2,540</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Deferred tax liability</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(82 )</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(2,774 )</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4,568</w:t>
            </w:r>
          </w:p>
        </w:tc>
        <w:tc>
          <w:tcPr>
            <w:tcW w:w="80" w:type="dxa"/>
            <w:vAlign w:val="bottom"/>
          </w:tcPr>
          <w:p>
            <w:pPr>
              <w:spacing w:after="0"/>
              <w:rPr>
                <w:sz w:val="13"/>
                <w:szCs w:val="13"/>
                <w:color w:val="auto"/>
              </w:rPr>
            </w:pPr>
          </w:p>
        </w:tc>
      </w:tr>
      <w:tr>
        <w:trPr>
          <w:trHeight w:val="208"/>
        </w:trPr>
        <w:tc>
          <w:tcPr>
            <w:tcW w:w="6520" w:type="dxa"/>
            <w:vAlign w:val="bottom"/>
            <w:tcBorders>
              <w:bottom w:val="single" w:sz="8" w:color="CCECFF"/>
            </w:tcBorders>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Due to affiliates</w:t>
            </w:r>
          </w:p>
        </w:tc>
        <w:tc>
          <w:tcPr>
            <w:tcW w:w="300" w:type="dxa"/>
            <w:vAlign w:val="bottom"/>
            <w:tcBorders>
              <w:bottom w:val="single" w:sz="8" w:color="CCECFF"/>
            </w:tcBorders>
            <w:shd w:val="clear" w:color="auto" w:fill="CCECFF"/>
          </w:tcPr>
          <w:p>
            <w:pPr>
              <w:spacing w:after="0"/>
              <w:rPr>
                <w:sz w:val="18"/>
                <w:szCs w:val="18"/>
                <w:color w:val="auto"/>
              </w:rPr>
            </w:pPr>
          </w:p>
        </w:tc>
        <w:tc>
          <w:tcPr>
            <w:tcW w:w="128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(566 )</w:t>
            </w:r>
          </w:p>
        </w:tc>
        <w:tc>
          <w:tcPr>
            <w:tcW w:w="240" w:type="dxa"/>
            <w:vAlign w:val="bottom"/>
            <w:tcBorders>
              <w:bottom w:val="single" w:sz="8" w:color="CCECFF"/>
            </w:tcBorders>
            <w:shd w:val="clear" w:color="auto" w:fill="CCECFF"/>
          </w:tcPr>
          <w:p>
            <w:pPr>
              <w:spacing w:after="0"/>
              <w:rPr>
                <w:sz w:val="18"/>
                <w:szCs w:val="18"/>
                <w:color w:val="auto"/>
              </w:rPr>
            </w:pPr>
          </w:p>
        </w:tc>
        <w:tc>
          <w:tcPr>
            <w:tcW w:w="1020" w:type="dxa"/>
            <w:vAlign w:val="bottom"/>
            <w:tcBorders>
              <w:bottom w:val="single" w:sz="8" w:color="CCECFF"/>
            </w:tcBorders>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(3,042 )</w:t>
            </w:r>
          </w:p>
        </w:tc>
        <w:tc>
          <w:tcPr>
            <w:tcW w:w="26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80" w:type="dxa"/>
            <w:vAlign w:val="bottom"/>
            <w:tcBorders>
              <w:bottom w:val="single" w:sz="8" w:color="CCECFF"/>
            </w:tcBorders>
            <w:shd w:val="clear" w:color="auto" w:fill="CCECFF"/>
          </w:tcPr>
          <w:p>
            <w:pPr>
              <w:spacing w:after="0"/>
              <w:rPr>
                <w:sz w:val="18"/>
                <w:szCs w:val="18"/>
                <w:color w:val="auto"/>
              </w:rPr>
            </w:pPr>
          </w:p>
        </w:tc>
      </w:tr>
      <w:tr>
        <w:trPr>
          <w:trHeight w:val="156"/>
        </w:trPr>
        <w:tc>
          <w:tcPr>
            <w:tcW w:w="65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Account payable and accrued expenses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(826 )</w:t>
            </w:r>
          </w:p>
        </w:tc>
      </w:tr>
      <w:tr>
        <w:trPr>
          <w:trHeight w:val="156"/>
        </w:trPr>
        <w:tc>
          <w:tcPr>
            <w:tcW w:w="652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30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(801,378 )</w:t>
            </w: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140,562</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(46,579 )</w:t>
            </w:r>
          </w:p>
        </w:tc>
      </w:tr>
      <w:tr>
        <w:trPr>
          <w:trHeight w:val="156"/>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Proceeds from public offering</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213,910</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148,408</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81,936</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Offering costs</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(1,433 )</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(705 )</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(1,973 )</w:t>
            </w: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30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(78,813 )</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(58,739 )</w:t>
            </w:r>
          </w:p>
        </w:tc>
        <w:tc>
          <w:tcPr>
            <w:tcW w:w="26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(46,067 )</w:t>
            </w: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Repayment of 2023 notes payable</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(76,219 )</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(20,787 )</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(20,787 )</w:t>
            </w: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Issuance of 2026 notes</w:t>
            </w:r>
          </w:p>
        </w:tc>
        <w:tc>
          <w:tcPr>
            <w:tcW w:w="30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84,333</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Issuance of 2036 Asset-Backed Debt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287,000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Capitalized borrowing costs 2036 Asset-Back Debt</w:t>
            </w:r>
          </w:p>
        </w:tc>
        <w:tc>
          <w:tcPr>
            <w:tcW w:w="30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(3,241 )</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Issuance of 2036-R Asset-Backed Debt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266,000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Capitalized borrowing costs 2036-R notes Asset-Back Debt</w:t>
            </w:r>
          </w:p>
        </w:tc>
        <w:tc>
          <w:tcPr>
            <w:tcW w:w="30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(790 )</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Repayment of 2031 Asset-Backed Debt</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(228,000 )</w:t>
            </w:r>
          </w:p>
        </w:tc>
        <w:tc>
          <w:tcPr>
            <w:tcW w:w="2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606,455</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65,000</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147,254</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3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(172,000 )</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(224,709 )</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(197,000 )</w:t>
            </w:r>
          </w:p>
        </w:tc>
      </w:tr>
      <w:tr>
        <w:trPr>
          <w:trHeight w:val="156"/>
        </w:trPr>
        <w:tc>
          <w:tcPr>
            <w:tcW w:w="65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812,869</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(91,532 )</w:t>
            </w: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47,696</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49,030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80" w:type="dxa"/>
            <w:vAlign w:val="bottom"/>
          </w:tcPr>
          <w:p>
            <w:pPr>
              <w:spacing w:after="0"/>
              <w:rPr>
                <w:sz w:val="13"/>
                <w:szCs w:val="13"/>
                <w:color w:val="auto"/>
              </w:rPr>
            </w:pPr>
          </w:p>
        </w:tc>
      </w:tr>
      <w:tr>
        <w:trPr>
          <w:trHeight w:val="156"/>
        </w:trPr>
        <w:tc>
          <w:tcPr>
            <w:tcW w:w="6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shd w:val="clear" w:color="auto" w:fill="CCECFF"/>
          </w:tcPr>
          <w:p>
            <w:pPr>
              <w:spacing w:after="0"/>
              <w:rPr>
                <w:sz w:val="13"/>
                <w:szCs w:val="13"/>
                <w:color w:val="auto"/>
              </w:rPr>
            </w:pPr>
          </w:p>
        </w:tc>
      </w:tr>
      <w:tr>
        <w:trPr>
          <w:trHeight w:val="156"/>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year</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51,488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50,051</w:t>
            </w:r>
          </w:p>
        </w:tc>
        <w:tc>
          <w:tcPr>
            <w:tcW w:w="80" w:type="dxa"/>
            <w:vAlign w:val="bottom"/>
          </w:tcPr>
          <w:p>
            <w:pPr>
              <w:spacing w:after="0"/>
              <w:rPr>
                <w:sz w:val="13"/>
                <w:szCs w:val="13"/>
                <w:color w:val="auto"/>
              </w:rPr>
            </w:pPr>
          </w:p>
        </w:tc>
      </w:tr>
      <w:tr>
        <w:trPr>
          <w:trHeight w:val="196"/>
        </w:trPr>
        <w:tc>
          <w:tcPr>
            <w:tcW w:w="65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year</w:t>
            </w:r>
          </w:p>
        </w:tc>
        <w:tc>
          <w:tcPr>
            <w:tcW w:w="300" w:type="dxa"/>
            <w:vAlign w:val="bottom"/>
            <w:tcBorders>
              <w:bottom w:val="single" w:sz="8" w:color="auto"/>
            </w:tcBorders>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2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51,488</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32"/>
        </w:trPr>
        <w:tc>
          <w:tcPr>
            <w:tcW w:w="6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6"/>
        </w:trPr>
        <w:tc>
          <w:tcPr>
            <w:tcW w:w="652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paid</w:t>
            </w:r>
          </w:p>
        </w:tc>
        <w:tc>
          <w:tcPr>
            <w:tcW w:w="300" w:type="dxa"/>
            <w:vAlign w:val="bottom"/>
            <w:tcBorders>
              <w:bottom w:val="single" w:sz="8" w:color="auto"/>
            </w:tcBorders>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51,204</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36,306</w:t>
            </w:r>
          </w:p>
        </w:tc>
        <w:tc>
          <w:tcPr>
            <w:tcW w:w="22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26,091</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32"/>
        </w:trPr>
        <w:tc>
          <w:tcPr>
            <w:tcW w:w="652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Taxes paid</w:t>
            </w:r>
          </w:p>
        </w:tc>
        <w:tc>
          <w:tcPr>
            <w:tcW w:w="300" w:type="dxa"/>
            <w:vAlign w:val="bottom"/>
            <w:tcBorders>
              <w:bottom w:val="single" w:sz="8" w:color="auto"/>
            </w:tcBorders>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1,060</w:t>
            </w:r>
          </w:p>
        </w:tc>
        <w:tc>
          <w:tcPr>
            <w:tcW w:w="240" w:type="dxa"/>
            <w:vAlign w:val="bottom"/>
          </w:tcPr>
          <w:p>
            <w:pPr>
              <w:spacing w:after="0"/>
              <w:rPr>
                <w:sz w:val="11"/>
                <w:szCs w:val="11"/>
                <w:color w:val="auto"/>
              </w:rPr>
            </w:pPr>
          </w:p>
        </w:tc>
        <w:tc>
          <w:tcPr>
            <w:tcW w:w="240" w:type="dxa"/>
            <w:vAlign w:val="bottom"/>
            <w:tcBorders>
              <w:bottom w:val="single" w:sz="8" w:color="auto"/>
            </w:tcBorders>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530</w:t>
            </w:r>
          </w:p>
        </w:tc>
        <w:tc>
          <w:tcPr>
            <w:tcW w:w="220" w:type="dxa"/>
            <w:vAlign w:val="bottom"/>
          </w:tcPr>
          <w:p>
            <w:pPr>
              <w:spacing w:after="0"/>
              <w:rPr>
                <w:sz w:val="11"/>
                <w:szCs w:val="11"/>
                <w:color w:val="auto"/>
              </w:rPr>
            </w:pPr>
          </w:p>
        </w:tc>
        <w:tc>
          <w:tcPr>
            <w:tcW w:w="260" w:type="dxa"/>
            <w:vAlign w:val="bottom"/>
            <w:tcBorders>
              <w:bottom w:val="single" w:sz="8" w:color="auto"/>
            </w:tcBorders>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1,167</w:t>
            </w:r>
          </w:p>
        </w:tc>
        <w:tc>
          <w:tcPr>
            <w:tcW w:w="80" w:type="dxa"/>
            <w:vAlign w:val="bottom"/>
          </w:tcPr>
          <w:p>
            <w:pPr>
              <w:spacing w:after="0"/>
              <w:rPr>
                <w:sz w:val="11"/>
                <w:szCs w:val="1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6520" w:type="dxa"/>
            <w:vAlign w:val="bottom"/>
            <w:tcBorders>
              <w:bottom w:val="single" w:sz="8" w:color="CCECFF"/>
            </w:tcBorders>
            <w:shd w:val="clear" w:color="auto" w:fill="CCEC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Non-cash exchanges and conversions</w:t>
            </w:r>
          </w:p>
        </w:tc>
        <w:tc>
          <w:tcPr>
            <w:tcW w:w="300" w:type="dxa"/>
            <w:vAlign w:val="bottom"/>
            <w:tcBorders>
              <w:bottom w:val="single" w:sz="8" w:color="auto"/>
            </w:tcBorders>
            <w:shd w:val="clear" w:color="auto" w:fill="CCECFF"/>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20,091</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3,393</w:t>
            </w:r>
          </w:p>
        </w:tc>
        <w:tc>
          <w:tcPr>
            <w:tcW w:w="2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50,352</w:t>
            </w:r>
          </w:p>
        </w:tc>
        <w:tc>
          <w:tcPr>
            <w:tcW w:w="80" w:type="dxa"/>
            <w:vAlign w:val="bottom"/>
            <w:tcBorders>
              <w:bottom w:val="single" w:sz="8" w:color="CCECFF"/>
            </w:tcBorders>
            <w:shd w:val="clear" w:color="auto" w:fill="CCECFF"/>
          </w:tcPr>
          <w:p>
            <w:pPr>
              <w:spacing w:after="0"/>
              <w:rPr>
                <w:sz w:val="14"/>
                <w:szCs w:val="14"/>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jc w:val="center"/>
              <w:ind w:left="4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580" w:type="dxa"/>
            <w:vAlign w:val="bottom"/>
            <w:vMerge w:val="restart"/>
          </w:tcPr>
          <w:p>
            <w:pPr>
              <w:ind w:left="154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1080" w:type="dxa"/>
            <w:vAlign w:val="bottom"/>
          </w:tcPr>
          <w:p>
            <w:pPr>
              <w:jc w:val="center"/>
              <w:ind w:left="4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240" w:type="dxa"/>
            <w:vAlign w:val="bottom"/>
          </w:tcPr>
          <w:p>
            <w:pPr>
              <w:spacing w:after="0"/>
              <w:rPr>
                <w:sz w:val="11"/>
                <w:szCs w:val="11"/>
                <w:color w:val="auto"/>
              </w:rPr>
            </w:pPr>
          </w:p>
        </w:tc>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1"/>
                <w:szCs w:val="11"/>
                <w:color w:val="auto"/>
              </w:rPr>
            </w:pPr>
          </w:p>
        </w:tc>
        <w:tc>
          <w:tcPr>
            <w:tcW w:w="50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08"/>
        </w:trPr>
        <w:tc>
          <w:tcPr>
            <w:tcW w:w="3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660" w:type="dxa"/>
            <w:vAlign w:val="bottom"/>
          </w:tcPr>
          <w:p>
            <w:pPr>
              <w:jc w:val="center"/>
              <w:ind w:left="232"/>
              <w:spacing w:after="0" w:line="108" w:lineRule="exact"/>
              <w:rPr>
                <w:sz w:val="20"/>
                <w:szCs w:val="20"/>
                <w:color w:val="auto"/>
              </w:rPr>
            </w:pPr>
            <w:r>
              <w:rPr>
                <w:rFonts w:ascii="Times New Roman" w:cs="Times New Roman" w:eastAsia="Times New Roman" w:hAnsi="Times New Roman"/>
                <w:sz w:val="10"/>
                <w:szCs w:val="10"/>
                <w:b w:val="1"/>
                <w:bCs w:val="1"/>
                <w:color w:val="auto"/>
              </w:rPr>
              <w:t>Coupon</w:t>
            </w:r>
          </w:p>
        </w:tc>
        <w:tc>
          <w:tcPr>
            <w:tcW w:w="1080" w:type="dxa"/>
            <w:vAlign w:val="bottom"/>
          </w:tcPr>
          <w:p>
            <w:pPr>
              <w:jc w:val="center"/>
              <w:ind w:left="432"/>
              <w:spacing w:after="0" w:line="108"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6"/>
                <w:szCs w:val="6"/>
                <w:b w:val="1"/>
                <w:bCs w:val="1"/>
                <w:color w:val="auto"/>
              </w:rPr>
              <w:t>(2)</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Non-Controlled, Non-Affiliated Portfolio Companies - 186.1% </w:t>
            </w:r>
            <w:r>
              <w:rPr>
                <w:rFonts w:ascii="Times New Roman" w:cs="Times New Roman" w:eastAsia="Times New Roman" w:hAnsi="Times New Roman"/>
                <w:sz w:val="12"/>
                <w:szCs w:val="12"/>
                <w:color w:val="auto"/>
                <w:vertAlign w:val="superscript"/>
              </w:rPr>
              <w:t>(3), (4)</w:t>
            </w:r>
          </w:p>
        </w:tc>
        <w:tc>
          <w:tcPr>
            <w:tcW w:w="94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- 167.8%</w:t>
            </w: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10.95%</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SOFR+610</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1,579</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1,559</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1,579</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748</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2"/>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10.58%</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SOFR+525</w:t>
            </w:r>
          </w:p>
        </w:tc>
        <w:tc>
          <w:tcPr>
            <w:tcW w:w="24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14,121</w:t>
            </w:r>
          </w:p>
        </w:tc>
        <w:tc>
          <w:tcPr>
            <w:tcW w:w="200" w:type="dxa"/>
            <w:vAlign w:val="bottom"/>
          </w:tcPr>
          <w:p>
            <w:pPr>
              <w:spacing w:after="0"/>
              <w:rPr>
                <w:sz w:val="11"/>
                <w:szCs w:val="11"/>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13,905</w:t>
            </w:r>
          </w:p>
        </w:tc>
        <w:tc>
          <w:tcPr>
            <w:tcW w:w="240" w:type="dxa"/>
            <w:vAlign w:val="bottom"/>
          </w:tcPr>
          <w:p>
            <w:pPr>
              <w:spacing w:after="0"/>
              <w:rPr>
                <w:sz w:val="11"/>
                <w:szCs w:val="11"/>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13,662</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04/02/2025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5,621</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 - Funded Revolver</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rPr>
              <w:t>9.85%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SOFR+525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2,960</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LLC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08/01/2029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3,096</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10.93%</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SOFR+626</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4,808</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10.93%</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SOFR+626</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498</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747</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Aechelon Technology,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12.35%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SOFR+750</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14,000</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13,862</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13,719</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3,104</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rPr>
              <w:t>9.85%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SOFR+525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32,753</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32,332</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32,753</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Aeronix, Inc. -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6,099</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Dell Holding Corp.</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10.49%</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SOFR+550</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28,494</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28,420</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28,209</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7,460</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06/10/2025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10.75%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SOFR+650</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13,813</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13,765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13,675</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10.50%</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SOFR+590</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13,005</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12,845</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13,005</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10.50%</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SOFR+590</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2,098</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2,097</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2,869</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10.50%</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SOFR+590</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12,597</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12,486</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12,408</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3,990</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(Revolver)</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12.75%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SOFR+475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1,441</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1,441</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1,420</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852</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 (Revolver)</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08/03/2029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11.56%</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1M SOFR+625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5,951</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5,869</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5,921</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(7),(9)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08/04/2028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1,379</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Archer Lewis,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10.83%</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SOFR+575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21,700</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21,485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21,266</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A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13,280</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B </w:t>
            </w:r>
            <w:r>
              <w:rPr>
                <w:rFonts w:ascii="Times New Roman" w:cs="Times New Roman" w:eastAsia="Times New Roman" w:hAnsi="Times New Roman"/>
                <w:sz w:val="12"/>
                <w:szCs w:val="12"/>
                <w:color w:val="auto"/>
                <w:vertAlign w:val="superscript"/>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21,267</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(213 )</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3,252</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ARGANO,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10.85%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SOFR+575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35,768</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35,411</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35,409</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03/13/2025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8,907</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1,421</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10.10%</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SOFR+525</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25,067</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24,725</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24,691</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740" w:type="dxa"/>
            <w:vAlign w:val="bottom"/>
            <w:gridSpan w:val="2"/>
            <w:shd w:val="clear" w:color="auto" w:fill="CCECFF"/>
          </w:tcPr>
          <w:p>
            <w:pPr>
              <w:jc w:val="center"/>
              <w:ind w:right="752"/>
              <w:spacing w:after="0"/>
              <w:rPr>
                <w:sz w:val="20"/>
                <w:szCs w:val="20"/>
                <w:color w:val="auto"/>
              </w:rPr>
            </w:pPr>
            <w:r>
              <w:rPr>
                <w:rFonts w:ascii="Times New Roman" w:cs="Times New Roman" w:eastAsia="Times New Roman" w:hAnsi="Times New Roman"/>
                <w:sz w:val="10"/>
                <w:szCs w:val="10"/>
                <w:color w:val="auto"/>
                <w:w w:val="96"/>
              </w:rPr>
              <w:t>(PIK 15.00%)</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7,565</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2,434</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07/01/2029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SOFR+575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19,806</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19,212</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19,212</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11.10%</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1M SOFR+625</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30,873</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30,358</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30,873</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Big Top Holdings, LLC -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4,479</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(Revolver)</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11.70%</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1M SOFR+650</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589</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582</w:t>
            </w: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66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w:t>
            </w:r>
          </w:p>
        </w:tc>
        <w:tc>
          <w:tcPr>
            <w:tcW w:w="20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7"/>
                <w:szCs w:val="17"/>
                <w:color w:val="auto"/>
              </w:rPr>
            </w:pPr>
          </w:p>
        </w:tc>
        <w:tc>
          <w:tcPr>
            <w:tcW w:w="480" w:type="dxa"/>
            <w:vAlign w:val="bottom"/>
          </w:tcPr>
          <w:p>
            <w:pPr>
              <w:jc w:val="right"/>
              <w:spacing w:after="0" w:line="204" w:lineRule="exact"/>
              <w:rPr>
                <w:sz w:val="20"/>
                <w:szCs w:val="20"/>
                <w:color w:val="auto"/>
              </w:rPr>
            </w:pPr>
            <w:r>
              <w:rPr>
                <w:rFonts w:ascii="Times New Roman" w:cs="Times New Roman" w:eastAsia="Times New Roman" w:hAnsi="Times New Roman"/>
                <w:sz w:val="10"/>
                <w:szCs w:val="10"/>
                <w:color w:val="auto"/>
              </w:rPr>
              <w:t xml:space="preserve">(6 </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10.90%</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SOFR+640</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8,206</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8,143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8,064</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1,893</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11.04%</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SOFR+640</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874</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859</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w:t>
            </w:r>
            <w:r>
              <w:rPr>
                <w:rFonts w:ascii="Times New Roman" w:cs="Times New Roman" w:eastAsia="Times New Roman" w:hAnsi="Times New Roman"/>
                <w:sz w:val="12"/>
                <w:szCs w:val="12"/>
                <w:color w:val="auto"/>
                <w:vertAlign w:val="superscript"/>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3,009</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(51 )</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10.60%</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SOFR+600</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6,462</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6,422</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6,332</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12/04/2025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10.97%</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SOFR+611</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3,218</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3,218</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3,218</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10.20%</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SOFR+535</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14,962</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14,219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14,075</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12.18%</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SOFR+698</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46,992</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46,893</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46,992</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By Light Professional IT Services,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5,831</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SOFR+575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5,473</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5,397</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5,390</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1,750</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SOFR+550</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29,850</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29,410</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29,402</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16,214</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(81 )</w:t>
            </w:r>
          </w:p>
        </w:tc>
        <w:tc>
          <w:tcPr>
            <w:tcW w:w="0" w:type="dxa"/>
            <w:vAlign w:val="bottom"/>
          </w:tcPr>
          <w:p>
            <w:pPr>
              <w:spacing w:after="0"/>
              <w:rPr>
                <w:sz w:val="1"/>
                <w:szCs w:val="1"/>
                <w:color w:val="auto"/>
              </w:rPr>
            </w:pPr>
          </w:p>
        </w:tc>
      </w:tr>
      <w:tr>
        <w:trPr>
          <w:trHeight w:val="124"/>
        </w:trPr>
        <w:tc>
          <w:tcPr>
            <w:tcW w:w="35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Carnegie Dartlet, LLC - (Revolver) </w:t>
            </w:r>
            <w:r>
              <w:rPr>
                <w:rFonts w:ascii="Times New Roman" w:cs="Times New Roman" w:eastAsia="Times New Roman" w:hAnsi="Times New Roman"/>
                <w:sz w:val="12"/>
                <w:szCs w:val="12"/>
                <w:color w:val="auto"/>
                <w:vertAlign w:val="superscript"/>
              </w:rPr>
              <w:t>(9)</w:t>
            </w:r>
          </w:p>
        </w:tc>
        <w:tc>
          <w:tcPr>
            <w:tcW w:w="9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02/07/2030</w:t>
            </w:r>
          </w:p>
        </w:tc>
        <w:tc>
          <w:tcPr>
            <w:tcW w:w="18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60" w:type="dxa"/>
            <w:vAlign w:val="bottom"/>
            <w:shd w:val="clear" w:color="auto" w:fill="CCECFF"/>
          </w:tcPr>
          <w:p>
            <w:pPr>
              <w:spacing w:after="0"/>
              <w:rPr>
                <w:sz w:val="10"/>
                <w:szCs w:val="10"/>
                <w:color w:val="auto"/>
              </w:rPr>
            </w:pPr>
          </w:p>
        </w:tc>
        <w:tc>
          <w:tcPr>
            <w:tcW w:w="108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5,405</w:t>
            </w:r>
          </w:p>
        </w:tc>
        <w:tc>
          <w:tcPr>
            <w:tcW w:w="20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(81 )</w:t>
            </w:r>
          </w:p>
        </w:tc>
        <w:tc>
          <w:tcPr>
            <w:tcW w:w="0" w:type="dxa"/>
            <w:vAlign w:val="bottom"/>
          </w:tcPr>
          <w:p>
            <w:pPr>
              <w:spacing w:after="0"/>
              <w:rPr>
                <w:sz w:val="1"/>
                <w:szCs w:val="1"/>
                <w:color w:val="auto"/>
              </w:rPr>
            </w:pPr>
          </w:p>
        </w:tc>
      </w:tr>
      <w:tr>
        <w:trPr>
          <w:trHeight w:val="92"/>
        </w:trPr>
        <w:tc>
          <w:tcPr>
            <w:tcW w:w="3580" w:type="dxa"/>
            <w:vAlign w:val="bottom"/>
            <w:vMerge w:val="continue"/>
            <w:shd w:val="clear" w:color="auto" w:fill="CCECFF"/>
          </w:tcPr>
          <w:p>
            <w:pPr>
              <w:spacing w:after="0"/>
              <w:rPr>
                <w:sz w:val="8"/>
                <w:szCs w:val="8"/>
                <w:color w:val="auto"/>
              </w:rPr>
            </w:pPr>
          </w:p>
        </w:tc>
        <w:tc>
          <w:tcPr>
            <w:tcW w:w="940" w:type="dxa"/>
            <w:vAlign w:val="bottom"/>
            <w:vMerge w:val="continue"/>
            <w:shd w:val="clear" w:color="auto" w:fill="CCECFF"/>
          </w:tcPr>
          <w:p>
            <w:pPr>
              <w:spacing w:after="0"/>
              <w:rPr>
                <w:sz w:val="8"/>
                <w:szCs w:val="8"/>
                <w:color w:val="auto"/>
              </w:rPr>
            </w:pPr>
          </w:p>
        </w:tc>
        <w:tc>
          <w:tcPr>
            <w:tcW w:w="1880" w:type="dxa"/>
            <w:vAlign w:val="bottom"/>
            <w:vMerge w:val="continue"/>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080" w:type="dxa"/>
            <w:vAlign w:val="bottom"/>
            <w:vMerge w:val="continue"/>
            <w:shd w:val="clear" w:color="auto" w:fill="CCECFF"/>
          </w:tcPr>
          <w:p>
            <w:pPr>
              <w:spacing w:after="0"/>
              <w:rPr>
                <w:sz w:val="8"/>
                <w:szCs w:val="8"/>
                <w:color w:val="auto"/>
              </w:rPr>
            </w:pPr>
          </w:p>
        </w:tc>
        <w:tc>
          <w:tcPr>
            <w:tcW w:w="240" w:type="dxa"/>
            <w:vAlign w:val="bottom"/>
            <w:vMerge w:val="continue"/>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500" w:type="dxa"/>
            <w:vAlign w:val="bottom"/>
            <w:vMerge w:val="continue"/>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48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SOFR+575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12,944</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12,802</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12,943</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1M SOFR+575</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511</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927</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11.21%</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SOFR+619</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5,919</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5,888</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5,830</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CF512, Inc.(Revolver)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spacing w:after="0"/>
              <w:rPr>
                <w:sz w:val="10"/>
                <w:szCs w:val="1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02/09/2026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10.88%</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SOFR+555</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8,814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 (Revolver)</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10.80%</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SOFR+555</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703</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703</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703</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703</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rPr>
              <w:t>9.85%</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SOFR+500</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6,771</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10.53%</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SOFR+561</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3,775</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3,734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3,775</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 - Funded Revolver</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10.58%</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SOFR+576</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281</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953</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10.71%</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SOFR+586</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2,314</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2,284</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2,297</w:t>
            </w:r>
          </w:p>
        </w:tc>
        <w:tc>
          <w:tcPr>
            <w:tcW w:w="0" w:type="dxa"/>
            <w:vAlign w:val="bottom"/>
          </w:tcPr>
          <w:p>
            <w:pPr>
              <w:spacing w:after="0"/>
              <w:rPr>
                <w:sz w:val="1"/>
                <w:szCs w:val="1"/>
                <w:color w:val="auto"/>
              </w:rPr>
            </w:pPr>
          </w:p>
        </w:tc>
      </w:tr>
      <w:tr>
        <w:trPr>
          <w:trHeight w:val="124"/>
        </w:trPr>
        <w:tc>
          <w:tcPr>
            <w:tcW w:w="35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 (9)</w:t>
            </w:r>
          </w:p>
        </w:tc>
        <w:tc>
          <w:tcPr>
            <w:tcW w:w="9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60" w:type="dxa"/>
            <w:vAlign w:val="bottom"/>
            <w:shd w:val="clear" w:color="auto" w:fill="CCECFF"/>
          </w:tcPr>
          <w:p>
            <w:pPr>
              <w:spacing w:after="0"/>
              <w:rPr>
                <w:sz w:val="10"/>
                <w:szCs w:val="10"/>
                <w:color w:val="auto"/>
              </w:rPr>
            </w:pPr>
          </w:p>
        </w:tc>
        <w:tc>
          <w:tcPr>
            <w:tcW w:w="108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502</w:t>
            </w:r>
          </w:p>
        </w:tc>
        <w:tc>
          <w:tcPr>
            <w:tcW w:w="20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04"/>
        </w:trPr>
        <w:tc>
          <w:tcPr>
            <w:tcW w:w="3580" w:type="dxa"/>
            <w:vAlign w:val="bottom"/>
            <w:vMerge w:val="continue"/>
            <w:shd w:val="clear" w:color="auto" w:fill="CCECFF"/>
          </w:tcPr>
          <w:p>
            <w:pPr>
              <w:spacing w:after="0"/>
              <w:rPr>
                <w:sz w:val="9"/>
                <w:szCs w:val="9"/>
                <w:color w:val="auto"/>
              </w:rPr>
            </w:pPr>
          </w:p>
        </w:tc>
        <w:tc>
          <w:tcPr>
            <w:tcW w:w="940" w:type="dxa"/>
            <w:vAlign w:val="bottom"/>
            <w:vMerge w:val="continue"/>
            <w:shd w:val="clear" w:color="auto" w:fill="CCECFF"/>
          </w:tcPr>
          <w:p>
            <w:pPr>
              <w:spacing w:after="0"/>
              <w:rPr>
                <w:sz w:val="9"/>
                <w:szCs w:val="9"/>
                <w:color w:val="auto"/>
              </w:rPr>
            </w:pPr>
          </w:p>
        </w:tc>
        <w:tc>
          <w:tcPr>
            <w:tcW w:w="1880" w:type="dxa"/>
            <w:vAlign w:val="bottom"/>
            <w:vMerge w:val="continue"/>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240" w:type="dxa"/>
            <w:vAlign w:val="bottom"/>
            <w:vMerge w:val="continue"/>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00" w:type="dxa"/>
            <w:vAlign w:val="bottom"/>
            <w:vMerge w:val="continue"/>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C5MI Holdco,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7"/>
              </w:rPr>
              <w:t>10.60%</w:t>
            </w: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SOFR+600</w:t>
            </w:r>
          </w:p>
        </w:tc>
        <w:tc>
          <w:tcPr>
            <w:tcW w:w="2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44,000</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43,349</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43,120</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C5MI Holdco, LLC - Funded Revolver</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7"/>
              </w:rPr>
              <w:t>10.60%</w:t>
            </w:r>
          </w:p>
        </w:tc>
        <w:tc>
          <w:tcPr>
            <w:tcW w:w="1080" w:type="dxa"/>
            <w:vAlign w:val="bottom"/>
            <w:shd w:val="clear" w:color="auto" w:fill="CCECFF"/>
          </w:tcPr>
          <w:p>
            <w:pPr>
              <w:jc w:val="center"/>
              <w:ind w:left="392"/>
              <w:spacing w:after="0"/>
              <w:rPr>
                <w:sz w:val="20"/>
                <w:szCs w:val="20"/>
                <w:color w:val="auto"/>
              </w:rPr>
            </w:pPr>
            <w:r>
              <w:rPr>
                <w:rFonts w:ascii="Times New Roman" w:cs="Times New Roman" w:eastAsia="Times New Roman" w:hAnsi="Times New Roman"/>
                <w:sz w:val="10"/>
                <w:szCs w:val="10"/>
                <w:color w:val="auto"/>
                <w:w w:val="96"/>
              </w:rPr>
              <w:t>3M SOFR+600</w:t>
            </w:r>
          </w:p>
        </w:tc>
        <w:tc>
          <w:tcPr>
            <w:tcW w:w="24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606</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606</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0" w:type="dxa"/>
            <w:vAlign w:val="bottom"/>
          </w:tcPr>
          <w:p>
            <w:pPr>
              <w:spacing w:after="0"/>
              <w:rPr>
                <w:sz w:val="1"/>
                <w:szCs w:val="1"/>
                <w:color w:val="auto"/>
              </w:rPr>
            </w:pPr>
          </w:p>
        </w:tc>
      </w:tr>
      <w:tr>
        <w:trPr>
          <w:trHeight w:val="158"/>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C5MI Holdco, LLC - Unfunded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6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8,487</w:t>
            </w:r>
          </w:p>
        </w:tc>
        <w:tc>
          <w:tcPr>
            <w:tcW w:w="200" w:type="dxa"/>
            <w:vAlign w:val="bottom"/>
          </w:tcPr>
          <w:p>
            <w:pPr>
              <w:spacing w:after="0"/>
              <w:rPr>
                <w:sz w:val="13"/>
                <w:szCs w:val="13"/>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(170 )</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420" w:type="dxa"/>
            <w:vAlign w:val="bottom"/>
            <w:vMerge w:val="restart"/>
          </w:tcPr>
          <w:p>
            <w:pPr>
              <w:ind w:left="150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1"/>
                <w:szCs w:val="11"/>
                <w:color w:val="auto"/>
              </w:rPr>
            </w:pPr>
          </w:p>
        </w:tc>
        <w:tc>
          <w:tcPr>
            <w:tcW w:w="50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Coupon</w:t>
            </w:r>
          </w:p>
        </w:tc>
        <w:tc>
          <w:tcPr>
            <w:tcW w:w="10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6"/>
                <w:szCs w:val="6"/>
                <w:b w:val="1"/>
                <w:bCs w:val="1"/>
                <w:color w:val="auto"/>
              </w:rPr>
              <w:t>(2)</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DRI Holding Inc.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12/21/2028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10.20%</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SOFR+535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6,123</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5,943</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5,908</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08/31/2027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9.95%</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SOFR+535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16,870</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16,709</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16,870</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 (9)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08/31/2027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3,353</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11/03/2025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11.20%</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SOFR+635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15,559</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15,501</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15,435</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 (9)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11/03/2025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1,426</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Duggal Acquisition, LLC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09/30/2030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9.60%</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SOFR+500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15,321</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15,168</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09/30/2026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4,470</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2"/>
        </w:trPr>
        <w:tc>
          <w:tcPr>
            <w:tcW w:w="3420" w:type="dxa"/>
            <w:vAlign w:val="bottom"/>
          </w:tcPr>
          <w:p>
            <w:pPr>
              <w:spacing w:after="0" w:line="132"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09/30/2030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5,605</w:t>
            </w:r>
          </w:p>
        </w:tc>
        <w:tc>
          <w:tcPr>
            <w:tcW w:w="200" w:type="dxa"/>
            <w:vAlign w:val="bottom"/>
          </w:tcPr>
          <w:p>
            <w:pPr>
              <w:spacing w:after="0"/>
              <w:rPr>
                <w:sz w:val="11"/>
                <w:szCs w:val="11"/>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Dynata, LLC - First-Out Term Loan</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07/15/2028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SOFR+526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1,856</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1,725</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1,853</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10/15/2028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10.88%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SOFR+576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11,514</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11,514</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10,601</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ECL Entertainment, LLC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08/31/2030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8.85%</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1M SOFR+400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6,209</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6,147</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6,223</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01/10/2029</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SOFR+575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10,673</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10,544</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10,513</w:t>
            </w:r>
          </w:p>
        </w:tc>
        <w:tc>
          <w:tcPr>
            <w:tcW w:w="0" w:type="dxa"/>
            <w:vAlign w:val="bottom"/>
          </w:tcPr>
          <w:p>
            <w:pPr>
              <w:spacing w:after="0"/>
              <w:rPr>
                <w:sz w:val="1"/>
                <w:szCs w:val="1"/>
                <w:color w:val="auto"/>
              </w:rPr>
            </w:pPr>
          </w:p>
        </w:tc>
      </w:tr>
      <w:tr>
        <w:trPr>
          <w:trHeight w:val="121"/>
        </w:trPr>
        <w:tc>
          <w:tcPr>
            <w:tcW w:w="34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42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EDS Buyer, LLC. (Revolver) </w:t>
            </w:r>
            <w:r>
              <w:rPr>
                <w:rFonts w:ascii="Times New Roman" w:cs="Times New Roman" w:eastAsia="Times New Roman" w:hAnsi="Times New Roman"/>
                <w:sz w:val="12"/>
                <w:szCs w:val="12"/>
                <w:color w:val="auto"/>
                <w:vertAlign w:val="superscript"/>
              </w:rPr>
              <w:t>(7), (9)</w:t>
            </w:r>
          </w:p>
        </w:tc>
        <w:tc>
          <w:tcPr>
            <w:tcW w:w="1000" w:type="dxa"/>
            <w:vAlign w:val="bottom"/>
            <w:vMerge w:val="restart"/>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01/10/2029</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900" w:type="dxa"/>
            <w:vAlign w:val="bottom"/>
            <w:vMerge w:val="restart"/>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vMerge w:val="restart"/>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2,298</w:t>
            </w:r>
          </w:p>
        </w:tc>
        <w:tc>
          <w:tcPr>
            <w:tcW w:w="20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04"/>
        </w:trPr>
        <w:tc>
          <w:tcPr>
            <w:tcW w:w="3420" w:type="dxa"/>
            <w:vAlign w:val="bottom"/>
            <w:vMerge w:val="continue"/>
            <w:shd w:val="clear" w:color="auto" w:fill="CCECFF"/>
          </w:tcPr>
          <w:p>
            <w:pPr>
              <w:spacing w:after="0"/>
              <w:rPr>
                <w:sz w:val="9"/>
                <w:szCs w:val="9"/>
                <w:color w:val="auto"/>
              </w:rPr>
            </w:pPr>
          </w:p>
        </w:tc>
        <w:tc>
          <w:tcPr>
            <w:tcW w:w="1000" w:type="dxa"/>
            <w:vAlign w:val="bottom"/>
            <w:vMerge w:val="continue"/>
            <w:shd w:val="clear" w:color="auto" w:fill="CCECFF"/>
          </w:tcPr>
          <w:p>
            <w:pPr>
              <w:spacing w:after="0"/>
              <w:rPr>
                <w:sz w:val="9"/>
                <w:szCs w:val="9"/>
                <w:color w:val="auto"/>
              </w:rPr>
            </w:pPr>
          </w:p>
        </w:tc>
        <w:tc>
          <w:tcPr>
            <w:tcW w:w="1940" w:type="dxa"/>
            <w:vAlign w:val="bottom"/>
            <w:shd w:val="clear" w:color="auto" w:fill="CCECFF"/>
          </w:tcPr>
          <w:p>
            <w:pPr>
              <w:spacing w:after="0"/>
              <w:rPr>
                <w:sz w:val="9"/>
                <w:szCs w:val="9"/>
                <w:color w:val="auto"/>
              </w:rPr>
            </w:pPr>
          </w:p>
        </w:tc>
        <w:tc>
          <w:tcPr>
            <w:tcW w:w="900" w:type="dxa"/>
            <w:vAlign w:val="bottom"/>
            <w:vMerge w:val="continue"/>
            <w:shd w:val="clear" w:color="auto" w:fill="CCECFF"/>
          </w:tcPr>
          <w:p>
            <w:pPr>
              <w:spacing w:after="0"/>
              <w:rPr>
                <w:sz w:val="9"/>
                <w:szCs w:val="9"/>
                <w:color w:val="auto"/>
              </w:rPr>
            </w:pPr>
          </w:p>
        </w:tc>
        <w:tc>
          <w:tcPr>
            <w:tcW w:w="1020" w:type="dxa"/>
            <w:vAlign w:val="bottom"/>
            <w:vMerge w:val="continue"/>
            <w:shd w:val="clear" w:color="auto" w:fill="CCECFF"/>
          </w:tcPr>
          <w:p>
            <w:pPr>
              <w:spacing w:after="0"/>
              <w:rPr>
                <w:sz w:val="9"/>
                <w:szCs w:val="9"/>
                <w:color w:val="auto"/>
              </w:rPr>
            </w:pPr>
          </w:p>
        </w:tc>
        <w:tc>
          <w:tcPr>
            <w:tcW w:w="740" w:type="dxa"/>
            <w:vAlign w:val="bottom"/>
            <w:vMerge w:val="continue"/>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00" w:type="dxa"/>
            <w:vAlign w:val="bottom"/>
            <w:vMerge w:val="continue"/>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Efficient Collaborative Retail Marketing Company, LLC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06/15/2025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12.37%</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SOFR+776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8,195</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8,216</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6,310</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(PIK 1.50%)</w:t>
            </w: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Eisner Advisory Group, LLC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02/23/2031</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9.25%</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SOFR+400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6,948</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6,880</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6,961</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05/25/2029</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11.10%</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SOFR+650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 Unfunded Revolver </w:t>
            </w:r>
            <w:r>
              <w:rPr>
                <w:rFonts w:ascii="Times New Roman" w:cs="Times New Roman" w:eastAsia="Times New Roman" w:hAnsi="Times New Roman"/>
                <w:sz w:val="12"/>
                <w:szCs w:val="12"/>
                <w:color w:val="auto"/>
                <w:vertAlign w:val="superscript"/>
              </w:rPr>
              <w:t>(9)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05/25/2029</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05/10/2030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10.60%</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SOFR+575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14,492</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14,275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14,347</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Intermediate, LLC - UnFunded Revolver </w:t>
            </w:r>
            <w:r>
              <w:rPr>
                <w:rFonts w:ascii="Times New Roman" w:cs="Times New Roman" w:eastAsia="Times New Roman" w:hAnsi="Times New Roman"/>
                <w:sz w:val="12"/>
                <w:szCs w:val="12"/>
                <w:color w:val="auto"/>
                <w:vertAlign w:val="superscript"/>
              </w:rPr>
              <w:t>(9)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05/10/2030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2,640</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03/15/2027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689</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Fairbanks Morse Defense</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06/23/2028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9.74%</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SOFR+450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995</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990</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996</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Five Star Buyer, Inc.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02/23/2028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12.21%</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SOFR+715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4,437</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4,372</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4,437</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02/23/2028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05/19/2029</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12.56%</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GGG MIDCO, LLC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09/27/2030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9.64%</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SOFR+500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19,243</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19,051</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19,050</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03/27/2026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30,986</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09/27/2030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1,311</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03/16/2026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11.43%</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SOFR+615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4,985</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4,927</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4,736</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08/10/2027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10.70%</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SOFR+560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1,351</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1,341</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1,337</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08/10/2027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984</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32"/>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 (Revolver)</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08/10/2027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10.70%</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SOFR+560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432</w:t>
            </w: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432</w:t>
            </w: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428</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 (9)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08/10/2027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12/31/2026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10.20%</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SOFR+560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3,949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3,913</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12/31/2026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10.45%</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SOFR+560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666</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 (9)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12/31/2026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Harris &amp; Co. LLC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08/09/2030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9.85%</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SOFR+500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31,992</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31,720</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31,432</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A </w:t>
            </w:r>
            <w:r>
              <w:rPr>
                <w:rFonts w:ascii="Times New Roman" w:cs="Times New Roman" w:eastAsia="Times New Roman" w:hAnsi="Times New Roman"/>
                <w:sz w:val="12"/>
                <w:szCs w:val="12"/>
                <w:color w:val="auto"/>
                <w:vertAlign w:val="superscript"/>
              </w:rPr>
              <w:t>(9)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02/09/2025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39,414</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(345 )</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02/09/2026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50,296</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(440 )</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08/09/2030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7,401</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(130 )</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06/17/2029</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9.75%</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SOFR+550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9,651</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9,535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9,583</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11/07/2029</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11.11%</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SOFR+600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7,941</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7,829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7,862</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11/07/2025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10,812</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0"/>
        </w:trPr>
        <w:tc>
          <w:tcPr>
            <w:tcW w:w="34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1000" w:type="dxa"/>
            <w:vAlign w:val="bottom"/>
            <w:tcBorders>
              <w:bottom w:val="single" w:sz="8" w:color="CCECFF"/>
            </w:tcBorders>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05/10/2026</w:t>
            </w:r>
          </w:p>
        </w:tc>
        <w:tc>
          <w:tcPr>
            <w:tcW w:w="19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11.20%</w:t>
            </w:r>
          </w:p>
        </w:tc>
        <w:tc>
          <w:tcPr>
            <w:tcW w:w="1020" w:type="dxa"/>
            <w:vAlign w:val="bottom"/>
            <w:tcBorders>
              <w:bottom w:val="single" w:sz="8" w:color="CCECFF"/>
            </w:tcBorders>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1M SOFR+590</w:t>
            </w:r>
          </w:p>
        </w:tc>
        <w:tc>
          <w:tcPr>
            <w:tcW w:w="7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10,410</w:t>
            </w:r>
          </w:p>
        </w:tc>
        <w:tc>
          <w:tcPr>
            <w:tcW w:w="20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10,389</w:t>
            </w:r>
          </w:p>
        </w:tc>
        <w:tc>
          <w:tcPr>
            <w:tcW w:w="240" w:type="dxa"/>
            <w:vAlign w:val="bottom"/>
            <w:tcBorders>
              <w:bottom w:val="single" w:sz="8" w:color="CCECFF"/>
            </w:tcBorders>
            <w:shd w:val="clear" w:color="auto" w:fill="CCECFF"/>
          </w:tcPr>
          <w:p>
            <w:pPr>
              <w:spacing w:after="0"/>
              <w:rPr>
                <w:sz w:val="13"/>
                <w:szCs w:val="13"/>
                <w:color w:val="auto"/>
              </w:rPr>
            </w:pPr>
          </w:p>
        </w:tc>
        <w:tc>
          <w:tcPr>
            <w:tcW w:w="48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10,410</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05/10/2026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1,452</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09/22/2028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11.35%</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SOFR+610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4,487</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4,430</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4,443</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 (9)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09/22/2027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722</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(9)</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11/15/2027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1,193</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12/28/2028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10.96%</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SOFR+685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4,553</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4,534</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4,582</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12/28/2028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SOFR+600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1,672</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1,237</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- 1st Amendment Unfunded Term Loan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11/17/2025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4,288</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 (Revolver)</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12/28/2028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13.75%</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SOFR+575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Unfunded Term Loan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12/28/2028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1,098</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11/01/2026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10.10%</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SOFR+550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5,539</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5,498</w:t>
            </w:r>
          </w:p>
        </w:tc>
        <w:tc>
          <w:tcPr>
            <w:tcW w:w="0" w:type="dxa"/>
            <w:vAlign w:val="bottom"/>
          </w:tcPr>
          <w:p>
            <w:pPr>
              <w:spacing w:after="0"/>
              <w:rPr>
                <w:sz w:val="1"/>
                <w:szCs w:val="1"/>
                <w:color w:val="auto"/>
              </w:rPr>
            </w:pPr>
          </w:p>
        </w:tc>
      </w:tr>
      <w:tr>
        <w:trPr>
          <w:trHeight w:val="124"/>
        </w:trPr>
        <w:tc>
          <w:tcPr>
            <w:tcW w:w="34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100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6"/>
              </w:rPr>
              <w:t>01/31/2025</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11.36%</w:t>
            </w:r>
          </w:p>
        </w:tc>
        <w:tc>
          <w:tcPr>
            <w:tcW w:w="102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SOFR+715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15,776</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15,747</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13,567</w:t>
            </w: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(PIK 6.00%)</w:t>
            </w:r>
          </w:p>
        </w:tc>
        <w:tc>
          <w:tcPr>
            <w:tcW w:w="10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ITI Holdings, Inc. (Revolver)</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03/03/2028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12.50%</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SOFR+450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(7), (9)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03/03/2028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4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06/30/2025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12.46%</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SOFR+761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4,938</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4,893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Unfunded Revolver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06/30/2025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1,729</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Keel Platform, LLC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01/19/2031</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Metals and Mining</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10.09%</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SOFR+525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11,544</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11,388</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11,486</w:t>
            </w:r>
          </w:p>
        </w:tc>
        <w:tc>
          <w:tcPr>
            <w:tcW w:w="0" w:type="dxa"/>
            <w:vAlign w:val="bottom"/>
          </w:tcPr>
          <w:p>
            <w:pPr>
              <w:spacing w:after="0"/>
              <w:rPr>
                <w:sz w:val="1"/>
                <w:szCs w:val="1"/>
                <w:color w:val="auto"/>
              </w:rPr>
            </w:pPr>
          </w:p>
        </w:tc>
      </w:tr>
      <w:tr>
        <w:trPr>
          <w:trHeight w:val="120"/>
        </w:trPr>
        <w:tc>
          <w:tcPr>
            <w:tcW w:w="3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Keel Platform, LLC - Unfunded Term Loan </w:t>
            </w:r>
            <w:r>
              <w:rPr>
                <w:rFonts w:ascii="Times New Roman" w:cs="Times New Roman" w:eastAsia="Times New Roman" w:hAnsi="Times New Roman"/>
                <w:sz w:val="12"/>
                <w:szCs w:val="12"/>
                <w:color w:val="auto"/>
                <w:vertAlign w:val="superscript"/>
              </w:rPr>
              <w:t>(9)</w:t>
            </w: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01/19/2031</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Metals and Mining</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2,402</w:t>
            </w:r>
          </w:p>
        </w:tc>
        <w:tc>
          <w:tcPr>
            <w:tcW w:w="20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1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11/10/2027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10.75%</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SOFR+615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13,971</w:t>
            </w: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13,802</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13,970</w:t>
            </w:r>
          </w:p>
        </w:tc>
        <w:tc>
          <w:tcPr>
            <w:tcW w:w="0" w:type="dxa"/>
            <w:vAlign w:val="bottom"/>
          </w:tcPr>
          <w:p>
            <w:pPr>
              <w:spacing w:after="0"/>
              <w:rPr>
                <w:sz w:val="1"/>
                <w:szCs w:val="1"/>
                <w:color w:val="auto"/>
              </w:rPr>
            </w:pPr>
          </w:p>
        </w:tc>
      </w:tr>
      <w:tr>
        <w:trPr>
          <w:trHeight w:val="124"/>
        </w:trPr>
        <w:tc>
          <w:tcPr>
            <w:tcW w:w="34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 xml:space="preserve">Kinetic Purchaser, LLC (Revolver) </w:t>
            </w:r>
            <w:r>
              <w:rPr>
                <w:rFonts w:ascii="Times New Roman" w:cs="Times New Roman" w:eastAsia="Times New Roman" w:hAnsi="Times New Roman"/>
                <w:sz w:val="12"/>
                <w:szCs w:val="12"/>
                <w:color w:val="auto"/>
                <w:vertAlign w:val="superscript"/>
              </w:rPr>
              <w:t>(7)</w:t>
            </w:r>
          </w:p>
        </w:tc>
        <w:tc>
          <w:tcPr>
            <w:tcW w:w="100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6"/>
              </w:rPr>
              <w:t>11/10/2026</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vMerge w:val="restart"/>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3,435</w:t>
            </w:r>
          </w:p>
        </w:tc>
        <w:tc>
          <w:tcPr>
            <w:tcW w:w="200" w:type="dxa"/>
            <w:vAlign w:val="bottom"/>
          </w:tcPr>
          <w:p>
            <w:pPr>
              <w:spacing w:after="0"/>
              <w:rPr>
                <w:sz w:val="10"/>
                <w:szCs w:val="10"/>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8"/>
        </w:trPr>
        <w:tc>
          <w:tcPr>
            <w:tcW w:w="34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425450</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156" w:right="7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0"/>
        </w:trPr>
        <w:tc>
          <w:tcPr>
            <w:tcW w:w="3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0"/>
        </w:trPr>
        <w:tc>
          <w:tcPr>
            <w:tcW w:w="3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2"/>
        </w:trPr>
        <w:tc>
          <w:tcPr>
            <w:tcW w:w="3460" w:type="dxa"/>
            <w:vAlign w:val="bottom"/>
          </w:tcPr>
          <w:p>
            <w:pPr>
              <w:ind w:left="148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8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20" w:type="dxa"/>
            <w:vAlign w:val="bottom"/>
          </w:tcPr>
          <w:p>
            <w:pPr>
              <w:spacing w:after="0"/>
              <w:rPr>
                <w:sz w:val="10"/>
                <w:szCs w:val="10"/>
                <w:color w:val="auto"/>
              </w:rPr>
            </w:pPr>
          </w:p>
        </w:tc>
        <w:tc>
          <w:tcPr>
            <w:tcW w:w="880" w:type="dxa"/>
            <w:vAlign w:val="bottom"/>
          </w:tcPr>
          <w:p>
            <w:pPr>
              <w:jc w:val="right"/>
              <w:ind w:right="23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02/18/2027</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12.94%</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SOFR+785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10,786</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   10,689</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10,678</w:t>
            </w:r>
          </w:p>
        </w:tc>
      </w:tr>
      <w:tr>
        <w:trPr>
          <w:trHeight w:val="120"/>
        </w:trPr>
        <w:tc>
          <w:tcPr>
            <w:tcW w:w="34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(PIK 5.10%)</w:t>
            </w:r>
          </w:p>
        </w:tc>
        <w:tc>
          <w:tcPr>
            <w:tcW w:w="10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r>
      <w:tr>
        <w:trPr>
          <w:trHeight w:val="121"/>
        </w:trPr>
        <w:tc>
          <w:tcPr>
            <w:tcW w:w="346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08/16/2026</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12.94%</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SOFR+785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2,833</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2,833</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r>
      <w:tr>
        <w:trPr>
          <w:trHeight w:val="120"/>
        </w:trPr>
        <w:tc>
          <w:tcPr>
            <w:tcW w:w="3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(PIK 5.10%)</w:t>
            </w: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 (9)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08/16/2026</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20"/>
        </w:trPr>
        <w:tc>
          <w:tcPr>
            <w:tcW w:w="34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(PIK 5.10%)</w:t>
            </w:r>
          </w:p>
        </w:tc>
        <w:tc>
          <w:tcPr>
            <w:tcW w:w="10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10/31/2025</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11.64%</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SOFR+640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13,018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13,015</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12,784</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(Revolver) </w:t>
            </w:r>
            <w:r>
              <w:rPr>
                <w:rFonts w:ascii="Times New Roman" w:cs="Times New Roman" w:eastAsia="Times New Roman" w:hAnsi="Times New Roman"/>
                <w:sz w:val="12"/>
                <w:szCs w:val="12"/>
                <w:color w:val="auto"/>
                <w:vertAlign w:val="superscript"/>
              </w:rPr>
              <w:t>(7)</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10/31/2025</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11.64%</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SOFR+640</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1,721</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1,721</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1,690</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11/09/2026</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12.25%</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SOFR+765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3,674</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3,661</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3,491</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 (Revolver)</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11/09/2026</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12.25%</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SOFR+765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263</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263</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r>
      <w:tr>
        <w:trPr>
          <w:trHeight w:val="120"/>
        </w:trPr>
        <w:tc>
          <w:tcPr>
            <w:tcW w:w="34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9"/>
              </w:rPr>
              <w:t>(PIK 1.0%)</w:t>
            </w:r>
          </w:p>
        </w:tc>
        <w:tc>
          <w:tcPr>
            <w:tcW w:w="10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(7), (9)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11/09/2026</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02/03/2026</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10.20%</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SOFR+535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22,309</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22,150</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22,309</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 (9)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02/03/2026</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2,499</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02/01/2030</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10.31%</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2,809</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2,774</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2,809</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02/01/2030</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1,892</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(Revolver) </w:t>
            </w:r>
            <w:r>
              <w:rPr>
                <w:rFonts w:ascii="Times New Roman" w:cs="Times New Roman" w:eastAsia="Times New Roman" w:hAnsi="Times New Roman"/>
                <w:sz w:val="12"/>
                <w:szCs w:val="12"/>
                <w:color w:val="auto"/>
                <w:vertAlign w:val="superscript"/>
              </w:rPr>
              <w:t>(7), (9)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01/31/2030</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05/31/2028</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11.10%</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SOFR+650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45,055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44,374</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44,379</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07/12/2025</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23,464</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(117 )</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05/31/2028</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11.60%</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SOFR+700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1,780</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1,753</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05/31/2028</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3,559</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(53 )</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06/30/2029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Specialty Retail</w:t>
            </w: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9.85%</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9,992</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9,992</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10,067</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First-out Term Loan</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10/02/2028</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12.77%</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SOFR+765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259</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10/02/2029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12.77%</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SOFR+765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04/01/2027</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10.20%</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SOFR+550</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7,289</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7,007</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6,852</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 - Funded Revolver</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04/16/2027</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10.95%</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SOFR+585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(Revolver) </w:t>
            </w:r>
            <w:r>
              <w:rPr>
                <w:rFonts w:ascii="Times New Roman" w:cs="Times New Roman" w:eastAsia="Times New Roman" w:hAnsi="Times New Roman"/>
                <w:sz w:val="12"/>
                <w:szCs w:val="12"/>
                <w:color w:val="auto"/>
                <w:vertAlign w:val="superscript"/>
              </w:rPr>
              <w:t>(7), (9)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04/16/2027</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1,019</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07/25/2028</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11.25%</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2,021</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1,988</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2,002</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 (Revolver)</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07/25/2028</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11.25%</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SOFR+600</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531</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531</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526</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 (9)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07/25/2028</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242</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12/10/2027</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10.50%</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SOFR+590</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1,958</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1,938</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1,909</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12/10/2027</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1,693</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10/20/2028</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 Services</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10.85%</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SOFR+625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17,820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17,554</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17,820</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(Revolver) </w:t>
            </w:r>
            <w:r>
              <w:rPr>
                <w:rFonts w:ascii="Times New Roman" w:cs="Times New Roman" w:eastAsia="Times New Roman" w:hAnsi="Times New Roman"/>
                <w:sz w:val="12"/>
                <w:szCs w:val="12"/>
                <w:color w:val="auto"/>
                <w:vertAlign w:val="superscript"/>
              </w:rPr>
              <w:t>(9)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10/20/2028</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 Services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5,187</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4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03/01/2030</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10.11%</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6,965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6,869</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6,575</w:t>
            </w:r>
          </w:p>
        </w:tc>
      </w:tr>
      <w:tr>
        <w:trPr>
          <w:trHeight w:val="121"/>
        </w:trPr>
        <w:tc>
          <w:tcPr>
            <w:tcW w:w="3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03/01/2030</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10.11%</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358</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337</w:t>
            </w:r>
          </w:p>
        </w:tc>
      </w:tr>
      <w:tr>
        <w:trPr>
          <w:trHeight w:val="121"/>
        </w:trPr>
        <w:tc>
          <w:tcPr>
            <w:tcW w:w="34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(Revolver) </w:t>
            </w:r>
            <w:r>
              <w:rPr>
                <w:rFonts w:ascii="Times New Roman" w:cs="Times New Roman" w:eastAsia="Times New Roman" w:hAnsi="Times New Roman"/>
                <w:sz w:val="12"/>
                <w:szCs w:val="12"/>
                <w:color w:val="auto"/>
                <w:vertAlign w:val="superscript"/>
              </w:rPr>
              <w:t>(9)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03/01/2030</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2,893</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(162 )</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Michael Baker International, LLC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12/01/2028</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9.60%</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SOFR+475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7,980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7,941</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8,010</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03/31/2025</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11.02%</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SOFR+590</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3,101</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3,092</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3,101</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Mission Critical Electronics, Inc. (Revolver) </w:t>
            </w:r>
            <w:r>
              <w:rPr>
                <w:rFonts w:ascii="Times New Roman" w:cs="Times New Roman" w:eastAsia="Times New Roman" w:hAnsi="Times New Roman"/>
                <w:sz w:val="12"/>
                <w:szCs w:val="12"/>
                <w:color w:val="auto"/>
                <w:vertAlign w:val="superscript"/>
              </w:rPr>
              <w:t>(7), (9)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03/31/2025</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01/16/2030</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31,840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31,410</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31,362</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01/16/2026</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11,056</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(55 )</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(Revolver) </w:t>
            </w:r>
            <w:r>
              <w:rPr>
                <w:rFonts w:ascii="Times New Roman" w:cs="Times New Roman" w:eastAsia="Times New Roman" w:hAnsi="Times New Roman"/>
                <w:sz w:val="12"/>
                <w:szCs w:val="12"/>
                <w:color w:val="auto"/>
                <w:vertAlign w:val="superscript"/>
              </w:rPr>
              <w:t>(9)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01/16/2030</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6,634</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10/01/2027</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9.75%</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SOFR+515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1,556</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1,527</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1,556</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Term Loan B</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10/01/2027</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2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9.75%</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SOFR+515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777</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777</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777</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w:t>
            </w:r>
            <w:r>
              <w:rPr>
                <w:rFonts w:ascii="Times New Roman" w:cs="Times New Roman" w:eastAsia="Times New Roman" w:hAnsi="Times New Roman"/>
                <w:sz w:val="12"/>
                <w:szCs w:val="12"/>
                <w:color w:val="auto"/>
                <w:vertAlign w:val="superscript"/>
              </w:rPr>
              <w:t>(9)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09/28/2027</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1,387</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B </w:t>
            </w:r>
            <w:r>
              <w:rPr>
                <w:rFonts w:ascii="Times New Roman" w:cs="Times New Roman" w:eastAsia="Times New Roman" w:hAnsi="Times New Roman"/>
                <w:sz w:val="12"/>
                <w:szCs w:val="12"/>
                <w:color w:val="auto"/>
                <w:vertAlign w:val="superscript"/>
              </w:rPr>
              <w:t>(9)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12/16/2024</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486</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 (9)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10/01/2027</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947</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 (9)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08/19/2026</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1,677</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(50 )</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09/13/2030</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9.56%</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SOFR+475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36,300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36,029</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36,028</w:t>
            </w:r>
          </w:p>
        </w:tc>
      </w:tr>
      <w:tr>
        <w:trPr>
          <w:trHeight w:val="144"/>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NFS - CFP Holdings LLC - Unfunded Term Loan </w:t>
            </w:r>
            <w:r>
              <w:rPr>
                <w:rFonts w:ascii="Times New Roman" w:cs="Times New Roman" w:eastAsia="Times New Roman" w:hAnsi="Times New Roman"/>
                <w:sz w:val="12"/>
                <w:szCs w:val="12"/>
                <w:color w:val="auto"/>
                <w:vertAlign w:val="superscript"/>
              </w:rPr>
              <w:t>(9)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09/23/2026</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13,370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Revolver </w:t>
            </w:r>
            <w:r>
              <w:rPr>
                <w:rFonts w:ascii="Times New Roman" w:cs="Times New Roman" w:eastAsia="Times New Roman" w:hAnsi="Times New Roman"/>
                <w:sz w:val="12"/>
                <w:szCs w:val="12"/>
                <w:color w:val="auto"/>
                <w:vertAlign w:val="superscript"/>
              </w:rPr>
              <w:t>(9)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09/13/2030</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5,014</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08/31/2029</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 Services</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10.95%</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SOFR+635</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19,800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19,449</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19,800</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 (9)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08/31/2029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 Services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5,479</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12/29/2029</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Diversified Consumer Services</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10.10%</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SOFR+550</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28,744</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28,498</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28,313</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09/30/2026</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Diversified Consumer Services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12,802</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(80 )</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12/30/2024</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Diversified Consumer Services</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8,001</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(50 )</w:t>
            </w:r>
          </w:p>
        </w:tc>
      </w:tr>
      <w:tr>
        <w:trPr>
          <w:trHeight w:val="120"/>
        </w:trPr>
        <w:tc>
          <w:tcPr>
            <w:tcW w:w="34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(Revolver) </w:t>
            </w:r>
            <w:r>
              <w:rPr>
                <w:rFonts w:ascii="Times New Roman" w:cs="Times New Roman" w:eastAsia="Times New Roman" w:hAnsi="Times New Roman"/>
                <w:sz w:val="12"/>
                <w:szCs w:val="12"/>
                <w:color w:val="auto"/>
                <w:vertAlign w:val="superscript"/>
              </w:rPr>
              <w:t>(7), (9)</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12/29/2029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Diversified Consumer Services</w:t>
            </w: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(63 )</w:t>
            </w:r>
          </w:p>
        </w:tc>
      </w:tr>
      <w:tr>
        <w:trPr>
          <w:trHeight w:val="12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05/07/2027</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Air Freight and Logistics</w:t>
            </w:r>
          </w:p>
        </w:tc>
        <w:tc>
          <w:tcPr>
            <w:tcW w:w="8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11.21%</w:t>
            </w:r>
          </w:p>
        </w:tc>
        <w:tc>
          <w:tcPr>
            <w:tcW w:w="10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SOFR+636</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8,426</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8,333</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8,426</w:t>
            </w:r>
          </w:p>
        </w:tc>
      </w:tr>
      <w:tr>
        <w:trPr>
          <w:trHeight w:val="121"/>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09/03/2027</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14.00%</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SOFR+940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4,718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4,666</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4,010</w:t>
            </w:r>
          </w:p>
        </w:tc>
      </w:tr>
      <w:tr>
        <w:trPr>
          <w:trHeight w:val="120"/>
        </w:trPr>
        <w:tc>
          <w:tcPr>
            <w:tcW w:w="3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(PIK 7.50%)</w:t>
            </w: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 (9)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09/03/2027</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(32 )</w:t>
            </w:r>
          </w:p>
        </w:tc>
      </w:tr>
      <w:tr>
        <w:trPr>
          <w:trHeight w:val="12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12/15/2029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10.70%</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12,803</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12,598</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12,432</w:t>
            </w:r>
          </w:p>
        </w:tc>
      </w:tr>
      <w:tr>
        <w:trPr>
          <w:trHeight w:val="120"/>
        </w:trPr>
        <w:tc>
          <w:tcPr>
            <w:tcW w:w="34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(Revolver) </w:t>
            </w:r>
            <w:r>
              <w:rPr>
                <w:rFonts w:ascii="Times New Roman" w:cs="Times New Roman" w:eastAsia="Times New Roman" w:hAnsi="Times New Roman"/>
                <w:sz w:val="12"/>
                <w:szCs w:val="12"/>
                <w:color w:val="auto"/>
                <w:vertAlign w:val="superscript"/>
              </w:rPr>
              <w:t>(9)</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2"/>
              </w:rPr>
              <w:t>12/15/2029</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2,932</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(85 )</w:t>
            </w:r>
          </w:p>
        </w:tc>
      </w:tr>
      <w:tr>
        <w:trPr>
          <w:trHeight w:val="124"/>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Outcomes Group Holdings, Inc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2"/>
              </w:rPr>
              <w:t>04/02/2031</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 Services</w:t>
            </w: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9.10%</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SOFR+425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3,990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3,970</w:t>
            </w:r>
          </w:p>
        </w:tc>
        <w:tc>
          <w:tcPr>
            <w:tcW w:w="2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r>
    </w:tbl>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10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2"/>
        </w:trPr>
        <w:tc>
          <w:tcPr>
            <w:tcW w:w="3720" w:type="dxa"/>
            <w:vAlign w:val="bottom"/>
          </w:tcPr>
          <w:p>
            <w:pPr>
              <w:ind w:left="160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8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13.75%</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SOFR+843</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521</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521</w:t>
            </w:r>
          </w:p>
        </w:tc>
        <w:tc>
          <w:tcPr>
            <w:tcW w:w="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05/30/2028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12.00%</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SOFR+668</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1,058</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1,058</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02/04/2028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SOFR+535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3,812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3,825</w:t>
            </w: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05/18/2026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11.12%</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SOFR+651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22,540</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22,385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22,540</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05/18/2026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3,387</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11.51%</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4,963</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4,878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4,953</w:t>
            </w: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3,598</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1,799</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09/03/2030</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9.77%</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SOFR+475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17,500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17,327</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17,325</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09/03/2030</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4,692</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10.81%</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7,434</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7,333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7,434</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3,974</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 -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10.81%</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1,461</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09/28/2025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10.17%</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SOFR+543</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7,415</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7,401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7,346</w:t>
            </w:r>
          </w:p>
        </w:tc>
      </w:tr>
      <w:tr>
        <w:trPr>
          <w:trHeight w:val="121"/>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11.99%</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5,798</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5,735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4,638</w:t>
            </w: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3.50%)</w:t>
            </w: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2,290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(458 )</w:t>
            </w: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08/28/2030</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26,334</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26,140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25,939</w:t>
            </w: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08/28/2030</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3,981</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(60 )</w:t>
            </w:r>
          </w:p>
        </w:tc>
      </w:tr>
      <w:tr>
        <w:trPr>
          <w:trHeight w:val="121"/>
        </w:trPr>
        <w:tc>
          <w:tcPr>
            <w:tcW w:w="372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Pragmatic Institute, LLC (Revolver), </w:t>
            </w:r>
            <w:r>
              <w:rPr>
                <w:rFonts w:ascii="Times New Roman" w:cs="Times New Roman" w:eastAsia="Times New Roman" w:hAnsi="Times New Roman"/>
                <w:sz w:val="12"/>
                <w:szCs w:val="12"/>
                <w:color w:val="auto"/>
                <w:vertAlign w:val="superscript"/>
              </w:rPr>
              <w:t>(5)</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07/06/2028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12.82%</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1,641</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12.085%)</w:t>
            </w: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1"/>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SOFR+635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6,579</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6,530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6,546</w:t>
            </w:r>
          </w:p>
        </w:tc>
      </w:tr>
      <w:tr>
        <w:trPr>
          <w:trHeight w:val="121"/>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 - Funded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w:t>
            </w:r>
          </w:p>
        </w:tc>
      </w:tr>
      <w:tr>
        <w:trPr>
          <w:trHeight w:val="121"/>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Quantic Electronics,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335</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(2 )</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3,000</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10.93%</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315</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01/29/2026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11.75%</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1,448</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1,439</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1,433</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01/29/2026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1,296</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9,829</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9,796</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9,841</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10.10%</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w:t>
            </w: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776</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RRA Corporate,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9.60%</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19,200</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19,008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19,008</w:t>
            </w: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1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02/15/2029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11,506</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2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21,719</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9.60%</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1,409</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1,395</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5,306</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(53 )</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41,995</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41,372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41,155</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9,417</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(188 )</w:t>
            </w:r>
          </w:p>
        </w:tc>
      </w:tr>
      <w:tr>
        <w:trPr>
          <w:trHeight w:val="160"/>
        </w:trPr>
        <w:tc>
          <w:tcPr>
            <w:tcW w:w="37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8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Borders>
              <w:bottom w:val="single" w:sz="8" w:color="CCECFF"/>
            </w:tcBorders>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tcBorders>
              <w:bottom w:val="single" w:sz="8" w:color="CCECFF"/>
            </w:tcBorders>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1,140</w:t>
            </w:r>
          </w:p>
        </w:tc>
        <w:tc>
          <w:tcPr>
            <w:tcW w:w="200" w:type="dxa"/>
            <w:vAlign w:val="bottom"/>
            <w:tcBorders>
              <w:bottom w:val="single" w:sz="8" w:color="CCECFF"/>
            </w:tcBorders>
            <w:shd w:val="clear" w:color="auto" w:fill="CCECFF"/>
          </w:tcPr>
          <w:p>
            <w:pPr>
              <w:spacing w:after="0"/>
              <w:rPr>
                <w:sz w:val="13"/>
                <w:szCs w:val="13"/>
                <w:color w:val="auto"/>
              </w:rPr>
            </w:pPr>
          </w:p>
        </w:tc>
        <w:tc>
          <w:tcPr>
            <w:tcW w:w="52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1,124</w:t>
            </w:r>
          </w:p>
        </w:tc>
        <w:tc>
          <w:tcPr>
            <w:tcW w:w="260" w:type="dxa"/>
            <w:vAlign w:val="bottom"/>
            <w:tcBorders>
              <w:bottom w:val="single" w:sz="8" w:color="CCECFF"/>
            </w:tcBorders>
            <w:shd w:val="clear" w:color="auto" w:fill="CCECFF"/>
          </w:tcPr>
          <w:p>
            <w:pPr>
              <w:spacing w:after="0"/>
              <w:rPr>
                <w:sz w:val="13"/>
                <w:szCs w:val="13"/>
                <w:color w:val="auto"/>
              </w:rPr>
            </w:pPr>
          </w:p>
        </w:tc>
        <w:tc>
          <w:tcPr>
            <w:tcW w:w="48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1,126</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(HPA SPQ Merger Sub, Inc.)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06/27/2026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(9 )</w:t>
            </w: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(HPA SPQ Merger Sub,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13,563</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13,363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13,428</w:t>
            </w: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2,920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(29 )</w:t>
            </w: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01/03/2025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10.80%</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SOFR+620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2,527</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2,524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2,527</w:t>
            </w: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01/03/2025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1,293</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11.45%</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SOFR+760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3,272</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3,266</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3,272</w:t>
            </w: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1.00%)</w:t>
            </w: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1"/>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11.45%</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SOFR+660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1,078</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1,078</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1,078</w:t>
            </w:r>
          </w:p>
        </w:tc>
      </w:tr>
      <w:tr>
        <w:trPr>
          <w:trHeight w:val="120"/>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1.00%)</w:t>
            </w: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1"/>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13.20%</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SOFR+835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15,224</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15,191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14,844</w:t>
            </w:r>
          </w:p>
        </w:tc>
      </w:tr>
      <w:tr>
        <w:trPr>
          <w:trHeight w:val="120"/>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5.60%)</w:t>
            </w: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1"/>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13.20%</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SOFR+835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1,578</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1,578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1,539</w:t>
            </w: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5.60%)</w:t>
            </w: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401</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06/13/2029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10.75%</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1,901</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1,834</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11.50%</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SOFR+690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20,708</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20,447</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20,501</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3,311</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(33 )</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12/02/2026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11.73%</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4,065</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4,054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4,106</w:t>
            </w: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Simplicity Financial Marketing Group Holdings Inc.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02/09/2026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4,656</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w:t>
            </w: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Simplicity Financial Marketing Group Holdings Inc.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12/02/2026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1,043</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05/17/2028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9.46%</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SOFR+461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596</w:t>
            </w:r>
          </w:p>
        </w:tc>
        <w:tc>
          <w:tcPr>
            <w:tcW w:w="20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SOFR+610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13,521</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13,323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13,521</w:t>
            </w:r>
          </w:p>
        </w:tc>
      </w:tr>
      <w:tr>
        <w:trPr>
          <w:trHeight w:val="158"/>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Smartronix, LLC -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1,791</w:t>
            </w:r>
          </w:p>
        </w:tc>
        <w:tc>
          <w:tcPr>
            <w:tcW w:w="200" w:type="dxa"/>
            <w:vAlign w:val="bottom"/>
          </w:tcPr>
          <w:p>
            <w:pPr>
              <w:spacing w:after="0"/>
              <w:rPr>
                <w:sz w:val="13"/>
                <w:szCs w:val="13"/>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3"/>
                <w:szCs w:val="13"/>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10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20" w:type="dxa"/>
            <w:vAlign w:val="bottom"/>
          </w:tcPr>
          <w:p>
            <w:pPr>
              <w:ind w:left="160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8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180" w:type="dxa"/>
            <w:vAlign w:val="bottom"/>
          </w:tcPr>
          <w:p>
            <w:pPr>
              <w:spacing w:after="0"/>
              <w:rPr>
                <w:sz w:val="10"/>
                <w:szCs w:val="10"/>
                <w:color w:val="auto"/>
              </w:rPr>
            </w:pP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10.20%</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SOFR+550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2,422</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2,422</w:t>
            </w:r>
          </w:p>
        </w:tc>
        <w:tc>
          <w:tcPr>
            <w:tcW w:w="2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2,143</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(PIK 1.50%)</w:t>
            </w: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10.20%</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866</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866</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766</w:t>
            </w:r>
          </w:p>
        </w:tc>
        <w:tc>
          <w:tcPr>
            <w:tcW w:w="0" w:type="dxa"/>
            <w:vAlign w:val="bottom"/>
          </w:tcPr>
          <w:p>
            <w:pPr>
              <w:spacing w:after="0"/>
              <w:rPr>
                <w:sz w:val="1"/>
                <w:szCs w:val="1"/>
                <w:color w:val="auto"/>
              </w:rPr>
            </w:pP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(PIK 1.50%)</w:t>
            </w: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(78 )</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12.40%</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4,657</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4,637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4,657</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833</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10.78%</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2,253</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2,232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2,253</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03/03/2025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1,493</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10.25%</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535</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rPr>
              <w:t>9.31%</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SOFR+425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1,851</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 Research,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10.26%</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20,461</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20,238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20,421</w:t>
            </w:r>
          </w:p>
        </w:tc>
        <w:tc>
          <w:tcPr>
            <w:tcW w:w="0" w:type="dxa"/>
            <w:vAlign w:val="bottom"/>
          </w:tcPr>
          <w:p>
            <w:pPr>
              <w:spacing w:after="0"/>
              <w:rPr>
                <w:sz w:val="1"/>
                <w:szCs w:val="1"/>
                <w:color w:val="auto"/>
              </w:rPr>
            </w:pPr>
          </w:p>
        </w:tc>
      </w:tr>
      <w:tr>
        <w:trPr>
          <w:trHeight w:val="121"/>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 Research, LLC)</w:t>
            </w: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12,537</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 Funded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rPr>
              <w:t>9.59%</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1,633</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1,633</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6,732</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7"/>
              </w:rPr>
              <w:t>11.48%</w:t>
            </w:r>
          </w:p>
        </w:tc>
        <w:tc>
          <w:tcPr>
            <w:tcW w:w="108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SOFR+615</w:t>
            </w: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12,439</w:t>
            </w:r>
          </w:p>
        </w:tc>
        <w:tc>
          <w:tcPr>
            <w:tcW w:w="180" w:type="dxa"/>
            <w:vAlign w:val="bottom"/>
          </w:tcPr>
          <w:p>
            <w:pPr>
              <w:spacing w:after="0"/>
              <w:rPr>
                <w:sz w:val="10"/>
                <w:szCs w:val="10"/>
                <w:color w:val="auto"/>
              </w:rPr>
            </w:pPr>
          </w:p>
        </w:tc>
        <w:tc>
          <w:tcPr>
            <w:tcW w:w="5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12,301</w:t>
            </w:r>
          </w:p>
        </w:tc>
        <w:tc>
          <w:tcPr>
            <w:tcW w:w="200" w:type="dxa"/>
            <w:vAlign w:val="bottom"/>
          </w:tcPr>
          <w:p>
            <w:pPr>
              <w:spacing w:after="0"/>
              <w:rPr>
                <w:sz w:val="10"/>
                <w:szCs w:val="10"/>
                <w:color w:val="auto"/>
              </w:rPr>
            </w:pPr>
          </w:p>
        </w:tc>
        <w:tc>
          <w:tcPr>
            <w:tcW w:w="5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12,315</w:t>
            </w:r>
          </w:p>
        </w:tc>
        <w:tc>
          <w:tcPr>
            <w:tcW w:w="0" w:type="dxa"/>
            <w:vAlign w:val="bottom"/>
          </w:tcPr>
          <w:p>
            <w:pPr>
              <w:spacing w:after="0"/>
              <w:rPr>
                <w:sz w:val="1"/>
                <w:szCs w:val="1"/>
                <w:color w:val="auto"/>
              </w:rPr>
            </w:pPr>
          </w:p>
        </w:tc>
      </w:tr>
      <w:tr>
        <w:trPr>
          <w:trHeight w:val="120"/>
        </w:trPr>
        <w:tc>
          <w:tcPr>
            <w:tcW w:w="3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12/15/2024</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9,036</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11.83%</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6,965</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6,857</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6,895</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2,426</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10.51%</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SOFR+526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15,412</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15,173</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15,217</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 - Initial Term Loans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03/13/2031</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rPr>
              <w:t>9.60%</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SOFR+475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6,965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6,895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6,987</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07/28/2026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11.25%</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2,566</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2,538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2,566</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07/28/2026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862</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08/30/2027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10.95%</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SOFR+610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3,377</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3,333</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3,356</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08/30/2027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10.95%</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SOFR+610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376</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08/30/2027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535</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10.98%</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11,888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11,808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11,888</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TPCN Midco,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06/26/2029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10.35%</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8,878</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8,749</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8,665</w:t>
            </w:r>
          </w:p>
        </w:tc>
        <w:tc>
          <w:tcPr>
            <w:tcW w:w="0" w:type="dxa"/>
            <w:vAlign w:val="bottom"/>
          </w:tcPr>
          <w:p>
            <w:pPr>
              <w:spacing w:after="0"/>
              <w:rPr>
                <w:sz w:val="1"/>
                <w:szCs w:val="1"/>
                <w:color w:val="auto"/>
              </w:rPr>
            </w:pPr>
          </w:p>
        </w:tc>
      </w:tr>
      <w:tr>
        <w:trPr>
          <w:trHeight w:val="132"/>
        </w:trPr>
        <w:tc>
          <w:tcPr>
            <w:tcW w:w="372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TPCN Midco, LLC - Unfunded Term Loan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06/26/2026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13,113</w:t>
            </w: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(184 )</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06/26/2029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2,580</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(62 )</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Auto Components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10.60%</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12,034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11,869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12,034</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TransGo,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Auto Components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4,440</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06/16/2025</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11.33%</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2,508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2,502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2,508</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06/16/2025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2,628</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04/01/2028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10.23%</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SOFR+490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11,928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11,826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11,690</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06/15/2027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10.52%</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1,200</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1,194</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1,188</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Urology Management Holdings, Inc. - Unfunded Term Loan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4,800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LLC - Term Loan </w:t>
            </w:r>
            <w:r>
              <w:rPr>
                <w:rFonts w:ascii="Times New Roman" w:cs="Times New Roman" w:eastAsia="Times New Roman" w:hAnsi="Times New Roman"/>
                <w:sz w:val="12"/>
                <w:szCs w:val="12"/>
                <w:color w:val="auto"/>
                <w:vertAlign w:val="superscript"/>
              </w:rPr>
              <w:t>(11)</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5,441</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5,026</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(11)</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(76 )</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Funded Junior Revolver </w:t>
            </w:r>
            <w:r>
              <w:rPr>
                <w:rFonts w:ascii="Times New Roman" w:cs="Times New Roman" w:eastAsia="Times New Roman" w:hAnsi="Times New Roman"/>
                <w:sz w:val="12"/>
                <w:szCs w:val="12"/>
                <w:color w:val="auto"/>
                <w:vertAlign w:val="superscript"/>
              </w:rPr>
              <w:t>(11)</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1"/>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10.60%</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9,055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8,929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8,964</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12/01/2025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2,100</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1"/>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6,300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(63 )</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02/26/2027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10.60%</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12,592</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12,498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12,592</w:t>
            </w:r>
          </w:p>
        </w:tc>
        <w:tc>
          <w:tcPr>
            <w:tcW w:w="0" w:type="dxa"/>
            <w:vAlign w:val="bottom"/>
          </w:tcPr>
          <w:p>
            <w:pPr>
              <w:spacing w:after="0"/>
              <w:rPr>
                <w:sz w:val="1"/>
                <w:szCs w:val="1"/>
                <w:color w:val="auto"/>
              </w:rPr>
            </w:pPr>
          </w:p>
        </w:tc>
      </w:tr>
      <w:tr>
        <w:trPr>
          <w:trHeight w:val="121"/>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 Unfunded Term Loan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02/26/2027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3,281</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02/26/2027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534</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Wrench Group,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10/30/2028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rPr>
              <w:t>8.87%</w:t>
            </w:r>
          </w:p>
        </w:tc>
        <w:tc>
          <w:tcPr>
            <w:tcW w:w="1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SOFR+426</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3,483</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3,475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3,480</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12.46%</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SOFR+740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13,252</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13,227</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12,656</w:t>
            </w:r>
          </w:p>
        </w:tc>
        <w:tc>
          <w:tcPr>
            <w:tcW w:w="0" w:type="dxa"/>
            <w:vAlign w:val="bottom"/>
          </w:tcPr>
          <w:p>
            <w:pPr>
              <w:spacing w:after="0"/>
              <w:rPr>
                <w:sz w:val="1"/>
                <w:szCs w:val="1"/>
                <w:color w:val="auto"/>
              </w:rPr>
            </w:pPr>
          </w:p>
        </w:tc>
      </w:tr>
      <w:tr>
        <w:trPr>
          <w:trHeight w:val="120"/>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(PIK 1.5%)</w:t>
            </w: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9"/>
              </w:rPr>
              <w:t>1,488,717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1,472,064</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 Debt - 0.3%</w:t>
            </w: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06/21/2030</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15.00%</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1,042</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1,026</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(PIK 15.00%)</w:t>
            </w: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03/08/2028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18.00%</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03/08/2028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01/08/2026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12.31%</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12.00%</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1,526</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1,526</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1,526</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2,632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2,693</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- 2.1% </w:t>
            </w:r>
            <w:r>
              <w:rPr>
                <w:rFonts w:ascii="Times New Roman" w:cs="Times New Roman" w:eastAsia="Times New Roman" w:hAnsi="Times New Roman"/>
                <w:sz w:val="12"/>
                <w:szCs w:val="12"/>
                <w:color w:val="auto"/>
                <w:vertAlign w:val="superscript"/>
              </w:rPr>
              <w:t>(6)</w:t>
            </w: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Accounting Platform Blocker, Inc -. Preferred Equity</w:t>
            </w: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1,075,900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1,076</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80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6,720</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672</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w:t>
            </w:r>
            <w:r>
              <w:rPr>
                <w:rFonts w:ascii="Times New Roman" w:cs="Times New Roman" w:eastAsia="Times New Roman" w:hAnsi="Times New Roman"/>
                <w:sz w:val="12"/>
                <w:szCs w:val="12"/>
                <w:color w:val="auto"/>
                <w:vertAlign w:val="superscript"/>
              </w:rPr>
              <w:t>(8)</w:t>
            </w: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1,400</w:t>
            </w:r>
          </w:p>
        </w:tc>
        <w:tc>
          <w:tcPr>
            <w:tcW w:w="0" w:type="dxa"/>
            <w:vAlign w:val="bottom"/>
          </w:tcPr>
          <w:p>
            <w:pPr>
              <w:spacing w:after="0"/>
              <w:rPr>
                <w:sz w:val="1"/>
                <w:szCs w:val="1"/>
                <w:color w:val="auto"/>
              </w:rPr>
            </w:pPr>
          </w:p>
        </w:tc>
      </w:tr>
      <w:tr>
        <w:trPr>
          <w:trHeight w:val="120"/>
        </w:trPr>
        <w:tc>
          <w:tcPr>
            <w:tcW w:w="37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80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2,018</w:t>
            </w:r>
          </w:p>
        </w:tc>
        <w:tc>
          <w:tcPr>
            <w:tcW w:w="18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2,298</w:t>
            </w:r>
          </w:p>
        </w:tc>
        <w:tc>
          <w:tcPr>
            <w:tcW w:w="0" w:type="dxa"/>
            <w:vAlign w:val="bottom"/>
          </w:tcPr>
          <w:p>
            <w:pPr>
              <w:spacing w:after="0"/>
              <w:rPr>
                <w:sz w:val="1"/>
                <w:szCs w:val="1"/>
                <w:color w:val="auto"/>
              </w:rPr>
            </w:pPr>
          </w:p>
        </w:tc>
      </w:tr>
      <w:tr>
        <w:trPr>
          <w:trHeight w:val="120"/>
        </w:trPr>
        <w:tc>
          <w:tcPr>
            <w:tcW w:w="37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(Preferred) </w:t>
            </w:r>
            <w:r>
              <w:rPr>
                <w:rFonts w:ascii="Times New Roman" w:cs="Times New Roman" w:eastAsia="Times New Roman" w:hAnsi="Times New Roman"/>
                <w:sz w:val="12"/>
                <w:szCs w:val="12"/>
                <w:color w:val="auto"/>
                <w:vertAlign w:val="superscript"/>
              </w:rPr>
              <w:t>(8)</w:t>
            </w:r>
          </w:p>
        </w:tc>
        <w:tc>
          <w:tcPr>
            <w:tcW w:w="80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1,437,500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2,560</w:t>
            </w:r>
          </w:p>
        </w:tc>
        <w:tc>
          <w:tcPr>
            <w:tcW w:w="0" w:type="dxa"/>
            <w:vAlign w:val="bottom"/>
          </w:tcPr>
          <w:p>
            <w:pPr>
              <w:spacing w:after="0"/>
              <w:rPr>
                <w:sz w:val="1"/>
                <w:szCs w:val="1"/>
                <w:color w:val="auto"/>
              </w:rPr>
            </w:pPr>
          </w:p>
        </w:tc>
      </w:tr>
      <w:tr>
        <w:trPr>
          <w:trHeight w:val="158"/>
        </w:trPr>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C5MI Holdco, LLC. - Preferred Equity </w:t>
            </w:r>
            <w:r>
              <w:rPr>
                <w:rFonts w:ascii="Times New Roman" w:cs="Times New Roman" w:eastAsia="Times New Roman" w:hAnsi="Times New Roman"/>
                <w:sz w:val="12"/>
                <w:szCs w:val="12"/>
                <w:color w:val="auto"/>
                <w:vertAlign w:val="superscript"/>
              </w:rPr>
              <w:t>(8)</w:t>
            </w:r>
          </w:p>
        </w:tc>
        <w:tc>
          <w:tcPr>
            <w:tcW w:w="8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228,900</w:t>
            </w:r>
          </w:p>
        </w:tc>
        <w:tc>
          <w:tcPr>
            <w:tcW w:w="180" w:type="dxa"/>
            <w:vAlign w:val="bottom"/>
          </w:tcPr>
          <w:p>
            <w:pPr>
              <w:spacing w:after="0"/>
              <w:rPr>
                <w:sz w:val="13"/>
                <w:szCs w:val="13"/>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223</w:t>
            </w:r>
          </w:p>
        </w:tc>
        <w:tc>
          <w:tcPr>
            <w:tcW w:w="200" w:type="dxa"/>
            <w:vAlign w:val="bottom"/>
          </w:tcPr>
          <w:p>
            <w:pPr>
              <w:spacing w:after="0"/>
              <w:rPr>
                <w:sz w:val="13"/>
                <w:szCs w:val="13"/>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ind w:left="154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40" w:type="dxa"/>
            <w:vAlign w:val="bottom"/>
          </w:tcPr>
          <w:p>
            <w:pPr>
              <w:ind w:left="6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8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 Preferred Equity </w:t>
            </w:r>
            <w:r>
              <w:rPr>
                <w:rFonts w:ascii="Times New Roman" w:cs="Times New Roman" w:eastAsia="Times New Roman" w:hAnsi="Times New Roman"/>
                <w:sz w:val="12"/>
                <w:szCs w:val="12"/>
                <w:color w:val="auto"/>
                <w:vertAlign w:val="superscript"/>
              </w:rPr>
              <w:t>(8)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876,386</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1,455</w:t>
            </w:r>
          </w:p>
        </w:tc>
        <w:tc>
          <w:tcPr>
            <w:tcW w:w="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1,631</w:t>
            </w:r>
          </w:p>
        </w:tc>
        <w:tc>
          <w:tcPr>
            <w:tcW w:w="0" w:type="dxa"/>
            <w:vAlign w:val="bottom"/>
          </w:tcPr>
          <w:p>
            <w:pPr>
              <w:spacing w:after="0"/>
              <w:rPr>
                <w:sz w:val="1"/>
                <w:szCs w:val="1"/>
                <w:color w:val="auto"/>
              </w:rPr>
            </w:pPr>
          </w:p>
        </w:tc>
      </w:tr>
      <w:tr>
        <w:trPr>
          <w:trHeight w:val="124"/>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(Preferred Equity)</w:t>
            </w:r>
          </w:p>
        </w:tc>
        <w:tc>
          <w:tcPr>
            <w:tcW w:w="1240" w:type="dxa"/>
            <w:vAlign w:val="bottom"/>
          </w:tcPr>
          <w:p>
            <w:pPr>
              <w:spacing w:after="0"/>
              <w:rPr>
                <w:sz w:val="10"/>
                <w:szCs w:val="10"/>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64</w:t>
            </w:r>
          </w:p>
        </w:tc>
        <w:tc>
          <w:tcPr>
            <w:tcW w:w="200" w:type="dxa"/>
            <w:vAlign w:val="bottom"/>
          </w:tcPr>
          <w:p>
            <w:pPr>
              <w:spacing w:after="0"/>
              <w:rPr>
                <w:sz w:val="10"/>
                <w:szCs w:val="10"/>
                <w:color w:val="auto"/>
              </w:rPr>
            </w:pPr>
          </w:p>
        </w:tc>
        <w:tc>
          <w:tcPr>
            <w:tcW w:w="4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64</w:t>
            </w:r>
          </w:p>
        </w:tc>
        <w:tc>
          <w:tcPr>
            <w:tcW w:w="280" w:type="dxa"/>
            <w:vAlign w:val="bottom"/>
          </w:tcPr>
          <w:p>
            <w:pPr>
              <w:spacing w:after="0"/>
              <w:rPr>
                <w:sz w:val="10"/>
                <w:szCs w:val="10"/>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04"/>
        </w:trPr>
        <w:tc>
          <w:tcPr>
            <w:tcW w:w="32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(Preferred Equity) </w:t>
            </w:r>
            <w:r>
              <w:rPr>
                <w:rFonts w:ascii="Times New Roman" w:cs="Times New Roman" w:eastAsia="Times New Roman" w:hAnsi="Times New Roman"/>
                <w:sz w:val="12"/>
                <w:szCs w:val="12"/>
                <w:color w:val="auto"/>
                <w:vertAlign w:val="superscript"/>
              </w:rPr>
              <w:t>(8)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116,588</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76</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8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2"/>
              </w:rPr>
              <w:t>8.00%</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1,236,027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1,236</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1,432</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200" w:type="dxa"/>
            <w:vAlign w:val="bottom"/>
            <w:shd w:val="clear" w:color="auto" w:fill="CCECFF"/>
          </w:tcPr>
          <w:p>
            <w:pPr>
              <w:spacing w:after="0"/>
              <w:rPr>
                <w:sz w:val="10"/>
                <w:szCs w:val="10"/>
                <w:color w:val="auto"/>
              </w:rPr>
            </w:pP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8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Preferred A Equity</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9,360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936</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1,935</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2,621</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 (Preferred Equity)</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 Preferred Equity </w:t>
            </w:r>
            <w:r>
              <w:rPr>
                <w:rFonts w:ascii="Times New Roman" w:cs="Times New Roman" w:eastAsia="Times New Roman" w:hAnsi="Times New Roman"/>
                <w:sz w:val="12"/>
                <w:szCs w:val="12"/>
                <w:color w:val="auto"/>
                <w:vertAlign w:val="superscript"/>
              </w:rPr>
              <w:t>(8)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Preferred Equity </w:t>
            </w:r>
            <w:r>
              <w:rPr>
                <w:rFonts w:ascii="Times New Roman" w:cs="Times New Roman" w:eastAsia="Times New Roman" w:hAnsi="Times New Roman"/>
                <w:sz w:val="12"/>
                <w:szCs w:val="12"/>
                <w:color w:val="auto"/>
                <w:vertAlign w:val="superscript"/>
              </w:rPr>
              <w:t>(8)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18,450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1,976</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Preferred Equity </w:t>
            </w:r>
            <w:r>
              <w:rPr>
                <w:rFonts w:ascii="Times New Roman" w:cs="Times New Roman" w:eastAsia="Times New Roman" w:hAnsi="Times New Roman"/>
                <w:sz w:val="12"/>
                <w:szCs w:val="12"/>
                <w:color w:val="auto"/>
                <w:vertAlign w:val="superscript"/>
              </w:rPr>
              <w:t>(8)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19,584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(7)</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Food Products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409</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409</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662</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 Super Senior Preferred Equity </w:t>
            </w:r>
            <w:r>
              <w:rPr>
                <w:rFonts w:ascii="Times New Roman" w:cs="Times New Roman" w:eastAsia="Times New Roman" w:hAnsi="Times New Roman"/>
                <w:sz w:val="12"/>
                <w:szCs w:val="12"/>
                <w:color w:val="auto"/>
                <w:vertAlign w:val="superscript"/>
              </w:rPr>
              <w:t>(7)</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7"/>
              </w:rPr>
              <w:t>20.00%</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343,861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344</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 Senior Preferred Equity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7"/>
              </w:rPr>
              <w:t>19.00%</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448,851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449</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12"/>
                <w:szCs w:val="12"/>
                <w:color w:val="auto"/>
                <w:vertAlign w:val="superscript"/>
              </w:rPr>
              <w:t>(7)</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7"/>
              </w:rPr>
              <w:t>13.50%</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1,047,317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670</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16,031</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18,305</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Common Equity/Warrants - 15.9% </w:t>
            </w:r>
            <w:r>
              <w:rPr>
                <w:rFonts w:ascii="Times New Roman" w:cs="Times New Roman" w:eastAsia="Times New Roman" w:hAnsi="Times New Roman"/>
                <w:sz w:val="12"/>
                <w:szCs w:val="12"/>
                <w:color w:val="auto"/>
                <w:vertAlign w:val="superscript"/>
              </w:rPr>
              <w:t>(6)</w:t>
            </w:r>
          </w:p>
        </w:tc>
        <w:tc>
          <w:tcPr>
            <w:tcW w:w="1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647,943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648</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3,000,500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3,001</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3,614</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7,467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Aechelon InvestCo, LP - Common Equity</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31,675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3,168</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3,168</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(9)</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31,675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2,632</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2,632</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3,686</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805,164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 (9)</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194,836</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Altamira Intermediate Company II, Inc.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1,437,500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1,438</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1,736</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2,018</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4,678</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3,837</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Holdings, LP</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1,313</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1,313</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1,179</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12"/>
                <w:szCs w:val="12"/>
                <w:color w:val="auto"/>
                <w:vertAlign w:val="superscript"/>
              </w:rPr>
              <w:t>(7), (8)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22,789</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803</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18,788</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Parent, L.P.</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239,680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240</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247</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2,719,600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2,664</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2,638</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Parent, LLC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38,278</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421</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236</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1,025,476</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973</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921</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Acquisition Parent Holdings, L.P.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220</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Common Equity </w:t>
            </w:r>
            <w:r>
              <w:rPr>
                <w:rFonts w:ascii="Times New Roman" w:cs="Times New Roman" w:eastAsia="Times New Roman" w:hAnsi="Times New Roman"/>
                <w:sz w:val="12"/>
                <w:szCs w:val="12"/>
                <w:color w:val="auto"/>
                <w:vertAlign w:val="superscript"/>
              </w:rPr>
              <w:t>(8)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1,659,050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1,659</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1,654</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804,615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763</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 (9)</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200,255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EQUITY, LP – Common Equity</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686,400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686</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686</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(7), (10)</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237</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639</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10"/>
                <w:szCs w:val="10"/>
                <w:color w:val="auto"/>
              </w:rPr>
            </w:pP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8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1,125,000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1,125</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1,256</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541,667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542</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 (8)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21,665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727</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1,773</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 (8), (9)</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7,566</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655,714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656</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374,444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Gauge Lash Coinvest LLC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1,840,021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1,393</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5,349</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Loving Tan, LP</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2,914,701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2,915</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3,207</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Gauge Schlesinger Coinvest LLC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476</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268</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3,342</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4,555</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Topco, LLC – Common Equity </w:t>
            </w:r>
            <w:r>
              <w:rPr>
                <w:rFonts w:ascii="Times New Roman" w:cs="Times New Roman" w:eastAsia="Times New Roman" w:hAnsi="Times New Roman"/>
                <w:sz w:val="12"/>
                <w:szCs w:val="12"/>
                <w:color w:val="auto"/>
                <w:vertAlign w:val="superscript"/>
              </w:rPr>
              <w:t>(8)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2,759,800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2,760</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2,760</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GMP Hills, L.P.</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4,430,843</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4,431</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4,342</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(7), (8)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450,000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275</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HPA SPQ Aggregator LP</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750,399</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1,870,915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1,871</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1,872</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 (9)</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629,085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IIN Group Holdings, LLC </w:t>
            </w:r>
            <w:r>
              <w:rPr>
                <w:rFonts w:ascii="Times New Roman" w:cs="Times New Roman" w:eastAsia="Times New Roman" w:hAnsi="Times New Roman"/>
                <w:sz w:val="12"/>
                <w:szCs w:val="12"/>
                <w:color w:val="auto"/>
                <w:vertAlign w:val="superscript"/>
              </w:rPr>
              <w:t>(8)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 (Common)</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1,236,027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1,218,045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1,218</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1,535</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Ironclad Holdco, LLC (Applied Technical Services, LLC) </w:t>
            </w:r>
            <w:r>
              <w:rPr>
                <w:rFonts w:ascii="Times New Roman" w:cs="Times New Roman" w:eastAsia="Times New Roman" w:hAnsi="Times New Roman"/>
                <w:sz w:val="12"/>
                <w:szCs w:val="12"/>
                <w:color w:val="auto"/>
                <w:vertAlign w:val="superscript"/>
              </w:rPr>
              <w:t>(7)</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6,355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668</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988</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116,032</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1,175</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1,745</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1,734,775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1,735</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1,985</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(7), (8)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Energy Equipment and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382,353</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385</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865</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1,004</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Lightspeed Investment Holdco LLC </w:t>
            </w:r>
            <w:r>
              <w:rPr>
                <w:rFonts w:ascii="Times New Roman" w:cs="Times New Roman" w:eastAsia="Times New Roman" w:hAnsi="Times New Roman"/>
                <w:sz w:val="12"/>
                <w:szCs w:val="12"/>
                <w:color w:val="auto"/>
                <w:vertAlign w:val="superscript"/>
              </w:rPr>
              <w:t>(7)</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585,587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586</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2,118</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1,638,043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1,638</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1,998</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73,870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2,062</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904</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(8)</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46,974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30,926</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10,761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1,078</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c>
          <w:tcPr>
            <w:tcW w:w="0" w:type="dxa"/>
            <w:vAlign w:val="bottom"/>
          </w:tcPr>
          <w:p>
            <w:pPr>
              <w:spacing w:after="0"/>
              <w:rPr>
                <w:sz w:val="1"/>
                <w:szCs w:val="1"/>
                <w:color w:val="auto"/>
              </w:rPr>
            </w:pPr>
          </w:p>
        </w:tc>
      </w:tr>
      <w:tr>
        <w:trPr>
          <w:trHeight w:val="120"/>
        </w:trPr>
        <w:tc>
          <w:tcPr>
            <w:tcW w:w="32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(8)</w:t>
            </w:r>
          </w:p>
        </w:tc>
        <w:tc>
          <w:tcPr>
            <w:tcW w:w="12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819,231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806</w:t>
            </w:r>
          </w:p>
        </w:tc>
        <w:tc>
          <w:tcPr>
            <w:tcW w:w="28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200" w:type="dxa"/>
            <w:vAlign w:val="bottom"/>
            <w:shd w:val="clear" w:color="auto" w:fill="CCECFF"/>
          </w:tcPr>
          <w:p>
            <w:pPr>
              <w:spacing w:after="0"/>
              <w:rPr>
                <w:sz w:val="10"/>
                <w:szCs w:val="10"/>
                <w:color w:val="auto"/>
              </w:rPr>
            </w:pP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8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Common A Equity</w:t>
            </w:r>
          </w:p>
        </w:tc>
        <w:tc>
          <w:tcPr>
            <w:tcW w:w="1240" w:type="dxa"/>
            <w:vAlign w:val="bottom"/>
            <w:shd w:val="clear" w:color="auto" w:fill="CCECFF"/>
          </w:tcPr>
          <w:p>
            <w:pPr>
              <w:spacing w:after="0"/>
              <w:rPr>
                <w:sz w:val="10"/>
                <w:szCs w:val="10"/>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2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w:t>
            </w:r>
            <w:r>
              <w:rPr>
                <w:rFonts w:ascii="Times New Roman" w:cs="Times New Roman" w:eastAsia="Times New Roman" w:hAnsi="Times New Roman"/>
                <w:sz w:val="12"/>
                <w:szCs w:val="12"/>
                <w:color w:val="auto"/>
                <w:vertAlign w:val="superscript"/>
              </w:rPr>
              <w:t>(7)</w:t>
            </w:r>
          </w:p>
        </w:tc>
        <w:tc>
          <w:tcPr>
            <w:tcW w:w="124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1,973,370</w:t>
            </w:r>
          </w:p>
        </w:tc>
        <w:tc>
          <w:tcPr>
            <w:tcW w:w="200" w:type="dxa"/>
            <w:vAlign w:val="bottom"/>
          </w:tcPr>
          <w:p>
            <w:pPr>
              <w:spacing w:after="0"/>
              <w:rPr>
                <w:sz w:val="13"/>
                <w:szCs w:val="13"/>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2,005</w:t>
            </w:r>
          </w:p>
        </w:tc>
        <w:tc>
          <w:tcPr>
            <w:tcW w:w="280" w:type="dxa"/>
            <w:vAlign w:val="bottom"/>
          </w:tcPr>
          <w:p>
            <w:pPr>
              <w:spacing w:after="0"/>
              <w:rPr>
                <w:sz w:val="13"/>
                <w:szCs w:val="13"/>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3,157</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4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540" w:type="dxa"/>
            <w:vAlign w:val="bottom"/>
          </w:tcPr>
          <w:p>
            <w:pPr>
              <w:ind w:left="164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80" w:type="dxa"/>
            <w:vAlign w:val="bottom"/>
          </w:tcPr>
          <w:p>
            <w:pPr>
              <w:jc w:val="center"/>
              <w:ind w:left="29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4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140" w:type="dxa"/>
            <w:vAlign w:val="bottom"/>
          </w:tcPr>
          <w:p>
            <w:pPr>
              <w:spacing w:after="0"/>
              <w:rPr>
                <w:sz w:val="10"/>
                <w:szCs w:val="10"/>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00" w:type="dxa"/>
            <w:vAlign w:val="bottom"/>
          </w:tcPr>
          <w:p>
            <w:pPr>
              <w:spacing w:after="0"/>
              <w:rPr>
                <w:sz w:val="10"/>
                <w:szCs w:val="10"/>
                <w:color w:val="auto"/>
              </w:rPr>
            </w:pPr>
          </w:p>
        </w:tc>
        <w:tc>
          <w:tcPr>
            <w:tcW w:w="7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(7), (8)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1,494</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1,438</w:t>
            </w:r>
          </w:p>
        </w:tc>
        <w:tc>
          <w:tcPr>
            <w:tcW w:w="80" w:type="dxa"/>
            <w:vAlign w:val="bottom"/>
            <w:shd w:val="clear" w:color="auto" w:fill="CCECFF"/>
          </w:tcPr>
          <w:p>
            <w:pPr>
              <w:spacing w:after="0"/>
              <w:rPr>
                <w:sz w:val="10"/>
                <w:szCs w:val="10"/>
                <w:color w:val="auto"/>
              </w:rPr>
            </w:pPr>
          </w:p>
        </w:tc>
        <w:tc>
          <w:tcPr>
            <w:tcW w:w="240" w:type="dxa"/>
            <w:vAlign w:val="bottom"/>
            <w:gridSpan w:val="2"/>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Insight Holdings, Inc. - Common Equity</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158,348</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2,672,646</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2,673</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4,171</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1,337,017</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1,337</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2,544</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2,525</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2,256</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(8)</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223,602</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37,561</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496</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12"/>
                <w:szCs w:val="12"/>
                <w:color w:val="auto"/>
                <w:vertAlign w:val="superscript"/>
              </w:rPr>
              <w:t>(7), (8)</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173,638</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OES Co-Invest, LP - Class A Common Equity</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1,560</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1,574</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1,739</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1,158,239</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738</w:t>
            </w:r>
          </w:p>
        </w:tc>
        <w:tc>
          <w:tcPr>
            <w:tcW w:w="80" w:type="dxa"/>
            <w:vAlign w:val="bottom"/>
          </w:tcPr>
          <w:p>
            <w:pPr>
              <w:spacing w:after="0"/>
              <w:rPr>
                <w:sz w:val="10"/>
                <w:szCs w:val="10"/>
                <w:color w:val="auto"/>
              </w:rPr>
            </w:pPr>
          </w:p>
        </w:tc>
      </w:tr>
      <w:tr>
        <w:trPr>
          <w:trHeight w:val="168"/>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(9)</w:t>
            </w:r>
          </w:p>
        </w:tc>
        <w:tc>
          <w:tcPr>
            <w:tcW w:w="1080" w:type="dxa"/>
            <w:vAlign w:val="bottom"/>
            <w:shd w:val="clear" w:color="auto" w:fill="CCECFF"/>
          </w:tcPr>
          <w:p>
            <w:pPr>
              <w:spacing w:after="0"/>
              <w:rPr>
                <w:sz w:val="14"/>
                <w:szCs w:val="14"/>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00" w:type="dxa"/>
            <w:vAlign w:val="bottom"/>
            <w:shd w:val="clear" w:color="auto" w:fill="CCECFF"/>
          </w:tcPr>
          <w:p>
            <w:pPr>
              <w:spacing w:after="0"/>
              <w:rPr>
                <w:sz w:val="14"/>
                <w:szCs w:val="14"/>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91,761</w:t>
            </w:r>
          </w:p>
        </w:tc>
        <w:tc>
          <w:tcPr>
            <w:tcW w:w="140" w:type="dxa"/>
            <w:vAlign w:val="bottom"/>
            <w:shd w:val="clear" w:color="auto" w:fill="CCECFF"/>
          </w:tcPr>
          <w:p>
            <w:pPr>
              <w:spacing w:after="0"/>
              <w:rPr>
                <w:sz w:val="14"/>
                <w:szCs w:val="14"/>
                <w:color w:val="auto"/>
              </w:rPr>
            </w:pPr>
          </w:p>
        </w:tc>
        <w:tc>
          <w:tcPr>
            <w:tcW w:w="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(33 )</w:t>
            </w: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1,474</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1,727,679</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1,728</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1,098</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80,170</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 - Common Equity</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1,902,200</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1,902</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1,902</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Parent, LP - Common Equity</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423,247</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LP </w:t>
            </w:r>
            <w:r>
              <w:rPr>
                <w:rFonts w:ascii="Times New Roman" w:cs="Times New Roman" w:eastAsia="Times New Roman" w:hAnsi="Times New Roman"/>
                <w:sz w:val="12"/>
                <w:szCs w:val="12"/>
                <w:color w:val="auto"/>
                <w:vertAlign w:val="superscript"/>
              </w:rPr>
              <w:t>(7)</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11,167,847</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11,168</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9,186</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(8)</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1,735</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610,583</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611</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266,864</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700</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 (9)</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955</w:t>
            </w:r>
          </w:p>
        </w:tc>
        <w:tc>
          <w:tcPr>
            <w:tcW w:w="14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(7), (8)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RFMG Parent, LP (Rancho Health MSO, Inc.) </w:t>
            </w:r>
            <w:r>
              <w:rPr>
                <w:rFonts w:ascii="Times New Roman" w:cs="Times New Roman" w:eastAsia="Times New Roman" w:hAnsi="Times New Roman"/>
                <w:sz w:val="12"/>
                <w:szCs w:val="12"/>
                <w:color w:val="auto"/>
                <w:vertAlign w:val="superscript"/>
              </w:rPr>
              <w:t>(7)</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Equipment and Supplies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1,050,000</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1,309</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 Common Equity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Building Products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596</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596</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648.00</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SBI Holdings Investments LLC (Sales Benchmark Index LLC) </w:t>
            </w:r>
            <w:r>
              <w:rPr>
                <w:rFonts w:ascii="Times New Roman" w:cs="Times New Roman" w:eastAsia="Times New Roman" w:hAnsi="Times New Roman"/>
                <w:sz w:val="12"/>
                <w:szCs w:val="12"/>
                <w:color w:val="auto"/>
                <w:vertAlign w:val="superscript"/>
              </w:rPr>
              <w:t>(7)</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64,634</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716</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296</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199</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 L2 Holdings, LLC (Ledge Lounger, Inc.)</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360,103</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SSC Dominion Holdings, LLC - Class B (US Dominion, Inc.) </w:t>
            </w:r>
            <w:r>
              <w:rPr>
                <w:rFonts w:ascii="Times New Roman" w:cs="Times New Roman" w:eastAsia="Times New Roman" w:hAnsi="Times New Roman"/>
                <w:sz w:val="12"/>
                <w:szCs w:val="12"/>
                <w:color w:val="auto"/>
                <w:vertAlign w:val="superscript"/>
              </w:rPr>
              <w:t>(7)</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1,385</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StellPen Holdings, LLC (CF512, Inc.) </w:t>
            </w:r>
            <w:r>
              <w:rPr>
                <w:rFonts w:ascii="Times New Roman" w:cs="Times New Roman" w:eastAsia="Times New Roman" w:hAnsi="Times New Roman"/>
                <w:sz w:val="12"/>
                <w:szCs w:val="12"/>
                <w:color w:val="auto"/>
                <w:vertAlign w:val="superscript"/>
              </w:rPr>
              <w:t>(7)</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161,538</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61</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535</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1,157</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(7), (8)</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533,833</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815</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Co-Invest, LP</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9,108</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1,760</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1,357</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(Infolinks Media Buyco, LLC) </w:t>
            </w:r>
            <w:r>
              <w:rPr>
                <w:rFonts w:ascii="Times New Roman" w:cs="Times New Roman" w:eastAsia="Times New Roman" w:hAnsi="Times New Roman"/>
                <w:sz w:val="12"/>
                <w:szCs w:val="12"/>
                <w:color w:val="auto"/>
                <w:vertAlign w:val="superscript"/>
              </w:rPr>
              <w:t>(8)</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221,296</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335</w:t>
            </w:r>
          </w:p>
        </w:tc>
        <w:tc>
          <w:tcPr>
            <w:tcW w:w="80" w:type="dxa"/>
            <w:vAlign w:val="bottom"/>
          </w:tcPr>
          <w:p>
            <w:pPr>
              <w:spacing w:after="0"/>
              <w:rPr>
                <w:sz w:val="10"/>
                <w:szCs w:val="10"/>
                <w:color w:val="auto"/>
              </w:rPr>
            </w:pPr>
          </w:p>
        </w:tc>
      </w:tr>
      <w:tr>
        <w:trPr>
          <w:trHeight w:val="156"/>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(Infolinks Media Buyco, LLC) </w:t>
            </w:r>
            <w:r>
              <w:rPr>
                <w:rFonts w:ascii="Times New Roman" w:cs="Times New Roman" w:eastAsia="Times New Roman" w:hAnsi="Times New Roman"/>
                <w:sz w:val="12"/>
                <w:szCs w:val="12"/>
                <w:color w:val="auto"/>
                <w:vertAlign w:val="superscript"/>
              </w:rPr>
              <w:t>(8), (9)</w:t>
            </w:r>
          </w:p>
        </w:tc>
        <w:tc>
          <w:tcPr>
            <w:tcW w:w="1080" w:type="dxa"/>
            <w:vAlign w:val="bottom"/>
            <w:shd w:val="clear" w:color="auto" w:fill="CCECFF"/>
          </w:tcPr>
          <w:p>
            <w:pPr>
              <w:spacing w:after="0"/>
              <w:rPr>
                <w:sz w:val="13"/>
                <w:szCs w:val="13"/>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00" w:type="dxa"/>
            <w:vAlign w:val="bottom"/>
            <w:shd w:val="clear" w:color="auto" w:fill="CCECFF"/>
          </w:tcPr>
          <w:p>
            <w:pPr>
              <w:spacing w:after="0"/>
              <w:rPr>
                <w:sz w:val="13"/>
                <w:szCs w:val="13"/>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144,310</w:t>
            </w: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(7)</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21,527</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Holdings, LLC - Common Equity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1,053,200</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1,053</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864.00</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749</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UniTek Global Services, Inc.(C)</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213,739</w:t>
            </w:r>
          </w:p>
        </w:tc>
        <w:tc>
          <w:tcPr>
            <w:tcW w:w="140" w:type="dxa"/>
            <w:vAlign w:val="bottom"/>
            <w:shd w:val="clear" w:color="auto" w:fill="CCECFF"/>
          </w:tcPr>
          <w:p>
            <w:pPr>
              <w:spacing w:after="0"/>
              <w:rPr>
                <w:sz w:val="10"/>
                <w:szCs w:val="10"/>
                <w:color w:val="auto"/>
              </w:rPr>
            </w:pPr>
          </w:p>
        </w:tc>
        <w:tc>
          <w:tcPr>
            <w:tcW w:w="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(7), (8)</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400</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844</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694,444</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694</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740</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Holdco LLC</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36,458</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5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12,419</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1,242</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1,292</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(8)</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208</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3,754</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3,793</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3,987</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(8)</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2"/>
                <w:szCs w:val="12"/>
                <w:color w:val="auto"/>
                <w:vertAlign w:val="superscript"/>
              </w:rPr>
              <w:t>(9)</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246</w:t>
            </w:r>
          </w:p>
        </w:tc>
        <w:tc>
          <w:tcPr>
            <w:tcW w:w="14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Parent, LP (Wildcat Buyerco, Inc.) </w:t>
            </w:r>
            <w:r>
              <w:rPr>
                <w:rFonts w:ascii="Times New Roman" w:cs="Times New Roman" w:eastAsia="Times New Roman" w:hAnsi="Times New Roman"/>
                <w:sz w:val="12"/>
                <w:szCs w:val="12"/>
                <w:color w:val="auto"/>
                <w:vertAlign w:val="superscript"/>
              </w:rPr>
              <w:t>(7)</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2,240</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816</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UniTek Global Services, Inc.(W)</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23,889</w:t>
            </w:r>
          </w:p>
        </w:tc>
        <w:tc>
          <w:tcPr>
            <w:tcW w:w="14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87,345</w:t>
            </w:r>
          </w:p>
        </w:tc>
        <w:tc>
          <w:tcPr>
            <w:tcW w:w="140" w:type="dxa"/>
            <w:vAlign w:val="bottom"/>
            <w:shd w:val="clear" w:color="auto" w:fill="CCECFF"/>
          </w:tcPr>
          <w:p>
            <w:pPr>
              <w:spacing w:after="0"/>
              <w:rPr>
                <w:sz w:val="10"/>
                <w:szCs w:val="10"/>
                <w:color w:val="auto"/>
              </w:rPr>
            </w:pPr>
          </w:p>
        </w:tc>
        <w:tc>
          <w:tcPr>
            <w:tcW w:w="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927</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115,289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139,207</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1,622,669</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1,632,269</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- 40.0% </w:t>
            </w:r>
            <w:r>
              <w:rPr>
                <w:rFonts w:ascii="Times New Roman" w:cs="Times New Roman" w:eastAsia="Times New Roman" w:hAnsi="Times New Roman"/>
                <w:sz w:val="12"/>
                <w:szCs w:val="12"/>
                <w:color w:val="auto"/>
                <w:vertAlign w:val="superscript"/>
              </w:rPr>
              <w:t>(3), (4)</w:t>
            </w: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- 31.3%</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(7)</w:t>
            </w:r>
          </w:p>
        </w:tc>
        <w:tc>
          <w:tcPr>
            <w:tcW w:w="1080" w:type="dxa"/>
            <w:vAlign w:val="bottom"/>
          </w:tcPr>
          <w:p>
            <w:pPr>
              <w:jc w:val="center"/>
              <w:ind w:left="312"/>
              <w:spacing w:after="0"/>
              <w:rPr>
                <w:sz w:val="20"/>
                <w:szCs w:val="20"/>
                <w:color w:val="auto"/>
              </w:rPr>
            </w:pPr>
            <w:r>
              <w:rPr>
                <w:rFonts w:ascii="Times New Roman" w:cs="Times New Roman" w:eastAsia="Times New Roman" w:hAnsi="Times New Roman"/>
                <w:sz w:val="10"/>
                <w:szCs w:val="10"/>
                <w:color w:val="auto"/>
                <w:w w:val="96"/>
              </w:rPr>
              <w:t>09/30/2025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5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7"/>
              </w:rPr>
              <w:t>10.26%</w:t>
            </w:r>
          </w:p>
        </w:tc>
        <w:tc>
          <w:tcPr>
            <w:tcW w:w="240" w:type="dxa"/>
            <w:vAlign w:val="bottom"/>
          </w:tcPr>
          <w:p>
            <w:pPr>
              <w:spacing w:after="0"/>
              <w:rPr>
                <w:sz w:val="10"/>
                <w:szCs w:val="10"/>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3M SOFR+540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10,213</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10,213</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w:t>
            </w:r>
            <w:r>
              <w:rPr>
                <w:rFonts w:ascii="Times New Roman" w:cs="Times New Roman" w:eastAsia="Times New Roman" w:hAnsi="Times New Roman"/>
                <w:sz w:val="12"/>
                <w:szCs w:val="12"/>
                <w:color w:val="auto"/>
                <w:vertAlign w:val="superscript"/>
              </w:rPr>
              <w:t>(7)</w:t>
            </w:r>
          </w:p>
        </w:tc>
        <w:tc>
          <w:tcPr>
            <w:tcW w:w="1080" w:type="dxa"/>
            <w:vAlign w:val="bottom"/>
            <w:shd w:val="clear" w:color="auto" w:fill="CCECFF"/>
          </w:tcPr>
          <w:p>
            <w:pPr>
              <w:jc w:val="center"/>
              <w:ind w:left="312"/>
              <w:spacing w:after="0"/>
              <w:rPr>
                <w:sz w:val="20"/>
                <w:szCs w:val="20"/>
                <w:color w:val="auto"/>
              </w:rPr>
            </w:pPr>
            <w:r>
              <w:rPr>
                <w:rFonts w:ascii="Times New Roman" w:cs="Times New Roman" w:eastAsia="Times New Roman" w:hAnsi="Times New Roman"/>
                <w:sz w:val="10"/>
                <w:szCs w:val="10"/>
                <w:color w:val="auto"/>
                <w:w w:val="96"/>
              </w:rPr>
              <w:t>09/30/2025</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3,122</w:t>
            </w:r>
          </w:p>
        </w:tc>
        <w:tc>
          <w:tcPr>
            <w:tcW w:w="140" w:type="dxa"/>
            <w:vAlign w:val="bottom"/>
            <w:shd w:val="clear" w:color="auto" w:fill="CCECFF"/>
          </w:tcPr>
          <w:p>
            <w:pPr>
              <w:spacing w:after="0"/>
              <w:rPr>
                <w:sz w:val="10"/>
                <w:szCs w:val="10"/>
                <w:color w:val="auto"/>
              </w:rPr>
            </w:pPr>
          </w:p>
        </w:tc>
        <w:tc>
          <w:tcPr>
            <w:tcW w:w="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1080" w:type="dxa"/>
            <w:vAlign w:val="bottom"/>
          </w:tcPr>
          <w:p>
            <w:pPr>
              <w:jc w:val="center"/>
              <w:ind w:left="312"/>
              <w:spacing w:after="0"/>
              <w:rPr>
                <w:sz w:val="20"/>
                <w:szCs w:val="20"/>
                <w:color w:val="auto"/>
              </w:rPr>
            </w:pPr>
            <w:r>
              <w:rPr>
                <w:rFonts w:ascii="Times New Roman" w:cs="Times New Roman" w:eastAsia="Times New Roman" w:hAnsi="Times New Roman"/>
                <w:sz w:val="10"/>
                <w:szCs w:val="10"/>
                <w:color w:val="auto"/>
                <w:w w:val="96"/>
              </w:rPr>
              <w:t>09/30/2026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5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7"/>
              </w:rPr>
              <w:t>10.26%</w:t>
            </w:r>
          </w:p>
        </w:tc>
        <w:tc>
          <w:tcPr>
            <w:tcW w:w="240" w:type="dxa"/>
            <w:vAlign w:val="bottom"/>
          </w:tcPr>
          <w:p>
            <w:pPr>
              <w:spacing w:after="0"/>
              <w:rPr>
                <w:sz w:val="10"/>
                <w:szCs w:val="10"/>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3M SOFR+540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26,771</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22,558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26,771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(10)</w:t>
            </w:r>
          </w:p>
        </w:tc>
        <w:tc>
          <w:tcPr>
            <w:tcW w:w="1080" w:type="dxa"/>
            <w:vAlign w:val="bottom"/>
            <w:shd w:val="clear" w:color="auto" w:fill="CCECFF"/>
          </w:tcPr>
          <w:p>
            <w:pPr>
              <w:jc w:val="center"/>
              <w:ind w:left="312"/>
              <w:spacing w:after="0"/>
              <w:rPr>
                <w:sz w:val="20"/>
                <w:szCs w:val="20"/>
                <w:color w:val="auto"/>
              </w:rPr>
            </w:pPr>
            <w:r>
              <w:rPr>
                <w:rFonts w:ascii="Times New Roman" w:cs="Times New Roman" w:eastAsia="Times New Roman" w:hAnsi="Times New Roman"/>
                <w:sz w:val="10"/>
                <w:szCs w:val="10"/>
                <w:color w:val="auto"/>
                <w:w w:val="96"/>
              </w:rPr>
              <w:t>05/06/2029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5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7"/>
              </w:rPr>
              <w:t>13.28%</w:t>
            </w: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SOFR+800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237,650</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237,650</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237,650</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270,421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274,634</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Interests - 8.7%</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New MPE Holdings, LLC - Common Equity </w:t>
            </w:r>
            <w:r>
              <w:rPr>
                <w:rFonts w:ascii="Times New Roman" w:cs="Times New Roman" w:eastAsia="Times New Roman" w:hAnsi="Times New Roman"/>
                <w:sz w:val="12"/>
                <w:szCs w:val="12"/>
                <w:color w:val="auto"/>
                <w:vertAlign w:val="superscript"/>
              </w:rPr>
              <w:t>(8)</w:t>
            </w:r>
          </w:p>
        </w:tc>
        <w:tc>
          <w:tcPr>
            <w:tcW w:w="1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500" w:type="dxa"/>
            <w:vAlign w:val="bottom"/>
          </w:tcPr>
          <w:p>
            <w:pPr>
              <w:spacing w:after="0"/>
              <w:rPr>
                <w:sz w:val="10"/>
                <w:szCs w:val="1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349</w:t>
            </w:r>
          </w:p>
        </w:tc>
        <w:tc>
          <w:tcPr>
            <w:tcW w:w="14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20,123</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(10)</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101,850</w:t>
            </w: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101,850</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56,478</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Interests</w:t>
            </w: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101,850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76,601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372,271</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351,235</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- 226.1%</w:t>
            </w: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1,994,940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1,983,504</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- 12.8%</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Money Market - BlackRock Federal FD Institutional 81</w:t>
            </w: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2"/>
              </w:rPr>
              <w:t>5.03%</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22,211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22,211</w:t>
            </w:r>
          </w:p>
        </w:tc>
        <w:tc>
          <w:tcPr>
            <w:tcW w:w="80" w:type="dxa"/>
            <w:vAlign w:val="bottom"/>
          </w:tcPr>
          <w:p>
            <w:pPr>
              <w:spacing w:after="0"/>
              <w:rPr>
                <w:sz w:val="10"/>
                <w:szCs w:val="10"/>
                <w:color w:val="auto"/>
              </w:rPr>
            </w:pPr>
          </w:p>
        </w:tc>
      </w:tr>
      <w:tr>
        <w:trPr>
          <w:trHeight w:val="120"/>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108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89,835</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89,839</w:t>
            </w:r>
          </w:p>
        </w:tc>
        <w:tc>
          <w:tcPr>
            <w:tcW w:w="80" w:type="dxa"/>
            <w:vAlign w:val="bottom"/>
            <w:shd w:val="clear" w:color="auto" w:fill="CCECFF"/>
          </w:tcPr>
          <w:p>
            <w:pPr>
              <w:spacing w:after="0"/>
              <w:rPr>
                <w:sz w:val="10"/>
                <w:szCs w:val="10"/>
                <w:color w:val="auto"/>
              </w:rPr>
            </w:pPr>
          </w:p>
        </w:tc>
      </w:tr>
      <w:tr>
        <w:trPr>
          <w:trHeight w:val="120"/>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112,046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112,050</w:t>
            </w:r>
          </w:p>
        </w:tc>
        <w:tc>
          <w:tcPr>
            <w:tcW w:w="80" w:type="dxa"/>
            <w:vAlign w:val="bottom"/>
          </w:tcPr>
          <w:p>
            <w:pPr>
              <w:spacing w:after="0"/>
              <w:rPr>
                <w:sz w:val="10"/>
                <w:szCs w:val="10"/>
                <w:color w:val="auto"/>
              </w:rPr>
            </w:pPr>
          </w:p>
        </w:tc>
      </w:tr>
      <w:tr>
        <w:trPr>
          <w:trHeight w:val="160"/>
        </w:trPr>
        <w:tc>
          <w:tcPr>
            <w:tcW w:w="354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- 238.9%</w:t>
            </w:r>
          </w:p>
        </w:tc>
        <w:tc>
          <w:tcPr>
            <w:tcW w:w="1080" w:type="dxa"/>
            <w:vAlign w:val="bottom"/>
            <w:tcBorders>
              <w:bottom w:val="single" w:sz="8" w:color="CCECFF"/>
            </w:tcBorders>
            <w:shd w:val="clear" w:color="auto" w:fill="CCECFF"/>
          </w:tcPr>
          <w:p>
            <w:pPr>
              <w:spacing w:after="0"/>
              <w:rPr>
                <w:sz w:val="13"/>
                <w:szCs w:val="13"/>
                <w:color w:val="auto"/>
              </w:rPr>
            </w:pPr>
          </w:p>
        </w:tc>
        <w:tc>
          <w:tcPr>
            <w:tcW w:w="182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D5EF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D5EFFF"/>
          </w:tcPr>
          <w:p>
            <w:pPr>
              <w:jc w:val="right"/>
              <w:spacing w:after="0"/>
              <w:rPr>
                <w:sz w:val="20"/>
                <w:szCs w:val="20"/>
                <w:color w:val="auto"/>
              </w:rPr>
            </w:pPr>
            <w:r>
              <w:rPr>
                <w:rFonts w:ascii="Times New Roman" w:cs="Times New Roman" w:eastAsia="Times New Roman" w:hAnsi="Times New Roman"/>
                <w:sz w:val="10"/>
                <w:szCs w:val="10"/>
                <w:color w:val="auto"/>
              </w:rPr>
              <w:t>2,106,986</w:t>
            </w:r>
          </w:p>
        </w:tc>
        <w:tc>
          <w:tcPr>
            <w:tcW w:w="80" w:type="dxa"/>
            <w:vAlign w:val="bottom"/>
            <w:tcBorders>
              <w:bottom w:val="single" w:sz="8" w:color="D5EFFF"/>
            </w:tcBorders>
            <w:shd w:val="clear" w:color="auto" w:fill="D5EF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D5EF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D5EFFF"/>
          </w:tcPr>
          <w:p>
            <w:pPr>
              <w:jc w:val="right"/>
              <w:spacing w:after="0"/>
              <w:rPr>
                <w:sz w:val="20"/>
                <w:szCs w:val="20"/>
                <w:color w:val="auto"/>
              </w:rPr>
            </w:pPr>
            <w:r>
              <w:rPr>
                <w:rFonts w:ascii="Times New Roman" w:cs="Times New Roman" w:eastAsia="Times New Roman" w:hAnsi="Times New Roman"/>
                <w:sz w:val="10"/>
                <w:szCs w:val="10"/>
                <w:color w:val="auto"/>
              </w:rPr>
              <w:t>2,095,554</w:t>
            </w:r>
          </w:p>
        </w:tc>
        <w:tc>
          <w:tcPr>
            <w:tcW w:w="80" w:type="dxa"/>
            <w:vAlign w:val="bottom"/>
            <w:tcBorders>
              <w:bottom w:val="single" w:sz="8" w:color="D5EFFF"/>
            </w:tcBorders>
            <w:shd w:val="clear" w:color="auto" w:fill="D5EFFF"/>
          </w:tcPr>
          <w:p>
            <w:pPr>
              <w:spacing w:after="0"/>
              <w:rPr>
                <w:sz w:val="13"/>
                <w:szCs w:val="13"/>
                <w:color w:val="auto"/>
              </w:rPr>
            </w:pPr>
          </w:p>
        </w:tc>
      </w:tr>
      <w:tr>
        <w:trPr>
          <w:trHeight w:val="96"/>
        </w:trPr>
        <w:tc>
          <w:tcPr>
            <w:tcW w:w="354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(138.9)%</w:t>
            </w:r>
          </w:p>
        </w:tc>
        <w:tc>
          <w:tcPr>
            <w:tcW w:w="10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2"/>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(1,218,260 )</w:t>
            </w:r>
          </w:p>
        </w:tc>
      </w:tr>
      <w:tr>
        <w:trPr>
          <w:trHeight w:val="160"/>
        </w:trPr>
        <w:tc>
          <w:tcPr>
            <w:tcW w:w="354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Net Assets - 100%</w:t>
            </w:r>
          </w:p>
        </w:tc>
        <w:tc>
          <w:tcPr>
            <w:tcW w:w="1080" w:type="dxa"/>
            <w:vAlign w:val="bottom"/>
            <w:tcBorders>
              <w:bottom w:val="single" w:sz="8" w:color="CCECFF"/>
            </w:tcBorders>
            <w:shd w:val="clear" w:color="auto" w:fill="CCECFF"/>
          </w:tcPr>
          <w:p>
            <w:pPr>
              <w:spacing w:after="0"/>
              <w:rPr>
                <w:sz w:val="13"/>
                <w:szCs w:val="13"/>
                <w:color w:val="auto"/>
              </w:rPr>
            </w:pPr>
          </w:p>
        </w:tc>
        <w:tc>
          <w:tcPr>
            <w:tcW w:w="182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4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D5EF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D5EFFF"/>
          </w:tcPr>
          <w:p>
            <w:pPr>
              <w:jc w:val="right"/>
              <w:spacing w:after="0"/>
              <w:rPr>
                <w:sz w:val="20"/>
                <w:szCs w:val="20"/>
                <w:color w:val="auto"/>
              </w:rPr>
            </w:pPr>
            <w:r>
              <w:rPr>
                <w:rFonts w:ascii="Times New Roman" w:cs="Times New Roman" w:eastAsia="Times New Roman" w:hAnsi="Times New Roman"/>
                <w:sz w:val="10"/>
                <w:szCs w:val="10"/>
                <w:color w:val="auto"/>
              </w:rPr>
              <w:t>877,294</w:t>
            </w:r>
          </w:p>
        </w:tc>
        <w:tc>
          <w:tcPr>
            <w:tcW w:w="80" w:type="dxa"/>
            <w:vAlign w:val="bottom"/>
            <w:tcBorders>
              <w:bottom w:val="single" w:sz="8" w:color="D5EFFF"/>
            </w:tcBorders>
            <w:shd w:val="clear" w:color="auto" w:fill="D5EFFF"/>
          </w:tcPr>
          <w:p>
            <w:pPr>
              <w:spacing w:after="0"/>
              <w:rPr>
                <w:sz w:val="13"/>
                <w:szCs w:val="13"/>
                <w:color w:val="auto"/>
              </w:rPr>
            </w:pPr>
          </w:p>
        </w:tc>
      </w:tr>
    </w:tbl>
    <w:p>
      <w:pPr>
        <w:spacing w:after="0" w:line="10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1"/>
          <w:szCs w:val="11"/>
          <w:color w:val="auto"/>
        </w:rPr>
        <w:t>(1)Represents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(2)Valued based on our accounting policy (See Note 2). The value of all securities was determined using significant unobservable inputs (See Note 5).</w:t>
      </w:r>
    </w:p>
    <w:p>
      <w:pPr>
        <w:spacing w:after="0" w:line="30"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1"/>
          <w:szCs w:val="11"/>
          <w:color w:val="auto"/>
        </w:rPr>
        <w:t>(3)The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8" w:name="page79"/>
    <w:bookmarkEnd w:id="78"/>
    <w:p>
      <w:pPr>
        <w:spacing w:after="0" w:line="273" w:lineRule="auto"/>
        <w:rPr>
          <w:sz w:val="20"/>
          <w:szCs w:val="20"/>
          <w:color w:val="auto"/>
        </w:rPr>
      </w:pPr>
      <w:r>
        <w:rPr>
          <w:rFonts w:ascii="Times New Roman" w:cs="Times New Roman" w:eastAsia="Times New Roman" w:hAnsi="Times New Roman"/>
          <w:sz w:val="11"/>
          <w:szCs w:val="11"/>
          <w:color w:val="auto"/>
        </w:rPr>
        <w:t>(4)The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rPr>
          <w:sz w:val="20"/>
          <w:szCs w:val="20"/>
          <w:color w:val="auto"/>
        </w:rPr>
      </w:pPr>
      <w:r>
        <w:rPr>
          <w:rFonts w:ascii="Times New Roman" w:cs="Times New Roman" w:eastAsia="Times New Roman" w:hAnsi="Times New Roman"/>
          <w:sz w:val="11"/>
          <w:szCs w:val="11"/>
          <w:color w:val="auto"/>
        </w:rPr>
        <w:t>(5)Partial non-accrual PIK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1"/>
          <w:szCs w:val="11"/>
          <w:color w:val="auto"/>
        </w:rPr>
        <w:t>(7)The securities, or a portion thereof, are 1) pledged as collateral under the Credit Facility and held through Funding I; or 2) securing the 2036-R Asset-Backed Debt and held through PennantPark CLO I, Ltd.; or 3) 2036 Asset-Backed Debt and held through PennantPark CLO VIII, Ltd.</w:t>
      </w:r>
    </w:p>
    <w:p>
      <w:pPr>
        <w:spacing w:after="0"/>
        <w:rPr>
          <w:sz w:val="20"/>
          <w:szCs w:val="20"/>
          <w:color w:val="auto"/>
        </w:rPr>
      </w:pPr>
      <w:r>
        <w:rPr>
          <w:rFonts w:ascii="Times New Roman" w:cs="Times New Roman" w:eastAsia="Times New Roman" w:hAnsi="Times New Roman"/>
          <w:sz w:val="11"/>
          <w:szCs w:val="11"/>
          <w:color w:val="auto"/>
        </w:rPr>
        <w:t>(8)Investment is held through our Taxable Subsidiary.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(10)The investment is treated as a non-qualifying asset under Section 55(a) of the 1940 Act. Under the 1940 Act, we may not acquire any non-qualifying asset unless, at the time the acquisition is made, qualifying assets represent at least 70% of our total assets. As of September 30, 2024, qualifying assets represent 86% of our total assets and non-qualifying assets represent 14% of our total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(11)Non-accrual security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Note: All investments are in US Companies unless noted otherwise.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93" w:right="68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2"/>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9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0"/>
                <w:szCs w:val="10"/>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6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r>
      <w:tr>
        <w:trPr>
          <w:trHeight w:val="120"/>
        </w:trPr>
        <w:tc>
          <w:tcPr>
            <w:tcW w:w="3700" w:type="dxa"/>
            <w:vAlign w:val="bottom"/>
            <w:gridSpan w:val="2"/>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Investments in Non-Controlled, Non-Affiliated Portfolio Companies—118.1% </w:t>
            </w:r>
            <w:r>
              <w:rPr>
                <w:rFonts w:ascii="Times New Roman" w:cs="Times New Roman" w:eastAsia="Times New Roman" w:hAnsi="Times New Roman"/>
                <w:sz w:val="12"/>
                <w:szCs w:val="12"/>
                <w:b w:val="1"/>
                <w:bCs w:val="1"/>
                <w:color w:val="auto"/>
                <w:vertAlign w:val="superscript"/>
              </w:rPr>
              <w:t>(3), (4)</w:t>
            </w:r>
          </w:p>
        </w:tc>
        <w:tc>
          <w:tcPr>
            <w:tcW w:w="20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Debt—101.9%</w:t>
            </w:r>
          </w:p>
        </w:tc>
        <w:tc>
          <w:tcPr>
            <w:tcW w:w="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12/22/2028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11.99 %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1,520</w:t>
            </w:r>
          </w:p>
        </w:tc>
        <w:tc>
          <w:tcPr>
            <w:tcW w:w="2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1,499</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1,512</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 - Unfunded Term Loan</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12/22/2028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12/22/2028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(4 )</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05/07/2026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4,846</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05/07/2026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619</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05/07/2026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06/10/2025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13,958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13,859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05/23/2024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13,786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13,755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13,545</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05/23/2024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12.04 %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2,184</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05/23/2024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(50 )</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07/21/2027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Energy Equipment and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6,395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6,326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6,267</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Any Hour Services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07/21/2027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Energy Equipment and Services</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07/31/2025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10.52 %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6,160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6,132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6,145</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07/31/2025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294</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07/31/2025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10.68 %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12,826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12,732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12,793</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Apex Service Partners, LLC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07/31/2025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10.86 %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1,150</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Apex Service Partners,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07/31/2025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(2 )</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8,891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8,784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8,714</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(Unfunded Term Loan)</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13.25 %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SOFR+475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499</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764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08/03/2029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11.62 %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1M SOFR+625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6,526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6,461</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08/04/2028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07/01/2029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11.14 %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01/31/2028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11.81 %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(9)</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01/31/2028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09/17/2026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622</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 - Unfunded Term Loan</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09/17/2026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09/17/2026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13.75 %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270</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w:t>
            </w:r>
            <w:r>
              <w:rPr>
                <w:rFonts w:ascii="Times New Roman" w:cs="Times New Roman" w:eastAsia="Times New Roman" w:hAnsi="Times New Roman"/>
                <w:sz w:val="12"/>
                <w:szCs w:val="12"/>
                <w:color w:val="auto"/>
                <w:vertAlign w:val="superscript"/>
              </w:rPr>
              <w:t>(9)</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09/17/2026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2,469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12/04/2025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11.50 %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3,324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3,324</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05/16/2025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12.43 %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SOFR+688</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25,674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25,499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25,224</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By Light Professional IT Services, LLC (Revolver) </w:t>
            </w:r>
            <w:r>
              <w:rPr>
                <w:rFonts w:ascii="Times New Roman" w:cs="Times New Roman" w:eastAsia="Times New Roman" w:hAnsi="Times New Roman"/>
                <w:sz w:val="12"/>
                <w:szCs w:val="12"/>
                <w:color w:val="auto"/>
                <w:vertAlign w:val="superscript"/>
              </w:rPr>
              <w:t>(7)(9)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05/16/2025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(61 )</w:t>
            </w:r>
          </w:p>
        </w:tc>
      </w:tr>
      <w:tr>
        <w:trPr>
          <w:trHeight w:val="120"/>
        </w:trPr>
        <w:tc>
          <w:tcPr>
            <w:tcW w:w="282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Cadence Aerospace, LLC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11/14/2023</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12.07 %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r>
      <w:tr>
        <w:trPr>
          <w:trHeight w:val="120"/>
        </w:trPr>
        <w:tc>
          <w:tcPr>
            <w:tcW w:w="2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(PIK 9.50%)</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06/14/2028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13,076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12,907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13,076</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06/14/2028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06/14/2028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08/20/2026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11.59 %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SOFR+619</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5,980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5,930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5,860</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CF512, Inc.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08/20/2026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(19 )</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 Holdings, Inc.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04/10/2025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Environmental Industries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10.15 %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SOFR+476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1,564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1,564</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08/31/2024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12.18 %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L+675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02/09/2026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10.99 %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8,925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8,891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8,925</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02/07/2025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SOFR+555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02/07/2025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07/13/2027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11.16 %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SOFR+576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3,814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3,681</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07/13/2027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(43 )</w:t>
            </w:r>
          </w:p>
        </w:tc>
      </w:tr>
      <w:tr>
        <w:trPr>
          <w:trHeight w:val="160"/>
        </w:trPr>
        <w:tc>
          <w:tcPr>
            <w:tcW w:w="2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80" w:type="dxa"/>
            <w:vAlign w:val="bottom"/>
            <w:tcBorders>
              <w:bottom w:val="single" w:sz="8" w:color="CCECFF"/>
            </w:tcBorders>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08/16/2027</w:t>
            </w:r>
          </w:p>
        </w:tc>
        <w:tc>
          <w:tcPr>
            <w:tcW w:w="20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tcBorders>
              <w:bottom w:val="single" w:sz="8" w:color="CCECFF"/>
            </w:tcBorders>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10.90 %</w:t>
            </w:r>
          </w:p>
        </w:tc>
        <w:tc>
          <w:tcPr>
            <w:tcW w:w="1000" w:type="dxa"/>
            <w:vAlign w:val="bottom"/>
            <w:tcBorders>
              <w:bottom w:val="single" w:sz="8" w:color="CCECFF"/>
            </w:tcBorders>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SOFR+551</w:t>
            </w:r>
          </w:p>
        </w:tc>
        <w:tc>
          <w:tcPr>
            <w:tcW w:w="88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882</w:t>
            </w:r>
          </w:p>
        </w:tc>
        <w:tc>
          <w:tcPr>
            <w:tcW w:w="260" w:type="dxa"/>
            <w:vAlign w:val="bottom"/>
            <w:tcBorders>
              <w:bottom w:val="single" w:sz="8" w:color="CCECFF"/>
            </w:tcBorders>
            <w:shd w:val="clear" w:color="auto" w:fill="CCECFF"/>
          </w:tcPr>
          <w:p>
            <w:pPr>
              <w:spacing w:after="0"/>
              <w:rPr>
                <w:sz w:val="13"/>
                <w:szCs w:val="13"/>
                <w:color w:val="auto"/>
              </w:rPr>
            </w:pPr>
          </w:p>
        </w:tc>
        <w:tc>
          <w:tcPr>
            <w:tcW w:w="68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18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878</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08/16/2027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10.90 %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SOFR+551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08/16/2027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08/31/2027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4,383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4,383</w:t>
            </w:r>
          </w:p>
        </w:tc>
      </w:tr>
      <w:tr>
        <w:trPr>
          <w:trHeight w:val="132"/>
        </w:trPr>
        <w:tc>
          <w:tcPr>
            <w:tcW w:w="282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08/31/2027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3,353</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11/03/2025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16,266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16,142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16,070</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11/03/2025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06/30/2024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11.93 %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3,445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3,393</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08/31/2030</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10.14 %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SOFR+475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4,985</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Financial Services, Inc. </w:t>
            </w:r>
            <w:r>
              <w:rPr>
                <w:rFonts w:ascii="Times New Roman" w:cs="Times New Roman" w:eastAsia="Times New Roman" w:hAnsi="Times New Roman"/>
                <w:sz w:val="12"/>
                <w:szCs w:val="12"/>
                <w:color w:val="auto"/>
                <w:vertAlign w:val="superscript"/>
              </w:rPr>
              <w:t>(10)</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10/05/2023</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10.43 %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1M SOFR+510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4,599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4,599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4,599</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Financial Services, Inc. (Revolver) </w:t>
            </w:r>
            <w:r>
              <w:rPr>
                <w:rFonts w:ascii="Times New Roman" w:cs="Times New Roman" w:eastAsia="Times New Roman" w:hAnsi="Times New Roman"/>
                <w:sz w:val="12"/>
                <w:szCs w:val="12"/>
                <w:color w:val="auto"/>
                <w:vertAlign w:val="superscript"/>
              </w:rPr>
              <w:t>(7), (9), (10)</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10/05/2023</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 - Unfunded Term Loan</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01/10/2029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20"/>
        </w:trPr>
        <w:tc>
          <w:tcPr>
            <w:tcW w:w="2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1"/>
        </w:trPr>
        <w:tc>
          <w:tcPr>
            <w:tcW w:w="2820" w:type="dxa"/>
            <w:vAlign w:val="bottom"/>
            <w:shd w:val="clear" w:color="auto" w:fill="CCECFF"/>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EDS Buyer,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01/10/2029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2,025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(30 )</w:t>
            </w:r>
          </w:p>
        </w:tc>
      </w:tr>
      <w:tr>
        <w:trPr>
          <w:trHeight w:val="120"/>
        </w:trPr>
        <w:tc>
          <w:tcPr>
            <w:tcW w:w="28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Efficient Collaborative Retail Marketing Company,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06/15/2024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SOFR+776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7,645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7,651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5,352</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(Revolver)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05/25/2029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1,656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(28 )</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(9)</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03/15/2027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02/23/2028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12.43 %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SOFR+710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4,569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4,500</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 - DDTL B Unfunded</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02/23/2028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02/23/2028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r>
    </w:tbl>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2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0"/>
                <w:szCs w:val="10"/>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6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05/19/2029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03/16/2026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SOFR+660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3,252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3,115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12/8/2023</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266</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6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72"/>
              <w:spacing w:after="0" w:line="168" w:lineRule="exact"/>
              <w:rPr>
                <w:sz w:val="20"/>
                <w:szCs w:val="20"/>
                <w:color w:val="auto"/>
              </w:rPr>
            </w:pPr>
            <w:r>
              <w:rPr>
                <w:rFonts w:ascii="Times New Roman" w:cs="Times New Roman" w:eastAsia="Times New Roman" w:hAnsi="Times New Roman"/>
                <w:sz w:val="10"/>
                <w:szCs w:val="10"/>
                <w:color w:val="auto"/>
              </w:rPr>
              <w:t xml:space="preserve">10.93 </w:t>
            </w:r>
            <w:r>
              <w:rPr>
                <w:rFonts w:ascii="Times New Roman" w:cs="Times New Roman" w:eastAsia="Times New Roman" w:hAnsi="Times New Roman"/>
                <w:sz w:val="19"/>
                <w:szCs w:val="19"/>
                <w:color w:val="auto"/>
                <w:vertAlign w:val="superscript"/>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4,172</w:t>
            </w:r>
          </w:p>
        </w:tc>
        <w:tc>
          <w:tcPr>
            <w:tcW w:w="260" w:type="dxa"/>
            <w:vAlign w:val="bottom"/>
            <w:shd w:val="clear" w:color="auto" w:fill="CCECFF"/>
          </w:tcPr>
          <w:p>
            <w:pPr>
              <w:spacing w:after="0"/>
              <w:rPr>
                <w:sz w:val="14"/>
                <w:szCs w:val="14"/>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4,112</w:t>
            </w:r>
          </w:p>
        </w:tc>
        <w:tc>
          <w:tcPr>
            <w:tcW w:w="18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4,068</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6M SOFR+585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Holdco Sands Intermediate, LLC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1,791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8,973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HW Holdco, LLC (Revolver)</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09/22/2028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09/22/2027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14,803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14,656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14,803</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SOFR+685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 - Unfunded Term Loan</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12/28/2023</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(Revolver)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11/01/2026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3,143</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3,178</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Infolinks Media Buyco, LLC- Unfunded 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11/01/2023</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Integrated Data Services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08/01/2029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3,096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15,521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15,457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14,590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08/27/2026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15,666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15,553</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15,509</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Integrity Marketing Acquisition, LLC - Unfunded 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08/31/2025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Integrity Marketing Acquisition, LLC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08/27/2026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ITI Holdings, Inc. (Revolver)</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03/03/2028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5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03/03/2028</w:t>
            </w:r>
          </w:p>
        </w:tc>
        <w:tc>
          <w:tcPr>
            <w:tcW w:w="19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w:t>
            </w:r>
          </w:p>
        </w:tc>
        <w:tc>
          <w:tcPr>
            <w:tcW w:w="260" w:type="dxa"/>
            <w:vAlign w:val="bottom"/>
            <w:shd w:val="clear" w:color="auto" w:fill="CCECFF"/>
          </w:tcPr>
          <w:p>
            <w:pPr>
              <w:spacing w:after="0"/>
              <w:rPr>
                <w:sz w:val="13"/>
                <w:szCs w:val="13"/>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70"/>
        </w:trPr>
        <w:tc>
          <w:tcPr>
            <w:tcW w:w="2760" w:type="dxa"/>
            <w:vAlign w:val="bottom"/>
            <w:shd w:val="clear" w:color="auto" w:fill="CCECFF"/>
          </w:tcPr>
          <w:p>
            <w:pPr>
              <w:spacing w:after="0"/>
              <w:rPr>
                <w:sz w:val="6"/>
                <w:szCs w:val="6"/>
                <w:color w:val="auto"/>
              </w:rPr>
            </w:pPr>
          </w:p>
        </w:tc>
        <w:tc>
          <w:tcPr>
            <w:tcW w:w="920" w:type="dxa"/>
            <w:vAlign w:val="bottom"/>
            <w:shd w:val="clear" w:color="auto" w:fill="CCECFF"/>
          </w:tcPr>
          <w:p>
            <w:pPr>
              <w:spacing w:after="0"/>
              <w:rPr>
                <w:sz w:val="6"/>
                <w:szCs w:val="6"/>
                <w:color w:val="auto"/>
              </w:rPr>
            </w:pPr>
          </w:p>
        </w:tc>
        <w:tc>
          <w:tcPr>
            <w:tcW w:w="1980" w:type="dxa"/>
            <w:vAlign w:val="bottom"/>
            <w:vMerge w:val="continue"/>
            <w:shd w:val="clear" w:color="auto" w:fill="CCECFF"/>
          </w:tcPr>
          <w:p>
            <w:pPr>
              <w:spacing w:after="0"/>
              <w:rPr>
                <w:sz w:val="6"/>
                <w:szCs w:val="6"/>
                <w:color w:val="auto"/>
              </w:rPr>
            </w:pPr>
          </w:p>
        </w:tc>
        <w:tc>
          <w:tcPr>
            <w:tcW w:w="1020" w:type="dxa"/>
            <w:vAlign w:val="bottom"/>
            <w:shd w:val="clear" w:color="auto" w:fill="CCECFF"/>
          </w:tcPr>
          <w:p>
            <w:pPr>
              <w:spacing w:after="0"/>
              <w:rPr>
                <w:sz w:val="6"/>
                <w:szCs w:val="6"/>
                <w:color w:val="auto"/>
              </w:rPr>
            </w:pPr>
          </w:p>
        </w:tc>
        <w:tc>
          <w:tcPr>
            <w:tcW w:w="1000" w:type="dxa"/>
            <w:vAlign w:val="bottom"/>
            <w:shd w:val="clear" w:color="auto" w:fill="CCECFF"/>
          </w:tcPr>
          <w:p>
            <w:pPr>
              <w:spacing w:after="0"/>
              <w:rPr>
                <w:sz w:val="6"/>
                <w:szCs w:val="6"/>
                <w:color w:val="auto"/>
              </w:rPr>
            </w:pPr>
          </w:p>
        </w:tc>
        <w:tc>
          <w:tcPr>
            <w:tcW w:w="88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680" w:type="dxa"/>
            <w:vAlign w:val="bottom"/>
            <w:shd w:val="clear" w:color="auto" w:fill="CCECFF"/>
          </w:tcPr>
          <w:p>
            <w:pPr>
              <w:spacing w:after="0"/>
              <w:rPr>
                <w:sz w:val="6"/>
                <w:szCs w:val="6"/>
                <w:color w:val="auto"/>
              </w:rPr>
            </w:pPr>
          </w:p>
        </w:tc>
        <w:tc>
          <w:tcPr>
            <w:tcW w:w="180" w:type="dxa"/>
            <w:vAlign w:val="bottom"/>
            <w:shd w:val="clear" w:color="auto" w:fill="CCECFF"/>
          </w:tcPr>
          <w:p>
            <w:pPr>
              <w:spacing w:after="0"/>
              <w:rPr>
                <w:sz w:val="6"/>
                <w:szCs w:val="6"/>
                <w:color w:val="auto"/>
              </w:rPr>
            </w:pPr>
          </w:p>
        </w:tc>
        <w:tc>
          <w:tcPr>
            <w:tcW w:w="76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20" w:type="dxa"/>
            <w:vAlign w:val="bottom"/>
          </w:tcPr>
          <w:p>
            <w:pPr>
              <w:spacing w:after="0"/>
              <w:rPr>
                <w:sz w:val="10"/>
                <w:szCs w:val="10"/>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SOFR+761</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92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12.93 %</w:t>
            </w:r>
          </w:p>
        </w:tc>
        <w:tc>
          <w:tcPr>
            <w:tcW w:w="100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4,988</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60" w:type="dxa"/>
            <w:vAlign w:val="bottom"/>
            <w:shd w:val="clear" w:color="auto" w:fill="CCECFF"/>
          </w:tcPr>
          <w:p>
            <w:pPr>
              <w:spacing w:after="0" w:line="121" w:lineRule="exact"/>
              <w:rPr>
                <w:sz w:val="20"/>
                <w:szCs w:val="20"/>
                <w:color w:val="auto"/>
              </w:rPr>
            </w:pPr>
            <w:r>
              <w:rPr>
                <w:rFonts w:ascii="Times New Roman" w:cs="Times New Roman" w:eastAsia="Times New Roman" w:hAnsi="Times New Roman"/>
                <w:sz w:val="10"/>
                <w:szCs w:val="10"/>
                <w:color w:val="auto"/>
              </w:rPr>
              <w:t xml:space="preserve">Inventus Power, Inc.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K2 Pure Solutions NoCal, L.P.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12/20/2023</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17,253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16,999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16,995</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 (Revolver)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3,435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(52 )</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02/18/2027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SOFR+675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10,404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10,264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10,300</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SOFR+675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2,086</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10/31/2024</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SOFR+643</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7,537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7,454</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(PIK 5.50%)</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10/31/2024</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5.50%)</w:t>
            </w: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Ledge Lounger,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3,709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3,677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22,543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22,282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22,317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2,499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02/01/2030</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392</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Holdings, LLC - Unfunded Term Loan</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07/31/2024</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2,424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(Revolver)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01/31/2030</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19,263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18,894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18,974</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1,861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1,861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Loving Tan Intermediate II, Inc. (Revolver)</w:t>
            </w:r>
            <w:r>
              <w:rPr>
                <w:rFonts w:ascii="Times New Roman" w:cs="Times New Roman" w:eastAsia="Times New Roman" w:hAnsi="Times New Roman"/>
                <w:sz w:val="12"/>
                <w:szCs w:val="12"/>
                <w:color w:val="auto"/>
                <w:vertAlign w:val="superscript"/>
              </w:rPr>
              <w:t>(7)(9)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w:t>
            </w:r>
            <w:r>
              <w:rPr>
                <w:rFonts w:ascii="Times New Roman" w:cs="Times New Roman" w:eastAsia="Times New Roman" w:hAnsi="Times New Roman"/>
                <w:sz w:val="12"/>
                <w:szCs w:val="12"/>
                <w:color w:val="auto"/>
                <w:vertAlign w:val="superscript"/>
              </w:rPr>
              <w:t>(11)</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07/20/2027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0.00 %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4,489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4,210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1,182</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Lucky Bucks, LLC - DIP</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10/20/2023</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15.30 %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SOFR+1000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MAG DS Corp.</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04/01/2027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3,674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3,481</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05/14/2026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8,728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8,616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8,640</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Mars Acquisition Holdings Corp. (Revolver)</w:t>
            </w:r>
            <w:r>
              <w:rPr>
                <w:rFonts w:ascii="Times New Roman" w:cs="Times New Roman" w:eastAsia="Times New Roman" w:hAnsi="Times New Roman"/>
                <w:sz w:val="12"/>
                <w:szCs w:val="12"/>
                <w:color w:val="auto"/>
                <w:vertAlign w:val="superscript"/>
              </w:rPr>
              <w:t>(7)(9)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05/14/2026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 (Revolver)</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MBS Holdings, Inc. (Revolver)</w:t>
            </w:r>
            <w:r>
              <w:rPr>
                <w:rFonts w:ascii="Times New Roman" w:cs="Times New Roman" w:eastAsia="Times New Roman" w:hAnsi="Times New Roman"/>
                <w:sz w:val="12"/>
                <w:szCs w:val="12"/>
                <w:color w:val="auto"/>
                <w:vertAlign w:val="superscript"/>
              </w:rPr>
              <w:t>(7)(9)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2,003</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1,997</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 Term Loan I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20"/>
        </w:trPr>
        <w:tc>
          <w:tcPr>
            <w:tcW w:w="27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 Term Loan II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9,483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03/28/2024</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+515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3,553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Mission Critical Electronics, Inc.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03/28/2024</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425450</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156" w:right="7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8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80" w:type="dxa"/>
            <w:vAlign w:val="bottom"/>
          </w:tcPr>
          <w:p>
            <w:pPr>
              <w:jc w:val="center"/>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2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Mission Critical Electronics, Inc. (Revolver) </w:t>
            </w:r>
            <w:r>
              <w:rPr>
                <w:rFonts w:ascii="Times New Roman" w:cs="Times New Roman" w:eastAsia="Times New Roman" w:hAnsi="Times New Roman"/>
                <w:sz w:val="12"/>
                <w:szCs w:val="12"/>
                <w:color w:val="auto"/>
                <w:vertAlign w:val="superscript"/>
              </w:rPr>
              <w:t>(7), (9)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03/28/2024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1,325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10/01/2027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11.04 %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1,181</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1,144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1,155</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A</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06/16/2023</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387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B</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12/16/2024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1,264</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10/01/2027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11.04 %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379</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370</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 (9)</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10/01/2027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568</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 - Revolver Unfunded</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05/09/2029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541</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 (9)</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08/19/2026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1,677</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08/31/2029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11.74 %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41,489</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40,662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40,659</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 (9)</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08/31/2029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5,479</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(110 )</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05/07/2027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Air Freight and Logistics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11.68 %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SOFR+636</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8,516</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8,397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8,516</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09/03/2027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12.84 %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6M SOFR+725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4,900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4,828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4,459</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 (9)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09/03/2027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861</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Output Services Group, Inc. </w:t>
            </w:r>
            <w:r>
              <w:rPr>
                <w:rFonts w:ascii="Times New Roman" w:cs="Times New Roman" w:eastAsia="Times New Roman" w:hAnsi="Times New Roman"/>
                <w:sz w:val="12"/>
                <w:szCs w:val="12"/>
                <w:color w:val="auto"/>
                <w:vertAlign w:val="superscript"/>
              </w:rPr>
              <w:t>(11)</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06/27/2026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0.00 %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4,923</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4,469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960</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02/04/2028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10.80 %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6M SOFR+550</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3,893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3,797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05/18/2026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12.90 %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SOFR+751</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22,736</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22,513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22,338</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12"/>
                <w:szCs w:val="12"/>
                <w:color w:val="auto"/>
                <w:vertAlign w:val="superscript"/>
              </w:rPr>
              <w:t>(9)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05/18/2026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3,387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Pequod Merger Sub, Inc. - Unfunded Term Loan</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12/02/2026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2,847</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Pequod Merger Sub, Inc (Revolver) </w:t>
            </w:r>
            <w:r>
              <w:rPr>
                <w:rFonts w:ascii="Times New Roman" w:cs="Times New Roman" w:eastAsia="Times New Roman" w:hAnsi="Times New Roman"/>
                <w:sz w:val="12"/>
                <w:szCs w:val="12"/>
                <w:color w:val="auto"/>
                <w:vertAlign w:val="superscript"/>
              </w:rPr>
              <w:t>(9)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12/02/2026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757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11/09/2027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12.42 %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SOFR+710</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5,612</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5,538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5,050</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11/09/2027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2,290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(229 )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05/08/2026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10.92 %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3,401</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3,386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3,248</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 - Unfunded Term Loan</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07/06/2028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2,290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 (Revolver)</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07/06/2028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11.17 %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1,526</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1,526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0" w:type="dxa"/>
            <w:vAlign w:val="bottom"/>
          </w:tcPr>
          <w:p>
            <w:pPr>
              <w:spacing w:after="0"/>
              <w:rPr>
                <w:sz w:val="1"/>
                <w:szCs w:val="1"/>
                <w:color w:val="auto"/>
              </w:rPr>
            </w:pPr>
          </w:p>
        </w:tc>
      </w:tr>
      <w:tr>
        <w:trPr>
          <w:trHeight w:val="121"/>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11/19/2026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11.74 %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6,647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6,578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6,547</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11/19/2026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11.74 %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670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670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660</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Quantic Electronics, LLC (Revolver)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Questex,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09/09/2024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9.81 %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SOFR+425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6,731</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6,706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6,731</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2"/>
                <w:szCs w:val="12"/>
                <w:color w:val="auto"/>
                <w:vertAlign w:val="superscript"/>
              </w:rPr>
              <w:t>(7), (9)</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09/09/2024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1,197</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11.24 %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210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210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 (9)</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315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01/29/2026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12.54 %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1,463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1,448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1,419</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 (9)</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01/29/2026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1,296</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Inc. and Dynata,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12/20/2024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11.13 %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SOFR+576</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16,962</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16,875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14,842</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06/20/2025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10.54 %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7,939</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7,903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7,828</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06/20/2025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10.42 %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SOFR+510</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114</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 (9)</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06/20/2025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795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03/10/2025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11.29 %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SOFR+590</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15,199</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15,075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15,047</w:t>
            </w: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 -</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06/15/2029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1,146</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Unfunded Term Loan</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92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color w:val="auto"/>
              </w:rPr>
              <w:t>Rural Sourcing Holdings, Inc. (HPA SPQ Merger Sub, Inc.) (Revolver)</w:t>
            </w:r>
          </w:p>
        </w:tc>
        <w:tc>
          <w:tcPr>
            <w:tcW w:w="820" w:type="dxa"/>
            <w:vAlign w:val="bottom"/>
            <w:shd w:val="clear" w:color="auto" w:fill="CCECFF"/>
          </w:tcPr>
          <w:p>
            <w:pPr>
              <w:jc w:val="center"/>
              <w:ind w:right="12"/>
              <w:spacing w:after="0" w:line="96" w:lineRule="exact"/>
              <w:rPr>
                <w:sz w:val="20"/>
                <w:szCs w:val="20"/>
                <w:color w:val="auto"/>
              </w:rPr>
            </w:pPr>
            <w:r>
              <w:rPr>
                <w:rFonts w:ascii="Times New Roman" w:cs="Times New Roman" w:eastAsia="Times New Roman" w:hAnsi="Times New Roman"/>
                <w:sz w:val="10"/>
                <w:szCs w:val="10"/>
                <w:color w:val="auto"/>
                <w:w w:val="96"/>
              </w:rPr>
              <w:t>06/15/2029</w:t>
            </w:r>
          </w:p>
        </w:tc>
        <w:tc>
          <w:tcPr>
            <w:tcW w:w="2000" w:type="dxa"/>
            <w:vAlign w:val="bottom"/>
            <w:shd w:val="clear" w:color="auto" w:fill="CCECFF"/>
          </w:tcPr>
          <w:p>
            <w:pPr>
              <w:jc w:val="center"/>
              <w:spacing w:after="0" w:line="96" w:lineRule="exact"/>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shd w:val="clear" w:color="auto" w:fill="CCECFF"/>
          </w:tcPr>
          <w:p>
            <w:pPr>
              <w:jc w:val="right"/>
              <w:ind w:right="212"/>
              <w:spacing w:after="0" w:line="96"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line="96"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line="96" w:lineRule="exact"/>
              <w:rPr>
                <w:sz w:val="20"/>
                <w:szCs w:val="20"/>
                <w:color w:val="auto"/>
              </w:rPr>
            </w:pPr>
            <w:r>
              <w:rPr>
                <w:rFonts w:ascii="Times New Roman" w:cs="Times New Roman" w:eastAsia="Times New Roman" w:hAnsi="Times New Roman"/>
                <w:sz w:val="10"/>
                <w:szCs w:val="10"/>
                <w:color w:val="auto"/>
              </w:rPr>
              <w:t>860</w:t>
            </w:r>
          </w:p>
        </w:tc>
        <w:tc>
          <w:tcPr>
            <w:tcW w:w="860" w:type="dxa"/>
            <w:vAlign w:val="bottom"/>
            <w:shd w:val="clear" w:color="auto" w:fill="CCECFF"/>
          </w:tcPr>
          <w:p>
            <w:pPr>
              <w:jc w:val="right"/>
              <w:ind w:right="112"/>
              <w:spacing w:after="0" w:line="96"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line="96" w:lineRule="exact"/>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77"/>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6"/>
                <w:szCs w:val="6"/>
                <w:color w:val="auto"/>
              </w:rPr>
              <w:t>(7), (9)</w:t>
            </w:r>
          </w:p>
        </w:tc>
        <w:tc>
          <w:tcPr>
            <w:tcW w:w="820" w:type="dxa"/>
            <w:vAlign w:val="bottom"/>
            <w:shd w:val="clear" w:color="auto" w:fill="CCECFF"/>
          </w:tcPr>
          <w:p>
            <w:pPr>
              <w:spacing w:after="0"/>
              <w:rPr>
                <w:sz w:val="6"/>
                <w:szCs w:val="6"/>
                <w:color w:val="auto"/>
              </w:rPr>
            </w:pPr>
          </w:p>
        </w:tc>
        <w:tc>
          <w:tcPr>
            <w:tcW w:w="2000" w:type="dxa"/>
            <w:vAlign w:val="bottom"/>
            <w:shd w:val="clear" w:color="auto" w:fill="CCECFF"/>
          </w:tcPr>
          <w:p>
            <w:pPr>
              <w:spacing w:after="0"/>
              <w:rPr>
                <w:sz w:val="6"/>
                <w:szCs w:val="6"/>
                <w:color w:val="auto"/>
              </w:rPr>
            </w:pPr>
          </w:p>
        </w:tc>
        <w:tc>
          <w:tcPr>
            <w:tcW w:w="1060" w:type="dxa"/>
            <w:vAlign w:val="bottom"/>
            <w:shd w:val="clear" w:color="auto" w:fill="CCECFF"/>
          </w:tcPr>
          <w:p>
            <w:pPr>
              <w:spacing w:after="0"/>
              <w:rPr>
                <w:sz w:val="6"/>
                <w:szCs w:val="6"/>
                <w:color w:val="auto"/>
              </w:rPr>
            </w:pPr>
          </w:p>
        </w:tc>
        <w:tc>
          <w:tcPr>
            <w:tcW w:w="980" w:type="dxa"/>
            <w:vAlign w:val="bottom"/>
            <w:shd w:val="clear" w:color="auto" w:fill="CCECFF"/>
          </w:tcPr>
          <w:p>
            <w:pPr>
              <w:spacing w:after="0"/>
              <w:rPr>
                <w:sz w:val="6"/>
                <w:szCs w:val="6"/>
                <w:color w:val="auto"/>
              </w:rPr>
            </w:pPr>
          </w:p>
        </w:tc>
        <w:tc>
          <w:tcPr>
            <w:tcW w:w="1000" w:type="dxa"/>
            <w:vAlign w:val="bottom"/>
            <w:shd w:val="clear" w:color="auto" w:fill="CCECFF"/>
          </w:tcPr>
          <w:p>
            <w:pPr>
              <w:spacing w:after="0"/>
              <w:rPr>
                <w:sz w:val="6"/>
                <w:szCs w:val="6"/>
                <w:color w:val="auto"/>
              </w:rPr>
            </w:pPr>
          </w:p>
        </w:tc>
        <w:tc>
          <w:tcPr>
            <w:tcW w:w="860" w:type="dxa"/>
            <w:vAlign w:val="bottom"/>
            <w:shd w:val="clear" w:color="auto" w:fill="CCECFF"/>
          </w:tcPr>
          <w:p>
            <w:pPr>
              <w:spacing w:after="0"/>
              <w:rPr>
                <w:sz w:val="6"/>
                <w:szCs w:val="6"/>
                <w:color w:val="auto"/>
              </w:rPr>
            </w:pPr>
          </w:p>
        </w:tc>
        <w:tc>
          <w:tcPr>
            <w:tcW w:w="9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92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2000" w:type="dxa"/>
            <w:vAlign w:val="bottom"/>
            <w:shd w:val="clear" w:color="auto" w:fill="CCECFF"/>
          </w:tcPr>
          <w:p>
            <w:pPr>
              <w:spacing w:after="0"/>
              <w:rPr>
                <w:sz w:val="8"/>
                <w:szCs w:val="8"/>
                <w:color w:val="auto"/>
              </w:rPr>
            </w:pPr>
          </w:p>
        </w:tc>
        <w:tc>
          <w:tcPr>
            <w:tcW w:w="1060" w:type="dxa"/>
            <w:vAlign w:val="bottom"/>
            <w:shd w:val="clear" w:color="auto" w:fill="CCECFF"/>
          </w:tcPr>
          <w:p>
            <w:pPr>
              <w:spacing w:after="0"/>
              <w:rPr>
                <w:sz w:val="8"/>
                <w:szCs w:val="8"/>
                <w:color w:val="auto"/>
              </w:rPr>
            </w:pPr>
          </w:p>
        </w:tc>
        <w:tc>
          <w:tcPr>
            <w:tcW w:w="98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01/03/2025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11.59 %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SOFR+620</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2,596</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2,581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2,583</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 (9)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01/03/2025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1,293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12/20/2024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12.93 %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SOFR+760</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3,439</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3,425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3,405</w:t>
            </w:r>
          </w:p>
        </w:tc>
        <w:tc>
          <w:tcPr>
            <w:tcW w:w="0" w:type="dxa"/>
            <w:vAlign w:val="bottom"/>
          </w:tcPr>
          <w:p>
            <w:pPr>
              <w:spacing w:after="0"/>
              <w:rPr>
                <w:sz w:val="1"/>
                <w:szCs w:val="1"/>
                <w:color w:val="auto"/>
              </w:rPr>
            </w:pPr>
          </w:p>
        </w:tc>
      </w:tr>
      <w:tr>
        <w:trPr>
          <w:trHeight w:val="120"/>
        </w:trPr>
        <w:tc>
          <w:tcPr>
            <w:tcW w:w="2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12/20/2024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12.92 %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SOFR+760</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280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280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(9)</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12/20/2024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801</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20"/>
        </w:trPr>
        <w:tc>
          <w:tcPr>
            <w:tcW w:w="2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07/14/2025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12.07 %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14,490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14,428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14,019</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07/14/2025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12.52 %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1,495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1,495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1,446</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(Revolver) </w:t>
            </w:r>
            <w:r>
              <w:rPr>
                <w:rFonts w:ascii="Times New Roman" w:cs="Times New Roman" w:eastAsia="Times New Roman" w:hAnsi="Times New Roman"/>
                <w:sz w:val="12"/>
                <w:szCs w:val="12"/>
                <w:color w:val="auto"/>
                <w:vertAlign w:val="superscript"/>
              </w:rPr>
              <w:t>(7), (9)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07/14/2025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375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06/13/2029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11.54 %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1,921</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1,895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1,863</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14.04 %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10,277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10,123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10,123</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14.04 %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1,835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1,835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1,807</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 (9)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786</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05/03/2024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12.04 %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L+665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9,708</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9,688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9,708</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Signature Systems Holding Company (Revolver) </w:t>
            </w:r>
            <w:r>
              <w:rPr>
                <w:rFonts w:ascii="Times New Roman" w:cs="Times New Roman" w:eastAsia="Times New Roman" w:hAnsi="Times New Roman"/>
                <w:sz w:val="12"/>
                <w:szCs w:val="12"/>
                <w:color w:val="auto"/>
                <w:vertAlign w:val="superscript"/>
              </w:rPr>
              <w:t>(9)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05/03/2024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1,747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05/17/2028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9.93 %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SOFR+450</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600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588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587</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10/14/2025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9.97 %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SOFR+450</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2,437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2,437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2,190</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 (Revolver)</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10/14/2025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10.11 %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SOFR+450</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1,508</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1,508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1,355</w:t>
            </w:r>
          </w:p>
        </w:tc>
        <w:tc>
          <w:tcPr>
            <w:tcW w:w="0" w:type="dxa"/>
            <w:vAlign w:val="bottom"/>
          </w:tcPr>
          <w:p>
            <w:pPr>
              <w:spacing w:after="0"/>
              <w:rPr>
                <w:sz w:val="1"/>
                <w:szCs w:val="1"/>
                <w:color w:val="auto"/>
              </w:rPr>
            </w:pPr>
          </w:p>
        </w:tc>
      </w:tr>
      <w:tr>
        <w:trPr>
          <w:trHeight w:val="15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Smile Brands Inc. LC (Revolver) </w:t>
            </w:r>
            <w:r>
              <w:rPr>
                <w:rFonts w:ascii="Times New Roman" w:cs="Times New Roman" w:eastAsia="Times New Roman" w:hAnsi="Times New Roman"/>
                <w:sz w:val="12"/>
                <w:szCs w:val="12"/>
                <w:color w:val="auto"/>
                <w:vertAlign w:val="superscript"/>
              </w:rPr>
              <w:t>(7), (9)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10/14/2025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108</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70"/>
        </w:trPr>
        <w:tc>
          <w:tcPr>
            <w:tcW w:w="2920" w:type="dxa"/>
            <w:vAlign w:val="bottom"/>
            <w:shd w:val="clear" w:color="auto" w:fill="CCECFF"/>
          </w:tcPr>
          <w:p>
            <w:pPr>
              <w:spacing w:after="0"/>
              <w:rPr>
                <w:sz w:val="6"/>
                <w:szCs w:val="6"/>
                <w:color w:val="auto"/>
              </w:rPr>
            </w:pPr>
          </w:p>
        </w:tc>
        <w:tc>
          <w:tcPr>
            <w:tcW w:w="820" w:type="dxa"/>
            <w:vAlign w:val="bottom"/>
            <w:shd w:val="clear" w:color="auto" w:fill="CCECFF"/>
          </w:tcPr>
          <w:p>
            <w:pPr>
              <w:spacing w:after="0"/>
              <w:rPr>
                <w:sz w:val="6"/>
                <w:szCs w:val="6"/>
                <w:color w:val="auto"/>
              </w:rPr>
            </w:pPr>
          </w:p>
        </w:tc>
        <w:tc>
          <w:tcPr>
            <w:tcW w:w="2000" w:type="dxa"/>
            <w:vAlign w:val="bottom"/>
            <w:shd w:val="clear" w:color="auto" w:fill="CCECFF"/>
          </w:tcPr>
          <w:p>
            <w:pPr>
              <w:spacing w:after="0"/>
              <w:rPr>
                <w:sz w:val="6"/>
                <w:szCs w:val="6"/>
                <w:color w:val="auto"/>
              </w:rPr>
            </w:pPr>
          </w:p>
        </w:tc>
        <w:tc>
          <w:tcPr>
            <w:tcW w:w="1060" w:type="dxa"/>
            <w:vAlign w:val="bottom"/>
            <w:shd w:val="clear" w:color="auto" w:fill="CCECFF"/>
          </w:tcPr>
          <w:p>
            <w:pPr>
              <w:spacing w:after="0"/>
              <w:rPr>
                <w:sz w:val="6"/>
                <w:szCs w:val="6"/>
                <w:color w:val="auto"/>
              </w:rPr>
            </w:pPr>
          </w:p>
        </w:tc>
        <w:tc>
          <w:tcPr>
            <w:tcW w:w="980" w:type="dxa"/>
            <w:vAlign w:val="bottom"/>
            <w:shd w:val="clear" w:color="auto" w:fill="CCECFF"/>
          </w:tcPr>
          <w:p>
            <w:pPr>
              <w:spacing w:after="0"/>
              <w:rPr>
                <w:sz w:val="6"/>
                <w:szCs w:val="6"/>
                <w:color w:val="auto"/>
              </w:rPr>
            </w:pPr>
          </w:p>
        </w:tc>
        <w:tc>
          <w:tcPr>
            <w:tcW w:w="1000" w:type="dxa"/>
            <w:vAlign w:val="bottom"/>
            <w:vMerge w:val="continue"/>
            <w:shd w:val="clear" w:color="auto" w:fill="CCECFF"/>
          </w:tcPr>
          <w:p>
            <w:pPr>
              <w:spacing w:after="0"/>
              <w:rPr>
                <w:sz w:val="6"/>
                <w:szCs w:val="6"/>
                <w:color w:val="auto"/>
              </w:rPr>
            </w:pPr>
          </w:p>
        </w:tc>
        <w:tc>
          <w:tcPr>
            <w:tcW w:w="860" w:type="dxa"/>
            <w:vAlign w:val="bottom"/>
            <w:shd w:val="clear" w:color="auto" w:fill="CCECFF"/>
          </w:tcPr>
          <w:p>
            <w:pPr>
              <w:spacing w:after="0"/>
              <w:rPr>
                <w:sz w:val="6"/>
                <w:szCs w:val="6"/>
                <w:color w:val="auto"/>
              </w:rPr>
            </w:pPr>
          </w:p>
        </w:tc>
        <w:tc>
          <w:tcPr>
            <w:tcW w:w="9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01/17/2024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12.37 %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SOFR+700</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4,657</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4,650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4,638</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 (9)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01/17/2024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833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03/01/2028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11.03 %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2,061</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2,037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2,016</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 - Unfunded Term Loan</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03/01/2024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1,707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 (Revolver)</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03/01/2028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11.03 %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357</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357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(Revolver) </w:t>
            </w:r>
            <w:r>
              <w:rPr>
                <w:rFonts w:ascii="Times New Roman" w:cs="Times New Roman" w:eastAsia="Times New Roman" w:hAnsi="Times New Roman"/>
                <w:sz w:val="12"/>
                <w:szCs w:val="12"/>
                <w:color w:val="auto"/>
                <w:vertAlign w:val="superscript"/>
              </w:rPr>
              <w:t>(9)</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03/01/2028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535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12/11/2026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10.67 %</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4,752</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4,724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4,657</w:t>
            </w:r>
          </w:p>
        </w:tc>
        <w:tc>
          <w:tcPr>
            <w:tcW w:w="0" w:type="dxa"/>
            <w:vAlign w:val="bottom"/>
          </w:tcPr>
          <w:p>
            <w:pPr>
              <w:spacing w:after="0"/>
              <w:rPr>
                <w:sz w:val="1"/>
                <w:szCs w:val="1"/>
                <w:color w:val="auto"/>
              </w:rPr>
            </w:pPr>
          </w:p>
        </w:tc>
      </w:tr>
      <w:tr>
        <w:trPr>
          <w:trHeight w:val="121"/>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08/16/2027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11.49 %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6M SOFR+615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18,373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18,109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18,171</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System Planning and Analysis, Inc. (Revolver) </w:t>
            </w:r>
            <w:r>
              <w:rPr>
                <w:rFonts w:ascii="Times New Roman" w:cs="Times New Roman" w:eastAsia="Times New Roman" w:hAnsi="Times New Roman"/>
                <w:sz w:val="12"/>
                <w:szCs w:val="12"/>
                <w:color w:val="auto"/>
                <w:vertAlign w:val="superscript"/>
              </w:rPr>
              <w:t>(9)</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08/16/2027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5,188</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20"/>
        </w:trPr>
        <w:tc>
          <w:tcPr>
            <w:tcW w:w="29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07/18/2025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10.67 %</w:t>
            </w: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5,733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5,683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5,725</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40" w:type="dxa"/>
            <w:vAlign w:val="bottom"/>
          </w:tcPr>
          <w:p>
            <w:pPr>
              <w:jc w:val="center"/>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2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10/31/2025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5,421</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5,374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5,340</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07/28/2026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12.79 %</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SOFR+740</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2,368</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2,331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2,359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07/28/2026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862</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2"/>
                <w:szCs w:val="12"/>
                <w:color w:val="auto"/>
                <w:vertAlign w:val="superscript"/>
              </w:rPr>
              <w:t>(7)</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08/30/2027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11.67 %</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1,979</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1,949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1,961</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08/30/2027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11.67 %</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305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305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303</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 (9)</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08/30/2027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606</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96"/>
        </w:trPr>
        <w:tc>
          <w:tcPr>
            <w:tcW w:w="276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9"/>
                <w:szCs w:val="9"/>
                <w:color w:val="auto"/>
              </w:rPr>
              <w:t xml:space="preserve">TPC Canada Parent, Inc. and TPC US Parent, LLC </w:t>
            </w:r>
            <w:r>
              <w:rPr>
                <w:rFonts w:ascii="Times New Roman" w:cs="Times New Roman" w:eastAsia="Times New Roman" w:hAnsi="Times New Roman"/>
                <w:sz w:val="11"/>
                <w:szCs w:val="11"/>
                <w:color w:val="auto"/>
                <w:vertAlign w:val="superscript"/>
              </w:rPr>
              <w:t>(5), (10)</w:t>
            </w:r>
          </w:p>
        </w:tc>
        <w:tc>
          <w:tcPr>
            <w:tcW w:w="920" w:type="dxa"/>
            <w:vAlign w:val="bottom"/>
            <w:shd w:val="clear" w:color="auto" w:fill="CCECFF"/>
          </w:tcPr>
          <w:p>
            <w:pPr>
              <w:ind w:left="220"/>
              <w:spacing w:after="0" w:line="96" w:lineRule="exact"/>
              <w:rPr>
                <w:sz w:val="20"/>
                <w:szCs w:val="20"/>
                <w:color w:val="auto"/>
              </w:rPr>
            </w:pPr>
            <w:r>
              <w:rPr>
                <w:rFonts w:ascii="Times New Roman" w:cs="Times New Roman" w:eastAsia="Times New Roman" w:hAnsi="Times New Roman"/>
                <w:sz w:val="10"/>
                <w:szCs w:val="10"/>
                <w:color w:val="auto"/>
              </w:rPr>
              <w:t>11/24/2025</w:t>
            </w:r>
          </w:p>
        </w:tc>
        <w:tc>
          <w:tcPr>
            <w:tcW w:w="2100" w:type="dxa"/>
            <w:vAlign w:val="bottom"/>
            <w:shd w:val="clear" w:color="auto" w:fill="CCECFF"/>
          </w:tcPr>
          <w:p>
            <w:pPr>
              <w:jc w:val="center"/>
              <w:spacing w:after="0" w:line="96" w:lineRule="exact"/>
              <w:rPr>
                <w:sz w:val="20"/>
                <w:szCs w:val="20"/>
                <w:color w:val="auto"/>
              </w:rPr>
            </w:pPr>
            <w:r>
              <w:rPr>
                <w:rFonts w:ascii="Times New Roman" w:cs="Times New Roman" w:eastAsia="Times New Roman" w:hAnsi="Times New Roman"/>
                <w:sz w:val="10"/>
                <w:szCs w:val="10"/>
                <w:color w:val="auto"/>
                <w:w w:val="96"/>
              </w:rPr>
              <w:t>Food Products</w:t>
            </w:r>
          </w:p>
        </w:tc>
        <w:tc>
          <w:tcPr>
            <w:tcW w:w="960" w:type="dxa"/>
            <w:vAlign w:val="bottom"/>
            <w:shd w:val="clear" w:color="auto" w:fill="CCECFF"/>
          </w:tcPr>
          <w:p>
            <w:pPr>
              <w:jc w:val="right"/>
              <w:ind w:right="52"/>
              <w:spacing w:after="0" w:line="96"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line="96" w:lineRule="exact"/>
              <w:rPr>
                <w:sz w:val="20"/>
                <w:szCs w:val="20"/>
                <w:color w:val="auto"/>
              </w:rPr>
            </w:pPr>
            <w:r>
              <w:rPr>
                <w:rFonts w:ascii="Times New Roman" w:cs="Times New Roman" w:eastAsia="Times New Roman" w:hAnsi="Times New Roman"/>
                <w:sz w:val="10"/>
                <w:szCs w:val="10"/>
                <w:color w:val="auto"/>
              </w:rPr>
              <w:t>3M SOFR+565</w:t>
            </w:r>
          </w:p>
        </w:tc>
        <w:tc>
          <w:tcPr>
            <w:tcW w:w="1000" w:type="dxa"/>
            <w:vAlign w:val="bottom"/>
            <w:vMerge w:val="restart"/>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4,813</w:t>
            </w:r>
          </w:p>
        </w:tc>
        <w:tc>
          <w:tcPr>
            <w:tcW w:w="860" w:type="dxa"/>
            <w:vAlign w:val="bottom"/>
            <w:shd w:val="clear" w:color="auto" w:fill="CCECFF"/>
          </w:tcPr>
          <w:p>
            <w:pPr>
              <w:jc w:val="right"/>
              <w:ind w:right="112"/>
              <w:spacing w:after="0" w:line="96" w:lineRule="exact"/>
              <w:rPr>
                <w:sz w:val="20"/>
                <w:szCs w:val="20"/>
                <w:color w:val="auto"/>
              </w:rPr>
            </w:pPr>
            <w:r>
              <w:rPr>
                <w:rFonts w:ascii="Times New Roman" w:cs="Times New Roman" w:eastAsia="Times New Roman" w:hAnsi="Times New Roman"/>
                <w:sz w:val="10"/>
                <w:szCs w:val="10"/>
                <w:color w:val="auto"/>
              </w:rPr>
              <w:t>4,793</w:t>
            </w:r>
          </w:p>
        </w:tc>
        <w:tc>
          <w:tcPr>
            <w:tcW w:w="920" w:type="dxa"/>
            <w:vAlign w:val="bottom"/>
            <w:shd w:val="clear" w:color="auto" w:fill="CCECFF"/>
          </w:tcPr>
          <w:p>
            <w:pPr>
              <w:jc w:val="right"/>
              <w:ind w:right="52"/>
              <w:spacing w:after="0" w:line="96" w:lineRule="exact"/>
              <w:rPr>
                <w:sz w:val="20"/>
                <w:szCs w:val="20"/>
                <w:color w:val="auto"/>
              </w:rPr>
            </w:pPr>
            <w:r>
              <w:rPr>
                <w:rFonts w:ascii="Times New Roman" w:cs="Times New Roman" w:eastAsia="Times New Roman" w:hAnsi="Times New Roman"/>
                <w:sz w:val="10"/>
                <w:szCs w:val="10"/>
                <w:color w:val="auto"/>
              </w:rPr>
              <w:t>4,813</w:t>
            </w:r>
          </w:p>
        </w:tc>
        <w:tc>
          <w:tcPr>
            <w:tcW w:w="0" w:type="dxa"/>
            <w:vAlign w:val="bottom"/>
          </w:tcPr>
          <w:p>
            <w:pPr>
              <w:spacing w:after="0"/>
              <w:rPr>
                <w:sz w:val="1"/>
                <w:szCs w:val="1"/>
                <w:color w:val="auto"/>
              </w:rPr>
            </w:pPr>
          </w:p>
        </w:tc>
      </w:tr>
      <w:tr>
        <w:trPr>
          <w:trHeight w:val="108"/>
        </w:trPr>
        <w:tc>
          <w:tcPr>
            <w:tcW w:w="27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2100" w:type="dxa"/>
            <w:vAlign w:val="bottom"/>
            <w:shd w:val="clear" w:color="auto" w:fill="CCECFF"/>
          </w:tcPr>
          <w:p>
            <w:pPr>
              <w:spacing w:after="0"/>
              <w:rPr>
                <w:sz w:val="9"/>
                <w:szCs w:val="9"/>
                <w:color w:val="auto"/>
              </w:rPr>
            </w:pPr>
          </w:p>
        </w:tc>
        <w:tc>
          <w:tcPr>
            <w:tcW w:w="960" w:type="dxa"/>
            <w:vAlign w:val="bottom"/>
            <w:shd w:val="clear" w:color="auto" w:fill="CCECFF"/>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10.90</w:t>
            </w:r>
          </w:p>
        </w:tc>
        <w:tc>
          <w:tcPr>
            <w:tcW w:w="1040" w:type="dxa"/>
            <w:vAlign w:val="bottom"/>
            <w:shd w:val="clear" w:color="auto" w:fill="CCECFF"/>
          </w:tcPr>
          <w:p>
            <w:pPr>
              <w:spacing w:after="0"/>
              <w:rPr>
                <w:sz w:val="9"/>
                <w:szCs w:val="9"/>
                <w:color w:val="auto"/>
              </w:rPr>
            </w:pPr>
          </w:p>
        </w:tc>
        <w:tc>
          <w:tcPr>
            <w:tcW w:w="1000" w:type="dxa"/>
            <w:vAlign w:val="bottom"/>
            <w:vMerge w:val="continue"/>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06/16/2025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11.81 %</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4,316</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4,280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4,316</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06/16/2025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2,628</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04/01/2028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10.90 %</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11,928</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11,803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10,879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04/01/2026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1,040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(94 )</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LLC - Term Loan</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03/31/2027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12.18 %</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SOFR+685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3,521</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3,521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3,521</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Funded Junior Revolver</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03/31/2027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11.68 %</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1,667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1,667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Unfunded Term Loan</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03/31/2027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333</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02/27/2026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10.54 %</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7,646</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7,579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7,570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6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(9)</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02/27/2026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534</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03/01/2024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12.67 %</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SOFR+735</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13,249</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13,206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12,818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683,940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665,725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Debt—0.0%</w:t>
            </w:r>
          </w:p>
        </w:tc>
        <w:tc>
          <w:tcPr>
            <w:tcW w:w="92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Mailsouth Inc. </w:t>
            </w:r>
            <w:r>
              <w:rPr>
                <w:rFonts w:ascii="Times New Roman" w:cs="Times New Roman" w:eastAsia="Times New Roman" w:hAnsi="Times New Roman"/>
                <w:sz w:val="12"/>
                <w:szCs w:val="12"/>
                <w:color w:val="auto"/>
                <w:vertAlign w:val="superscript"/>
              </w:rPr>
              <w:t>(11)</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04/23/2025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and Publishing</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1,161</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965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QuantiTech LLC</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02/04/2027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15.50 %</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SOFR+1,010</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150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 1.8% </w:t>
            </w:r>
            <w:r>
              <w:rPr>
                <w:rFonts w:ascii="Times New Roman" w:cs="Times New Roman" w:eastAsia="Times New Roman" w:hAnsi="Times New Roman"/>
                <w:sz w:val="12"/>
                <w:szCs w:val="12"/>
                <w:b w:val="1"/>
                <w:bCs w:val="1"/>
                <w:color w:val="auto"/>
                <w:vertAlign w:val="superscript"/>
              </w:rPr>
              <w:t>(6)</w:t>
            </w:r>
          </w:p>
        </w:tc>
        <w:tc>
          <w:tcPr>
            <w:tcW w:w="92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6,720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672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2,018</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2,018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1,633</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(Preferred) </w:t>
            </w:r>
            <w:r>
              <w:rPr>
                <w:rFonts w:ascii="Times New Roman" w:cs="Times New Roman" w:eastAsia="Times New Roman" w:hAnsi="Times New Roman"/>
                <w:sz w:val="12"/>
                <w:szCs w:val="12"/>
                <w:color w:val="auto"/>
                <w:vertAlign w:val="superscript"/>
              </w:rPr>
              <w:t>(8)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1,437,500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1,438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Lash Coinvest LLC (Preferred)</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108,546</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586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1,319</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(Preferred Equity)</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64</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8.00 %</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1,236,027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1,236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56"/>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28</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Mars Intermediate Holdings II, Inc.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835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835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1,112</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733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733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1,327</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 (Preferred Equity)</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61</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Signature CR Intermediate Holdco, Inc.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12.00 %</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1,323</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1,323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2,158</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(5), (7), (8), (10)</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409</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409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37</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UniTek Global Services, Inc. -</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20.00 %</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343,861</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344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Super Senior Preferred Equity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 Senior Preferred Equity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19.00 %</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448,851</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13.50 %</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1,047,317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670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11,028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11,571</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Equity/Warrants— 14.5% </w:t>
            </w:r>
            <w:r>
              <w:rPr>
                <w:rFonts w:ascii="Times New Roman" w:cs="Times New Roman" w:eastAsia="Times New Roman" w:hAnsi="Times New Roman"/>
                <w:sz w:val="12"/>
                <w:szCs w:val="12"/>
                <w:b w:val="1"/>
                <w:bCs w:val="1"/>
                <w:color w:val="auto"/>
                <w:vertAlign w:val="superscript"/>
              </w:rPr>
              <w:t>(6)</w:t>
            </w:r>
          </w:p>
        </w:tc>
        <w:tc>
          <w:tcPr>
            <w:tcW w:w="92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A1 Garage Equity, LLC</w:t>
            </w:r>
            <w:r>
              <w:rPr>
                <w:rFonts w:ascii="Times New Roman" w:cs="Times New Roman" w:eastAsia="Times New Roman" w:hAnsi="Times New Roman"/>
                <w:sz w:val="12"/>
                <w:szCs w:val="12"/>
                <w:color w:val="auto"/>
                <w:vertAlign w:val="superscript"/>
              </w:rPr>
              <w:t>(8)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647,943</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648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691</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7,467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Affinion Group Holdings, Inc. (Warrants)</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04/10/2024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8,893</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805,164</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805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1,074</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 (9)</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194,836</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Altamira Intermediate Company II, Inc.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1,437,500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1,437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2,018</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4,678</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5,000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4,516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Holdings,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1,313</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1,313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Auto Components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100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12"/>
                <w:szCs w:val="12"/>
                <w:color w:val="auto"/>
                <w:vertAlign w:val="superscript"/>
              </w:rPr>
              <w:t>(7), (8)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22,789</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849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11,610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Parent,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38,278</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421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Acquisition Parent Holdings, L.P.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130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760,273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747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(8),(9)</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244,597</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(7), (10)</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251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1,125,000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1,062</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541,667</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542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21,665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3,062</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(7),(8),(9)</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7,566</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655,714</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656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374,444</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371</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Gauge Lash Coinvest LLC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1,485,953</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6,810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Loving Tan,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2,481,781</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2,482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Gauge Schlesinger Coinvest LLC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465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476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Gauge TVC Coinvest, LLC (TVC Enterprises,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391,144</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1,153</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GCOM InvestCo LP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19,184</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3,342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3,165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Go Dawgs Capital III,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324,675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325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711</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(American Insulated Glass, LLC)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(7), (8)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450,000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HPA SPQ Aggregator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750,399</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750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100,000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1,863,863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1,864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1,671</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Par /</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6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 (9)</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636,137</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(66 )</w:t>
            </w:r>
          </w:p>
        </w:tc>
      </w:tr>
      <w:tr>
        <w:trPr>
          <w:trHeight w:val="121"/>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IIN Group Holdings, LLC</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1,000</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(Integrative Nutrition, LLC) </w:t>
            </w:r>
            <w:r>
              <w:rPr>
                <w:rFonts w:ascii="Times New Roman" w:cs="Times New Roman" w:eastAsia="Times New Roman" w:hAnsi="Times New Roman"/>
                <w:sz w:val="12"/>
                <w:szCs w:val="12"/>
                <w:color w:val="auto"/>
                <w:vertAlign w:val="superscript"/>
              </w:rPr>
              <w:t>(7), (8)</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 (Common)</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1,236,027</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1,218,045</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1,642</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Ironclad Holdco, LLC (Applied Technical Services, LLC) </w:t>
            </w:r>
            <w:r>
              <w:rPr>
                <w:rFonts w:ascii="Times New Roman" w:cs="Times New Roman" w:eastAsia="Times New Roman" w:hAnsi="Times New Roman"/>
                <w:sz w:val="12"/>
                <w:szCs w:val="12"/>
                <w:color w:val="auto"/>
                <w:vertAlign w:val="superscript"/>
              </w:rPr>
              <w:t>(7), (8)</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5,811</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844</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116,032</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1,268</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ITC Rumba, LLC (Cano Health, LLC) </w:t>
            </w:r>
            <w:r>
              <w:rPr>
                <w:rFonts w:ascii="Times New Roman" w:cs="Times New Roman" w:eastAsia="Times New Roman" w:hAnsi="Times New Roman"/>
                <w:sz w:val="12"/>
                <w:szCs w:val="12"/>
                <w:color w:val="auto"/>
                <w:vertAlign w:val="superscript"/>
              </w:rPr>
              <w:t>(7),(8)</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46,763</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t>
            </w:r>
            <w:r>
              <w:rPr>
                <w:rFonts w:ascii="Times New Roman" w:cs="Times New Roman" w:eastAsia="Times New Roman" w:hAnsi="Times New Roman"/>
                <w:sz w:val="12"/>
                <w:szCs w:val="12"/>
                <w:color w:val="auto"/>
                <w:vertAlign w:val="superscript"/>
              </w:rPr>
              <w:t>(8)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87,345</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883</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1,734,775</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2,508</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(7),(8)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Energy Equipment and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382,353</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775</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Lightspeed Investment Holdco LLC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585,587</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1,588</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1,638,043</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1,736</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(8)</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5,144</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28,231</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Mars Intermediate Holdings II, Inc.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835</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468</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10,761</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1,155</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(8)</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819,231</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MSpark, LLC</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and Publishing</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3,988</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1,973,370</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2,005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2,230</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(7), (8)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1,494</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Parent Holdings, LLC</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2,544</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2,544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2,544</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223,602</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14,960</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OceanSound Discovery Equity, LP (Holdco Sands Intermediate,</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173,638</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3,768</w:t>
            </w:r>
          </w:p>
        </w:tc>
        <w:tc>
          <w:tcPr>
            <w:tcW w:w="80" w:type="dxa"/>
            <w:vAlign w:val="bottom"/>
          </w:tcPr>
          <w:p>
            <w:pPr>
              <w:spacing w:after="0"/>
              <w:rPr>
                <w:sz w:val="10"/>
                <w:szCs w:val="10"/>
                <w:color w:val="auto"/>
              </w:rPr>
            </w:pPr>
          </w:p>
        </w:tc>
      </w:tr>
      <w:tr>
        <w:trPr>
          <w:trHeight w:val="120"/>
        </w:trPr>
        <w:tc>
          <w:tcPr>
            <w:tcW w:w="29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vertAlign w:val="subscript"/>
              </w:rPr>
              <w:t>LLC)</w:t>
            </w:r>
            <w:r>
              <w:rPr>
                <w:rFonts w:ascii="Times New Roman" w:cs="Times New Roman" w:eastAsia="Times New Roman" w:hAnsi="Times New Roman"/>
                <w:sz w:val="5"/>
                <w:szCs w:val="5"/>
                <w:color w:val="auto"/>
              </w:rPr>
              <w:t xml:space="preserve"> (7), (8)</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743,750</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650</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(9)</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506,250</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(64 )</w:t>
            </w: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1,474</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LP </w:t>
            </w:r>
            <w:r>
              <w:rPr>
                <w:rFonts w:ascii="Times New Roman" w:cs="Times New Roman" w:eastAsia="Times New Roman" w:hAnsi="Times New Roman"/>
                <w:sz w:val="12"/>
                <w:szCs w:val="12"/>
                <w:color w:val="auto"/>
                <w:vertAlign w:val="superscript"/>
              </w:rPr>
              <w:t>(7)</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11,167,847</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11,168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9,345</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350</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1,006</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(PL Acquisitions, LLC) </w:t>
            </w:r>
            <w:r>
              <w:rPr>
                <w:rFonts w:ascii="Times New Roman" w:cs="Times New Roman" w:eastAsia="Times New Roman" w:hAnsi="Times New Roman"/>
                <w:sz w:val="12"/>
                <w:szCs w:val="12"/>
                <w:color w:val="auto"/>
                <w:vertAlign w:val="superscript"/>
              </w:rPr>
              <w:t>(8)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1,735</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610,583</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611</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238</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266,864</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312</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712</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446</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 (9)</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955</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(7), (8),</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40</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RFMG Parent, LP (Rancho Health MSO, Inc.) </w:t>
            </w:r>
            <w:r>
              <w:rPr>
                <w:rFonts w:ascii="Times New Roman" w:cs="Times New Roman" w:eastAsia="Times New Roman" w:hAnsi="Times New Roman"/>
                <w:sz w:val="12"/>
                <w:szCs w:val="12"/>
                <w:color w:val="auto"/>
                <w:vertAlign w:val="superscript"/>
              </w:rPr>
              <w:t>(7)</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1,050,000</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1,052</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SBI Holdings Investments LLC (Sales Benchmark Index LLC)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64,634</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515</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296</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Signature CR Intermediate Holdco, Inc.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70</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1,784</w:t>
            </w:r>
          </w:p>
        </w:tc>
        <w:tc>
          <w:tcPr>
            <w:tcW w:w="80" w:type="dxa"/>
            <w:vAlign w:val="bottom"/>
            <w:shd w:val="clear" w:color="auto" w:fill="CCECFF"/>
          </w:tcPr>
          <w:p>
            <w:pPr>
              <w:spacing w:after="0"/>
              <w:rPr>
                <w:sz w:val="10"/>
                <w:szCs w:val="10"/>
                <w:color w:val="auto"/>
              </w:rPr>
            </w:pPr>
          </w:p>
        </w:tc>
      </w:tr>
      <w:tr>
        <w:trPr>
          <w:trHeight w:val="12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 L2 Holdings, LLC (Ledge Lounger, Inc.)</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360,103</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w:t>
            </w:r>
          </w:p>
        </w:tc>
        <w:tc>
          <w:tcPr>
            <w:tcW w:w="80" w:type="dxa"/>
            <w:vAlign w:val="bottom"/>
          </w:tcPr>
          <w:p>
            <w:pPr>
              <w:spacing w:after="0"/>
              <w:rPr>
                <w:sz w:val="10"/>
                <w:szCs w:val="10"/>
                <w:color w:val="auto"/>
              </w:rPr>
            </w:pPr>
          </w:p>
        </w:tc>
      </w:tr>
      <w:tr>
        <w:trPr>
          <w:trHeight w:val="20"/>
        </w:trPr>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1,098</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shd w:val="clear" w:color="auto" w:fill="CCECFF"/>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Class B (US Dominion, Inc.)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StellPen Holdings, LLC (CF512, Inc.) </w:t>
            </w:r>
            <w:r>
              <w:rPr>
                <w:rFonts w:ascii="Times New Roman" w:cs="Times New Roman" w:eastAsia="Times New Roman" w:hAnsi="Times New Roman"/>
                <w:sz w:val="12"/>
                <w:szCs w:val="12"/>
                <w:color w:val="auto"/>
                <w:vertAlign w:val="superscript"/>
              </w:rPr>
              <w:t>(7)</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161,538</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(7),(8)</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533,833</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Tower Arch Infolinks Media, LP (Infolinks Media Buyco, LLC)</w:t>
            </w:r>
            <w:r>
              <w:rPr>
                <w:rFonts w:ascii="Times New Roman" w:cs="Times New Roman" w:eastAsia="Times New Roman" w:hAnsi="Times New Roman"/>
                <w:sz w:val="12"/>
                <w:szCs w:val="12"/>
                <w:color w:val="auto"/>
                <w:vertAlign w:val="superscript"/>
              </w:rPr>
              <w:t>(8)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219,056</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Tower Arch Infolinks Media, LP (Infolinks Media Buyco, LLC)</w:t>
            </w:r>
            <w:r>
              <w:rPr>
                <w:rFonts w:ascii="Times New Roman" w:cs="Times New Roman" w:eastAsia="Times New Roman" w:hAnsi="Times New Roman"/>
                <w:sz w:val="12"/>
                <w:szCs w:val="12"/>
                <w:color w:val="auto"/>
                <w:vertAlign w:val="superscript"/>
              </w:rPr>
              <w:t>(8) (9)</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146,550</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(5), (7), (8), (10)</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21,527</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749</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UniTek Global Services, Inc.(C)</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213,739</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UniTek Global Services, Inc. (W)</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23,889</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(7),(8)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400</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694,444</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653</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Holdco LLC</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36,458</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1,766</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WCP IvyRehab QP CF Feeder, LP</w:t>
            </w:r>
            <w:r>
              <w:rPr>
                <w:rFonts w:ascii="Times New Roman" w:cs="Times New Roman" w:eastAsia="Times New Roman" w:hAnsi="Times New Roman"/>
                <w:sz w:val="12"/>
                <w:szCs w:val="12"/>
                <w:color w:val="auto"/>
                <w:vertAlign w:val="superscript"/>
              </w:rPr>
              <w:t>(8)</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3,715,012</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3,754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4,319</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(8), (9)</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284,988</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60" w:type="dxa"/>
            <w:vAlign w:val="bottom"/>
            <w:shd w:val="clear" w:color="auto" w:fill="CCECFF"/>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Wildcat Parent, LP (Wildcat Buyerco, Inc.)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2,240</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794</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72,159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94,733</w:t>
            </w:r>
          </w:p>
        </w:tc>
        <w:tc>
          <w:tcPr>
            <w:tcW w:w="80" w:type="dxa"/>
            <w:vAlign w:val="bottom"/>
          </w:tcPr>
          <w:p>
            <w:pPr>
              <w:spacing w:after="0"/>
              <w:rPr>
                <w:sz w:val="10"/>
                <w:szCs w:val="10"/>
                <w:color w:val="auto"/>
              </w:rPr>
            </w:pPr>
          </w:p>
        </w:tc>
      </w:tr>
      <w:tr>
        <w:trPr>
          <w:trHeight w:val="120"/>
        </w:trPr>
        <w:tc>
          <w:tcPr>
            <w:tcW w:w="3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768,240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772,178</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w w:val="94"/>
              </w:rPr>
              <w:t xml:space="preserve">Investments in Controlled, Affiliated Portfolio Companies—45.1% </w:t>
            </w:r>
            <w:r>
              <w:rPr>
                <w:rFonts w:ascii="Times New Roman" w:cs="Times New Roman" w:eastAsia="Times New Roman" w:hAnsi="Times New Roman"/>
                <w:sz w:val="12"/>
                <w:szCs w:val="12"/>
                <w:b w:val="1"/>
                <w:bCs w:val="1"/>
                <w:color w:val="auto"/>
                <w:w w:val="94"/>
                <w:vertAlign w:val="superscript"/>
              </w:rPr>
              <w:t>(3), (4)</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Debt—36.8%</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(7)</w:t>
            </w: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09/30/2025</w:t>
            </w:r>
          </w:p>
        </w:tc>
        <w:tc>
          <w:tcPr>
            <w:tcW w:w="26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3,582</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3,582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3,582</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w:t>
            </w:r>
            <w:r>
              <w:rPr>
                <w:rFonts w:ascii="Times New Roman" w:cs="Times New Roman" w:eastAsia="Times New Roman" w:hAnsi="Times New Roman"/>
                <w:sz w:val="12"/>
                <w:szCs w:val="12"/>
                <w:color w:val="auto"/>
                <w:vertAlign w:val="superscript"/>
              </w:rPr>
              <w:t>(7), (9)</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09/30/2025</w:t>
            </w: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3,261</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09/30/2026</w:t>
            </w:r>
          </w:p>
        </w:tc>
        <w:tc>
          <w:tcPr>
            <w:tcW w:w="26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26,771</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26,770</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(9), (10)</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05/06/2024</w:t>
            </w: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13.33 %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SOFR+800</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210,088</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210,088</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210,088</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234,601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240,440</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Interests—8.3%</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New MPE Holdings, LLC (Marketplace Events, LLC) </w:t>
            </w:r>
            <w:r>
              <w:rPr>
                <w:rFonts w:ascii="Times New Roman" w:cs="Times New Roman" w:eastAsia="Times New Roman" w:hAnsi="Times New Roman"/>
                <w:sz w:val="12"/>
                <w:szCs w:val="12"/>
                <w:color w:val="auto"/>
                <w:vertAlign w:val="superscript"/>
              </w:rPr>
              <w:t>(7),(8)</w:t>
            </w:r>
          </w:p>
        </w:tc>
        <w:tc>
          <w:tcPr>
            <w:tcW w:w="46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349</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3,675</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(9), (10)</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90,038</w:t>
            </w: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90,038</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50,881</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Interests</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90,038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54,556</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324,639</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294,996</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Investments—163.3%</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1,092,878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1,067,174</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Equivalents—15.3%</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Money Market - BlackRock Federal FD Institutional 81</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100,555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100,555</w:t>
            </w:r>
          </w:p>
        </w:tc>
        <w:tc>
          <w:tcPr>
            <w:tcW w:w="80" w:type="dxa"/>
            <w:vAlign w:val="bottom"/>
          </w:tcPr>
          <w:p>
            <w:pPr>
              <w:spacing w:after="0"/>
              <w:rPr>
                <w:sz w:val="10"/>
                <w:szCs w:val="10"/>
                <w:color w:val="auto"/>
              </w:rPr>
            </w:pPr>
          </w:p>
        </w:tc>
      </w:tr>
      <w:tr>
        <w:trPr>
          <w:trHeight w:val="12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4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100,555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100,555</w:t>
            </w:r>
          </w:p>
        </w:tc>
        <w:tc>
          <w:tcPr>
            <w:tcW w:w="80" w:type="dxa"/>
            <w:vAlign w:val="bottom"/>
            <w:shd w:val="clear" w:color="auto" w:fill="CCECFF"/>
          </w:tcPr>
          <w:p>
            <w:pPr>
              <w:spacing w:after="0"/>
              <w:rPr>
                <w:sz w:val="10"/>
                <w:szCs w:val="10"/>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Equivalents—178.6%</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1,193,433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1,167,729</w:t>
            </w:r>
          </w:p>
        </w:tc>
        <w:tc>
          <w:tcPr>
            <w:tcW w:w="80" w:type="dxa"/>
            <w:vAlign w:val="bottom"/>
          </w:tcPr>
          <w:p>
            <w:pPr>
              <w:spacing w:after="0"/>
              <w:rPr>
                <w:sz w:val="10"/>
                <w:szCs w:val="10"/>
                <w:color w:val="auto"/>
              </w:rPr>
            </w:pPr>
          </w:p>
        </w:tc>
      </w:tr>
      <w:tr>
        <w:trPr>
          <w:trHeight w:val="20"/>
        </w:trPr>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96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Assets—(78.6)%</w:t>
            </w:r>
          </w:p>
        </w:tc>
        <w:tc>
          <w:tcPr>
            <w:tcW w:w="46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210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98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60" w:type="dxa"/>
            <w:vAlign w:val="bottom"/>
            <w:gridSpan w:val="2"/>
            <w:shd w:val="clear" w:color="auto" w:fill="CCECFF"/>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(514,124 )</w:t>
            </w: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653,605</w:t>
            </w:r>
          </w:p>
        </w:tc>
        <w:tc>
          <w:tcPr>
            <w:tcW w:w="80" w:type="dxa"/>
            <w:vAlign w:val="bottom"/>
          </w:tcPr>
          <w:p>
            <w:pPr>
              <w:spacing w:after="0"/>
              <w:rPr>
                <w:sz w:val="10"/>
                <w:szCs w:val="10"/>
                <w:color w:val="auto"/>
              </w:rPr>
            </w:pPr>
          </w:p>
        </w:tc>
      </w:tr>
      <w:tr>
        <w:trPr>
          <w:trHeight w:val="20"/>
        </w:trPr>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1"/>
          <w:szCs w:val="11"/>
          <w:color w:val="auto"/>
        </w:rPr>
        <w:t>(1)Represents floating rate instruments that accrue interest at a predetermined spread relative to an index, typically the applicable Secured Overnight Financing Rate, or “SOFR”, or Prime rate, or “P, or</w:t>
      </w:r>
    </w:p>
    <w:p>
      <w:pPr>
        <w:spacing w:after="0" w:line="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1"/>
          <w:szCs w:val="11"/>
          <w:color w:val="auto"/>
        </w:rPr>
        <w:t>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(2)Valued based on our accounting policy. The value of all securities was determined using significant unobservable inputs.</w:t>
      </w:r>
    </w:p>
    <w:p>
      <w:pPr>
        <w:spacing w:after="0" w:line="3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1"/>
          <w:szCs w:val="11"/>
          <w:color w:val="auto"/>
        </w:rPr>
        <w:t>(3)The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(4)The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rPr>
          <w:sz w:val="20"/>
          <w:szCs w:val="20"/>
          <w:color w:val="auto"/>
        </w:rPr>
      </w:pPr>
      <w:r>
        <w:rPr>
          <w:rFonts w:ascii="Times New Roman" w:cs="Times New Roman" w:eastAsia="Times New Roman" w:hAnsi="Times New Roman"/>
          <w:sz w:val="11"/>
          <w:szCs w:val="11"/>
          <w:color w:val="auto"/>
        </w:rPr>
        <w:t>(5)Non-U.S. company or principal place of business outside the United States.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(7)The securities, or a portion thereof, are not 1) pledged as collateral under the Credit Facility and held through Funding I; or 2) securing the 2031 Asset-Backed Debt and held through PennantPark CLO I,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(8)Investment is held through our Taxable Subsidiary.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(9)Represents the purchase of a security with delayed settlement or a revolving line of credit that is currently an unfunded investment. This security does not earn a basis point spread above an index while it is unfunded.</w:t>
      </w:r>
    </w:p>
    <w:p>
      <w:pPr>
        <w:spacing w:after="0" w:line="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(10)The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76% of our total assets and non-qualifying assets represent 24% of our total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(11)Non-accrual security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Note: All investments are in US Companies unless noted otherwise.</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93" w:right="680"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29" w:lineRule="exact"/>
        <w:rPr>
          <w:sz w:val="20"/>
          <w:szCs w:val="20"/>
          <w:color w:val="auto"/>
        </w:rPr>
      </w:pPr>
    </w:p>
    <w:p>
      <w:pPr>
        <w:ind w:right="260" w:firstLine="420"/>
        <w:spacing w:after="0" w:line="268" w:lineRule="auto"/>
        <w:rPr>
          <w:sz w:val="20"/>
          <w:szCs w:val="20"/>
          <w:color w:val="auto"/>
        </w:rPr>
      </w:pPr>
      <w:r>
        <w:rPr>
          <w:rFonts w:ascii="Times New Roman" w:cs="Times New Roman" w:eastAsia="Times New Roman" w:hAnsi="Times New Roman"/>
          <w:sz w:val="13"/>
          <w:szCs w:val="13"/>
          <w:color w:val="auto"/>
        </w:rPr>
        <w:t>PennantPark Floating Rate Capital Ltd. was organized as a Maryland corporation in October 2010. We are a closed-end, externally managed, non -diversified investment company that has elected to be treated as a BDC under the 1940 Act. On April 14, 2022, listing and trading of the Company's common stock commenced on the New York Stock Exchange after the Company voluntarily withdrew the principal listing of its common stock from the Nasdaq Stock Market LLC effective at market close on April 13, 2022.</w:t>
      </w:r>
    </w:p>
    <w:p>
      <w:pPr>
        <w:spacing w:after="0" w:line="87"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SOFR,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96"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are wholly owned by us. The Company does not intend to create or acquire primary control of an entity which primarily engages in investment activities of securities or other assets other than entities wholly owned by the Company. We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96"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76"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Funding I, our wholly-owned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$636 million at SOFR (or an alternative risk-free floating interest rate index) plus 225 basis points during the revolving period. The Credit Facility is secured by all of the assets held by Funding I. See Note 11.</w:t>
      </w:r>
    </w:p>
    <w:p>
      <w:pPr>
        <w:spacing w:after="0" w:line="288"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76"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See Note 4.</w:t>
      </w:r>
    </w:p>
    <w:p>
      <w:pPr>
        <w:spacing w:after="0" w:line="76"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In November 2017, we issued $138.6 million of our 2023 Notes. The principal on the 2023 Notes were payable in four annual installments as follows: 15% of the original principal amount on December 15, 2020, 15% of the original principal amount on December 15, 2021, 15% of the original principal amount on December 15, 2022 and 55% on December 15, 2023. On December 15, 2023, the remaining outstanding 2023 Notes were repaid in full. The 2023 Notes were general, unsecured obligations and ranked equal in right of payment with all of our existing and future senior unsecured indebtedness. The 2023 Notes were listed on the TASE and, in connection with this offering, we dual listed our common stock on the TASE.</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On February 7, 2024 the Company filed a notice with the Israel Securities Authority and the TASE voluntarily requesting to de-list the Company's common stock from trading on the TASE.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last day of trading on the TASE was May 6, 2024 and the de-listing of the Company's common stock from the TASE took effect on May 8, 2024.</w:t>
      </w:r>
    </w:p>
    <w:p>
      <w:pPr>
        <w:spacing w:after="0" w:line="113"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11.</w:t>
      </w:r>
    </w:p>
    <w:p>
      <w:pPr>
        <w:spacing w:after="0" w:line="94"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In July 2024, the 2031 Asset-Backed Debt was refinanced through a $351.0 million debt securitization in the form of a collateralized loan obligation, or the "2036-R Asset-Backed Debt". The Company retained $85.0 million of the debt securitization. The 2036-R Asset-Backed Debt is secured by a diversified portfolio of primarily middle market loans and participation interest in middle market loans. The 2036-R Asset Backed Debt is schedule to mature in July 2036.</w:t>
      </w:r>
    </w:p>
    <w:p>
      <w:pPr>
        <w:spacing w:after="0" w:line="87"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On February 22, 2024, the 2036 Securitization Issuer completed the 2036 Securitization. The 2036 Asset-Backed Debt is secured by a diversified portfolio of the 2036-Securitization Issuer consisting primarily of middle market loans and participation interests in middle market loans. The 2036 Asset-Backed Debt is scheduled to mature in April 2036. On the closing date of the 2036 Securitization, in consideration of our transfer to the 2036 Securitization Issuer of the initial closing date loan portfolio, which included loans distributed to us by certain of our wholly-owned subsidiaries. See Note 11.</w:t>
      </w:r>
    </w:p>
    <w:p>
      <w:pPr>
        <w:spacing w:after="0" w:line="127"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In March 2021 and October 2021, we issued $100.0 million and $85.0 million, respectively, in aggregate principal amount of our 2026 Notes at a public offering price per note of 99.4% and 101.5% respectively. Interest on the 2026 Notes is paid semi- annually on April 1 and October 1 of each year, at a rate of 4.25% per year, commencing October 1, 2021. The 2026 Notes mature on April 1, 2026 and may be redeemed in whole or in part at our option subject to a make- whole premium if redeemed more than three months prior to maturity. The 2026 Notes are general, unsecured obligations and rank equal in right of payment with all of our existing and future senior unsecured indebtedness. The 2026 Notes are effectively subordinated to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32" w:right="70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305"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In April 2021, we formed PennantPark-TSO Senior Loan Fund LP, ("PTSF") ,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September 30, 2021, our capital commitment of $15.3 million is fully funded and we hold 23.08% of the total outstanding Class A Units of PTSF and a 4.99% voting interest in the general partner which manages PTSF.</w:t>
      </w:r>
    </w:p>
    <w:p>
      <w:pPr>
        <w:spacing w:after="0" w:line="127"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3"/>
          <w:szCs w:val="13"/>
          <w:color w:val="auto"/>
        </w:rPr>
        <w:t>On February 4, 2022, we formed PFLT Investment Holdings II, LLC, a Delaware limited liability company ("Holdings II"), as a wholly owned subsidiary. On December 31, 2022, we contributed 100% of our interests in PFLT Investment Holdings, LLC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3"/>
          <w:szCs w:val="13"/>
          <w:color w:val="auto"/>
        </w:rPr>
        <w:t>In July 2024, the Company established a $500.0 million ATM Program and terminated the existing $250.0 million ATM Program, each an at the market offering program, or "ATM Program", and together "ATM Programs".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During the years ended September 30, 2024, and 2023 we issued 18,845,194 and 9,089,064 shares of our Common Stock, respectively, under ATM Programs at a weighted-average price of</w:t>
      </w:r>
    </w:p>
    <w:p>
      <w:pPr>
        <w:spacing w:after="0" w:line="2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3"/>
          <w:szCs w:val="13"/>
          <w:color w:val="auto"/>
        </w:rPr>
        <w:t>$11.35 and $11.03 per share, respectively, raising $213.3 million and $100.2 million of net proceeds after commissions to the sales agents and inclusive of proceeds from the Investment Adviser to ensure that all shares were sold at or above NAV. We incurred $0.8 million and $0.5 million, respectively, of legal and other offering costs associated with establishing the ATM Programs. As of September 30, 2024, and 2023, we had $437.3 million and $154.1 million available under the respective ATM Programs.</w:t>
      </w:r>
    </w:p>
    <w:p>
      <w:pPr>
        <w:spacing w:after="0" w:line="130"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Since inception of the ATM Programs through September 30, 2024, we issued 27,848,081 shares of our Common Stock under the ATM Programs at a weighted -average price of $11.22, raising $312.5 million of net proceeds after commissions to the sales agents and inclusive of proceeds from the Investment Adviser to ensure that all shares were sold at or above NAV. We incurred $1.2 million of legal and other offering costs associated with establishing the ATM Programs.</w:t>
      </w:r>
    </w:p>
    <w:p>
      <w:pPr>
        <w:spacing w:after="0" w:line="123" w:lineRule="exact"/>
        <w:rPr>
          <w:sz w:val="20"/>
          <w:szCs w:val="20"/>
          <w:color w:val="auto"/>
        </w:rPr>
      </w:pPr>
    </w:p>
    <w:p>
      <w:pPr>
        <w:ind w:right="380" w:firstLine="432"/>
        <w:spacing w:after="0" w:line="286"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29"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96"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 X, as appropriate. In accordance with Article 6-09 of Regulation S-X, we have provided a Consolidated Statement of Changes in Net Assets in lieu of a Consolidated Statement of Changes in Stockholders’ Equity.</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 Investment Valuations</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69" w:lineRule="exact"/>
        <w:rPr>
          <w:sz w:val="20"/>
          <w:szCs w:val="20"/>
          <w:color w:val="auto"/>
        </w:rPr>
      </w:pPr>
    </w:p>
    <w:p>
      <w:pPr>
        <w:ind w:left="540" w:right="48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76"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 Security Transactions, Revenue Recognition, and Realized/Unrealized Gains or Losses</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91" w:lineRule="exact"/>
        <w:rPr>
          <w:sz w:val="20"/>
          <w:szCs w:val="20"/>
          <w:color w:val="auto"/>
        </w:rPr>
      </w:pPr>
    </w:p>
    <w:p>
      <w:pPr>
        <w:ind w:right="100" w:firstLine="420"/>
        <w:spacing w:after="0" w:line="255"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98"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2024, we had two portfolio companies on non-accrual, representing 0.4% and 0.2% of our overall portfolio on a cost and fair value basis, respectively. As of September 30, 2023, we had three portfolio companies on non-accrual, representing 0.9% and 0.2% percent of our overall portfolio on a cost and fair value basis, respectively.</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 Income Taxes</w:t>
      </w:r>
    </w:p>
    <w:p>
      <w:pPr>
        <w:spacing w:after="0" w:line="131"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any material federal income taxes. However, we may choose to retain a portion of our calendar year income, which may result in the imposition of a federal tax, or we may incur taxes through our taxable subsidiaries, including the Taxable Subsidiary. For the years ended September 30, 2024, 2023 ,and 2022, we recorded a provision for taxes on net investment income of $1.1 million, $1.0 million and $0.4 million, respectively, pertaining to federal excise tax.</w:t>
      </w:r>
    </w:p>
    <w:p>
      <w:pPr>
        <w:spacing w:after="0" w:line="96"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2"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is subject to U.S. federal, state and local corporate income taxes. The income tax expense and related tax liabilities of the Taxable Subsidiary are reflected in the Company’s consolidated financial statements.</w:t>
      </w:r>
    </w:p>
    <w:p>
      <w:pPr>
        <w:spacing w:after="0" w:line="112"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For the year ended September 30, 2024, the Company recognized a provision for taxes of $(0.1) million on unrealized appreciation on investments by the Taxable Subsidiary. For the year ended September 30, 2023, the Company recognized a provision for taxes of $(2.8) million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September 30, 2024 and 2023, $1.7 million and $1.8 million, respectively, was accrued as a deferred tax liability on the Consolidated Statements of Assets and Liabilities relating to unrealized gain on investments held by the Taxable Subsidiary. As of September 30, 2024 and 2023, the Company recognized a provision for taxes on realized gain on investments held by the Taxable Subsidiary of $0.1 million and $0.3 million, respectively.</w:t>
      </w:r>
    </w:p>
    <w:p>
      <w:pPr>
        <w:spacing w:after="0" w:line="96"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During the year ended September 30, 2024, 2023 and 2022 the Company paid zero, zero, and $1.2 million, respectively, in federal taxes on realized gains on the sale of investments held by the Taxable Subsidiary. The state and local tax liability of zero as of September 30, 2024 is included under accrued other expenses in the consolidated statement of assets and liabilities.</w:t>
      </w:r>
    </w:p>
    <w:p>
      <w:pPr>
        <w:spacing w:after="0" w:line="76"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69"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Code.Because U.S.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of assets and liabilities to reflect their tax character. Temporary differences arise when certain items of income, expense, gain or loss are recognized at some time in the future.</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 Distributions and Capital Transactions</w:t>
      </w:r>
    </w:p>
    <w:p>
      <w:pPr>
        <w:spacing w:after="0" w:line="13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Capital transactions through offerings of our common stock, are recorded when issued and offering costs are charged as a reduction of capital upon issuance of our common stock.</w:t>
      </w:r>
    </w:p>
    <w:p>
      <w:pPr>
        <w:spacing w:after="0" w:line="123" w:lineRule="exact"/>
        <w:rPr>
          <w:sz w:val="20"/>
          <w:szCs w:val="20"/>
          <w:color w:val="auto"/>
        </w:rPr>
      </w:pPr>
    </w:p>
    <w:p>
      <w:pPr>
        <w:ind w:left="420" w:hanging="186"/>
        <w:spacing w:after="0"/>
        <w:tabs>
          <w:tab w:leader="none" w:pos="420" w:val="left"/>
        </w:tabs>
        <w:numPr>
          <w:ilvl w:val="0"/>
          <w:numId w:val="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30" w:lineRule="exact"/>
        <w:rPr>
          <w:rFonts w:ascii="Times New Roman" w:cs="Times New Roman" w:eastAsia="Times New Roman" w:hAnsi="Times New Roman"/>
          <w:sz w:val="13"/>
          <w:szCs w:val="13"/>
          <w:b w:val="1"/>
          <w:bCs w:val="1"/>
          <w:i w:val="1"/>
          <w:iCs w:val="1"/>
          <w:color w:val="auto"/>
        </w:rPr>
      </w:pPr>
    </w:p>
    <w:p>
      <w:pPr>
        <w:jc w:val="right"/>
        <w:ind w:left="540" w:right="2780" w:hanging="108"/>
        <w:spacing w:after="0" w:line="443"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 1.Fair value of investment securities, other assets and liabilities – at the exchange rates prevailing at the end of the applicable period; and</w:t>
      </w:r>
    </w:p>
    <w:p>
      <w:pPr>
        <w:ind w:left="54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27"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87"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3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946-810- 45-3,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or PTSF. See further description of our investment in PSSL in Note 4.</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 Asset Transfers and Servicing</w:t>
      </w:r>
    </w:p>
    <w:p>
      <w:pPr>
        <w:spacing w:after="0" w:line="131" w:lineRule="exact"/>
        <w:rPr>
          <w:sz w:val="20"/>
          <w:szCs w:val="20"/>
          <w:color w:val="auto"/>
        </w:rPr>
      </w:pPr>
    </w:p>
    <w:p>
      <w:pPr>
        <w:jc w:val="both"/>
        <w:ind w:firstLine="420"/>
        <w:spacing w:after="0" w:line="268"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its assets and such assets are not intended to be available to the creditors of PennantPark Floating Rate Capital Ltd. or any of its affiliates.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 Recent Accounting Pronouncements</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FASB approved an (optional) two year extension to December 31, 2024, for transitioning away from LIBOR. The Company adopted ASU 2020-04, the effect of which was not material to the consolidated financial statements and the notes thereto.</w:t>
      </w:r>
    </w:p>
    <w:p>
      <w:pPr>
        <w:spacing w:after="0" w:line="94"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130"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2" w:lineRule="exact"/>
        <w:rPr>
          <w:sz w:val="20"/>
          <w:szCs w:val="20"/>
          <w:color w:val="auto"/>
        </w:rPr>
      </w:pPr>
    </w:p>
    <w:p>
      <w:pPr>
        <w:ind w:right="180" w:firstLine="420"/>
        <w:spacing w:after="0" w:line="259"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issued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9" w:lineRule="exact"/>
        <w:rPr>
          <w:sz w:val="20"/>
          <w:szCs w:val="20"/>
          <w:color w:val="auto"/>
        </w:rPr>
      </w:pPr>
    </w:p>
    <w:p>
      <w:pPr>
        <w:jc w:val="both"/>
        <w:ind w:right="420"/>
        <w:spacing w:after="0" w:line="286" w:lineRule="auto"/>
        <w:rPr>
          <w:sz w:val="20"/>
          <w:szCs w:val="20"/>
          <w:color w:val="auto"/>
        </w:rPr>
      </w:pPr>
      <w:r>
        <w:rPr>
          <w:rFonts w:ascii="Times New Roman" w:cs="Times New Roman" w:eastAsia="Times New Roman" w:hAnsi="Times New Roman"/>
          <w:sz w:val="13"/>
          <w:szCs w:val="13"/>
          <w:color w:val="auto"/>
        </w:rPr>
        <w:t>after December 15, 2023, and interim periods for our fiscal years beginning December 15, 2024, and should be applied on a retrospective basis to all periods presented, noting early adoption is permitted. The Company is currently evaluating the impact of this standard on its consolidated financial statements and related disclosures.</w:t>
      </w:r>
    </w:p>
    <w:p>
      <w:pPr>
        <w:spacing w:after="0" w:line="112" w:lineRule="exact"/>
        <w:rPr>
          <w:sz w:val="20"/>
          <w:szCs w:val="20"/>
          <w:color w:val="auto"/>
        </w:rPr>
      </w:pPr>
    </w:p>
    <w:p>
      <w:pPr>
        <w:jc w:val="both"/>
        <w:ind w:right="40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AGREEMENTS AND RELATED PARTY TRANSACTIONS</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(a)  Investment Management Agreement</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May 2024.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2024, 2023, and 2022, the Company recorded a base management fee expense of $14.9 million, $11.4 million, and $11.9 million, respectively.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27" w:lineRule="exact"/>
        <w:rPr>
          <w:sz w:val="20"/>
          <w:szCs w:val="20"/>
          <w:color w:val="auto"/>
        </w:rPr>
      </w:pPr>
    </w:p>
    <w:p>
      <w:pPr>
        <w:ind w:firstLine="420"/>
        <w:spacing w:after="0" w:line="252"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50% of our Pre- Incentive Fee Net Investment Income with respect to that portion of such Pre-Incentive Fee Net Investment Income, if any, that exceeds the hurdle rate but is less than 2.9167% in any calendar quarter (11.67% annualized) (we refer to this portion of our Pre -Incentive Fee Net Investment Income (which exceeds the hurdle but is less than 2.9167%) as the “catch-up,” which is meant to provide our Investment Adviser with 20% of our Pre-Incentive Fee Net Investment Income, as if a hurdle did not apply, if this net investment income exceeds</w:t>
      </w:r>
    </w:p>
    <w:p>
      <w:pPr>
        <w:spacing w:after="0" w:line="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3"/>
          <w:szCs w:val="13"/>
          <w:color w:val="auto"/>
        </w:rPr>
        <w:t>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2024, 2023, and 2022, the Company recorded incentive fees on net investment income of earned $18.1 million, $16.9 million, and $11.6 million, respectively.</w:t>
      </w:r>
    </w:p>
    <w:p>
      <w:pPr>
        <w:spacing w:after="0" w:line="94" w:lineRule="exact"/>
        <w:rPr>
          <w:sz w:val="20"/>
          <w:szCs w:val="20"/>
          <w:color w:val="auto"/>
        </w:rPr>
      </w:pPr>
    </w:p>
    <w:p>
      <w:pPr>
        <w:ind w:right="360" w:firstLine="420"/>
        <w:spacing w:after="0" w:line="262"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2024, 2023, and 2022, the Company did not record an incentive fee on capital gains as calculated under the Investment Management Agreement (as described above).</w:t>
      </w:r>
    </w:p>
    <w:p>
      <w:pPr>
        <w:spacing w:after="0" w:line="91"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years ended September 30, 2024, 2023, and 2022 was zero, respectively.</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2" w:right="70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3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the directors who are not interested persons of us, in May 2024.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w:t>
      </w:r>
    </w:p>
    <w:p>
      <w:pPr>
        <w:spacing w:after="0" w:line="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portion of the costs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2024, 2023, and 2022, we recorded administrative expenses of $2.2 million, $1.0 million, and $0.6 million, respectively, which are included in administrative services expenses on the consolidated statements of operations.</w:t>
      </w:r>
    </w:p>
    <w:p>
      <w:pPr>
        <w:spacing w:after="0" w:line="125"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31"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The Company, the Investment Adviser and certain other affiliates have been granted an order for exemptive relief by the SEC for the Company to co- invest with other funds managed by the Investment Adviser. If we co-invest with other affiliated funds, our Investment Adviser would not receive compensation except to the extent permitted by the exemptive order and applicable law, including the limitations set forth in Section 57(k) of the 1940 Act.</w:t>
      </w:r>
    </w:p>
    <w:p>
      <w:pPr>
        <w:spacing w:after="0" w:line="87"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During the years ended September 30, 2024, 2023, and 2022, the Company made no purchases from and sold no investments to an affiliated fund managed by our Investment Adviser in accordance with, and pursuant to procedures adopted under, Rule 17a-7 of the 1940 Act. Net realized losses on those sales for the same periods amounted to zero, zero, and zero, respectively.</w:t>
      </w:r>
    </w:p>
    <w:p>
      <w:pPr>
        <w:spacing w:after="0" w:line="76"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2024, 2023, and 2022, we sold $253.6 million, $158.2 million, and $275.6 million of investments, respectively, in investments to PSSL at fair value and recognized less than $0.1 million, $(0.2) million, and $0.8 million of net realized gains (loss) for the same periods, respectively.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years ended September 30, 2024 and 2023, we sold no investments to PTSF.</w:t>
      </w:r>
    </w:p>
    <w:p>
      <w:pPr>
        <w:spacing w:after="0" w:line="127"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and 2023, PFLT had payable to PSSL and PTSF of zero and $0.6 million, respectively, presented as a Due to Affiliates on the consolidated statement of assets and liabilities. These amounts are related to cash owed to PSSL and PTSF from PFLT in connection with trades between the funds.</w:t>
      </w:r>
    </w:p>
    <w:p>
      <w:pPr>
        <w:spacing w:after="0" w:line="7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and 2023, PFLT had a receivable from the Administrator of $0.3 million and zero, respectively, presented as Due from affiliate on the consolidated statements of assets and liabilities. This amount relates to agency fees collected on behalf of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29"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Purchases of investments, including PIK interest, for the years ended September 30, 2024, 2023, and 2022 totaled $1,411.2 million, $325.8 million, and $609.2 million, respectively. Sales and repayments of investments for the same years totaled $514.1 million, $399.1 million, and $495.2 million, respectively.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70"/>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Classification</w:t>
            </w:r>
          </w:p>
        </w:tc>
        <w:tc>
          <w:tcPr>
            <w:tcW w:w="320" w:type="dxa"/>
            <w:vAlign w:val="bottom"/>
          </w:tcPr>
          <w:p>
            <w:pPr>
              <w:spacing w:after="0"/>
              <w:rPr>
                <w:sz w:val="14"/>
                <w:szCs w:val="14"/>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2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1,521,496</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1,509,048</w:t>
            </w: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708,452</w:t>
            </w:r>
          </w:p>
        </w:tc>
        <w:tc>
          <w:tcPr>
            <w:tcW w:w="4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696,078</w:t>
            </w:r>
          </w:p>
        </w:tc>
        <w:tc>
          <w:tcPr>
            <w:tcW w:w="80" w:type="dxa"/>
            <w:vAlign w:val="bottom"/>
            <w:shd w:val="clear" w:color="auto" w:fill="CCECFF"/>
          </w:tcPr>
          <w:p>
            <w:pPr>
              <w:spacing w:after="0"/>
              <w:rPr>
                <w:sz w:val="13"/>
                <w:szCs w:val="13"/>
                <w:color w:val="auto"/>
              </w:rPr>
            </w:pPr>
          </w:p>
        </w:tc>
      </w:tr>
      <w:tr>
        <w:trPr>
          <w:trHeight w:val="15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 in PSSL</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210,088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210,088</w:t>
            </w:r>
          </w:p>
        </w:tc>
        <w:tc>
          <w:tcPr>
            <w:tcW w:w="80" w:type="dxa"/>
            <w:vAlign w:val="bottom"/>
          </w:tcPr>
          <w:p>
            <w:pPr>
              <w:spacing w:after="0"/>
              <w:rPr>
                <w:sz w:val="13"/>
                <w:szCs w:val="13"/>
                <w:color w:val="auto"/>
              </w:rPr>
            </w:pPr>
          </w:p>
        </w:tc>
      </w:tr>
      <w:tr>
        <w:trPr>
          <w:trHeight w:val="15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shd w:val="clear" w:color="auto" w:fill="CCECFF"/>
          </w:tcPr>
          <w:p>
            <w:pPr>
              <w:spacing w:after="0"/>
              <w:rPr>
                <w:sz w:val="13"/>
                <w:szCs w:val="13"/>
                <w:color w:val="auto"/>
              </w:rPr>
            </w:pPr>
          </w:p>
        </w:tc>
      </w:tr>
      <w:tr>
        <w:trPr>
          <w:trHeight w:val="15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131,312</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177,635</w:t>
            </w:r>
          </w:p>
        </w:tc>
        <w:tc>
          <w:tcPr>
            <w:tcW w:w="24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83,188</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109,978</w:t>
            </w:r>
          </w:p>
        </w:tc>
        <w:tc>
          <w:tcPr>
            <w:tcW w:w="80" w:type="dxa"/>
            <w:vAlign w:val="bottom"/>
            <w:shd w:val="clear" w:color="auto" w:fill="CCECFF"/>
          </w:tcPr>
          <w:p>
            <w:pPr>
              <w:spacing w:after="0"/>
              <w:rPr>
                <w:sz w:val="13"/>
                <w:szCs w:val="13"/>
                <w:color w:val="auto"/>
              </w:rPr>
            </w:pPr>
          </w:p>
        </w:tc>
      </w:tr>
      <w:tr>
        <w:trPr>
          <w:trHeight w:val="15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interests in PSSL</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101,850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56,478</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90,038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50,881</w:t>
            </w:r>
          </w:p>
        </w:tc>
        <w:tc>
          <w:tcPr>
            <w:tcW w:w="80" w:type="dxa"/>
            <w:vAlign w:val="bottom"/>
          </w:tcPr>
          <w:p>
            <w:pPr>
              <w:spacing w:after="0"/>
              <w:rPr>
                <w:sz w:val="13"/>
                <w:szCs w:val="13"/>
                <w:color w:val="auto"/>
              </w:rPr>
            </w:pPr>
          </w:p>
        </w:tc>
      </w:tr>
      <w:tr>
        <w:trPr>
          <w:trHeight w:val="15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1,994,940</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1,983,504</w:t>
            </w:r>
          </w:p>
        </w:tc>
        <w:tc>
          <w:tcPr>
            <w:tcW w:w="24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1,092,878</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1,067,174</w:t>
            </w:r>
          </w:p>
        </w:tc>
        <w:tc>
          <w:tcPr>
            <w:tcW w:w="80" w:type="dxa"/>
            <w:vAlign w:val="bottom"/>
            <w:shd w:val="clear" w:color="auto" w:fill="CCECFF"/>
          </w:tcPr>
          <w:p>
            <w:pPr>
              <w:spacing w:after="0"/>
              <w:rPr>
                <w:sz w:val="13"/>
                <w:szCs w:val="13"/>
                <w:color w:val="auto"/>
              </w:rPr>
            </w:pPr>
          </w:p>
        </w:tc>
      </w:tr>
      <w:tr>
        <w:trPr>
          <w:trHeight w:val="15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80" w:type="dxa"/>
            <w:vAlign w:val="bottom"/>
          </w:tcPr>
          <w:p>
            <w:pPr>
              <w:spacing w:after="0"/>
              <w:rPr>
                <w:sz w:val="13"/>
                <w:szCs w:val="13"/>
                <w:color w:val="auto"/>
              </w:rPr>
            </w:pPr>
          </w:p>
        </w:tc>
      </w:tr>
      <w:tr>
        <w:trPr>
          <w:trHeight w:val="19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2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2,106,986</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2,095,554</w:t>
            </w: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1,193,433</w:t>
            </w:r>
          </w:p>
        </w:tc>
        <w:tc>
          <w:tcPr>
            <w:tcW w:w="4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1,167,729</w:t>
            </w:r>
          </w:p>
        </w:tc>
        <w:tc>
          <w:tcPr>
            <w:tcW w:w="80" w:type="dxa"/>
            <w:vAlign w:val="bottom"/>
            <w:shd w:val="clear" w:color="auto" w:fill="CCECFF"/>
          </w:tcPr>
          <w:p>
            <w:pPr>
              <w:spacing w:after="0"/>
              <w:rPr>
                <w:sz w:val="17"/>
                <w:szCs w:val="17"/>
                <w:color w:val="auto"/>
              </w:rPr>
            </w:pPr>
          </w:p>
        </w:tc>
      </w:tr>
      <w:tr>
        <w:trPr>
          <w:trHeight w:val="412"/>
        </w:trPr>
        <w:tc>
          <w:tcPr>
            <w:tcW w:w="4280" w:type="dxa"/>
            <w:vAlign w:val="bottom"/>
            <w:tcBorders>
              <w:top w:val="single" w:sz="8" w:color="CCEC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89</w:t>
            </w:r>
          </w:p>
        </w:tc>
        <w:tc>
          <w:tcPr>
            <w:tcW w:w="240" w:type="dxa"/>
            <w:vAlign w:val="bottom"/>
            <w:tcBorders>
              <w:top w:val="single" w:sz="8" w:color="CCEC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C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r>
      <w:tr>
        <w:trPr>
          <w:trHeight w:val="680"/>
        </w:trPr>
        <w:tc>
          <w:tcPr>
            <w:tcW w:w="42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9" w:lineRule="exact"/>
        <w:rPr>
          <w:sz w:val="20"/>
          <w:szCs w:val="20"/>
          <w:color w:val="auto"/>
        </w:rPr>
      </w:pPr>
    </w:p>
    <w:p>
      <w:pPr>
        <w:ind w:right="480" w:firstLine="420"/>
        <w:spacing w:after="0" w:line="286" w:lineRule="auto"/>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and cash equivalents) in such industries: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 xml:space="preserve">September 30, 2024 </w:t>
            </w:r>
            <w:r>
              <w:rPr>
                <w:rFonts w:ascii="Times New Roman" w:cs="Times New Roman" w:eastAsia="Times New Roman" w:hAnsi="Times New Roman"/>
                <w:sz w:val="16"/>
                <w:szCs w:val="16"/>
                <w:b w:val="1"/>
                <w:bCs w:val="1"/>
                <w:color w:val="auto"/>
                <w:vertAlign w:val="superscript"/>
              </w:rPr>
              <w:t>(1)</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 xml:space="preserve">September 30, 2023 </w:t>
            </w:r>
            <w:r>
              <w:rPr>
                <w:rFonts w:ascii="Times New Roman" w:cs="Times New Roman" w:eastAsia="Times New Roman" w:hAnsi="Times New Roman"/>
                <w:sz w:val="16"/>
                <w:szCs w:val="16"/>
                <w:b w:val="1"/>
                <w:bCs w:val="1"/>
                <w:color w:val="auto"/>
                <w:vertAlign w:val="superscript"/>
              </w:rPr>
              <w:t>(1)</w:t>
            </w: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Professional Services</w:t>
            </w:r>
          </w:p>
        </w:tc>
        <w:tc>
          <w:tcPr>
            <w:tcW w:w="17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8 %</w:t>
            </w:r>
          </w:p>
        </w:tc>
        <w:tc>
          <w:tcPr>
            <w:tcW w:w="16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Personal Products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Diversified Consumer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Technology</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Leisure Products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Distributors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Electronic Equipment, Instruments, and Components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Media: Diversified and Production</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Auto Components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Construction and Building</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Diversified Financial Services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Marketing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Equipment and Supplies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 Products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Hotels, Restaurants and Leisure</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Automobiles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Food Products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Metals and Mining</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Financial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Specialty Retail</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3"/>
                <w:szCs w:val="13"/>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CECFF"/>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 Other</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722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740" w:type="dxa"/>
            <w:vAlign w:val="bottom"/>
            <w:gridSpan w:val="2"/>
            <w:shd w:val="clear" w:color="auto" w:fill="CCECFF"/>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 xml:space="preserve">100 </w:t>
            </w:r>
            <w:r>
              <w:rPr>
                <w:rFonts w:ascii="Times New Roman" w:cs="Times New Roman" w:eastAsia="Times New Roman" w:hAnsi="Times New Roman"/>
                <w:sz w:val="15"/>
                <w:szCs w:val="15"/>
                <w:color w:val="auto"/>
                <w:vertAlign w:val="subscript"/>
              </w:rPr>
              <w:t>%</w:t>
            </w:r>
          </w:p>
        </w:tc>
        <w:tc>
          <w:tcPr>
            <w:tcW w:w="1600" w:type="dxa"/>
            <w:vAlign w:val="bottom"/>
            <w:gridSpan w:val="2"/>
            <w:shd w:val="clear" w:color="auto" w:fill="CCECFF"/>
          </w:tcPr>
          <w:p>
            <w:pPr>
              <w:jc w:val="right"/>
              <w:spacing w:after="0" w:line="136" w:lineRule="exact"/>
              <w:rPr>
                <w:sz w:val="20"/>
                <w:szCs w:val="20"/>
                <w:color w:val="auto"/>
              </w:rPr>
            </w:pPr>
            <w:r>
              <w:rPr>
                <w:rFonts w:ascii="Times New Roman" w:cs="Times New Roman" w:eastAsia="Times New Roman" w:hAnsi="Times New Roman"/>
                <w:sz w:val="9"/>
                <w:szCs w:val="9"/>
                <w:color w:val="auto"/>
              </w:rPr>
              <w:t xml:space="preserve">100 </w:t>
            </w:r>
            <w:r>
              <w:rPr>
                <w:rFonts w:ascii="Times New Roman" w:cs="Times New Roman" w:eastAsia="Times New Roman" w:hAnsi="Times New Roman"/>
                <w:sz w:val="15"/>
                <w:szCs w:val="15"/>
                <w:color w:val="auto"/>
                <w:vertAlign w:val="subscript"/>
              </w:rPr>
              <w:t>%</w:t>
            </w:r>
          </w:p>
        </w:tc>
        <w:tc>
          <w:tcPr>
            <w:tcW w:w="40" w:type="dxa"/>
            <w:vAlign w:val="bottom"/>
          </w:tcPr>
          <w:p>
            <w:pPr>
              <w:spacing w:after="0"/>
              <w:rPr>
                <w:sz w:val="15"/>
                <w:szCs w:val="15"/>
                <w:color w:val="auto"/>
              </w:rPr>
            </w:pPr>
          </w:p>
        </w:tc>
      </w:tr>
      <w:tr>
        <w:trPr>
          <w:trHeight w:val="20"/>
        </w:trPr>
        <w:tc>
          <w:tcPr>
            <w:tcW w:w="7220" w:type="dxa"/>
            <w:vAlign w:val="bottom"/>
            <w:tcBorders>
              <w:top w:val="single" w:sz="8" w:color="CCECFF"/>
            </w:tcBorders>
            <w:shd w:val="clear" w:color="auto" w:fill="CCEC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Excludes investments in PSSL.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65"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September 30, 2024 and 2023, PSSL had total assets of $988.1 million and $869.4 million, respectively, and its investment portfolio consisted of investments in 109 and 105 portfolio companies, respectively. As of September 30, 2024, at fair value, the largest investment in a single portfolio company in PSSL was $21.3 million and the five largest investments totaled $97.3 million. As of September 30, 2023, at fair value, the largest investment in a single portfolio company in PSSL was $18.5 million and the five largest investments totaled $83.4 million. PSSL invests in portfolio companies in the same industries in which we may directly invest.</w:t>
      </w:r>
    </w:p>
    <w:p>
      <w:pPr>
        <w:spacing w:after="0" w:line="130" w:lineRule="exact"/>
        <w:rPr>
          <w:sz w:val="20"/>
          <w:szCs w:val="20"/>
          <w:color w:val="auto"/>
        </w:rPr>
      </w:pPr>
    </w:p>
    <w:p>
      <w:pPr>
        <w:jc w:val="both"/>
        <w:ind w:right="40" w:firstLine="420"/>
        <w:spacing w:after="0" w:line="268" w:lineRule="auto"/>
        <w:rPr>
          <w:sz w:val="20"/>
          <w:szCs w:val="20"/>
          <w:color w:val="auto"/>
        </w:rPr>
      </w:pPr>
      <w:r>
        <w:rPr>
          <w:rFonts w:ascii="Times New Roman" w:cs="Times New Roman" w:eastAsia="Times New Roman" w:hAnsi="Times New Roman"/>
          <w:sz w:val="13"/>
          <w:szCs w:val="13"/>
          <w:color w:val="auto"/>
        </w:rPr>
        <w:t>We and Kemper provide capital to PSSL in the form of first lien secured debt and equity interests. As of September 30, 2024 and 2023, we and Kemper owned 87.5% and 12.5%, respectively, of each of the outstanding first lien secured debt and equity interests. As of the same dates, our investment in PSSL consisted of first lien secured debt of $237.7 million (zero remaining unfunded) and $210.1 million (additional $27.6 million unfunded), respectively, and equity interests of $101.9 million (zero remaining unfunded) and $90.0 million (additional $11.8 million unfunded), respectively.</w:t>
      </w:r>
    </w:p>
    <w:p>
      <w:pPr>
        <w:spacing w:after="0" w:line="123" w:lineRule="exact"/>
        <w:rPr>
          <w:sz w:val="20"/>
          <w:szCs w:val="20"/>
          <w:color w:val="auto"/>
        </w:rPr>
      </w:pPr>
    </w:p>
    <w:p>
      <w:pPr>
        <w:ind w:right="40" w:firstLine="420"/>
        <w:spacing w:after="0" w:line="258" w:lineRule="auto"/>
        <w:rPr>
          <w:sz w:val="20"/>
          <w:szCs w:val="20"/>
          <w:color w:val="auto"/>
        </w:rPr>
      </w:pPr>
      <w:r>
        <w:rPr>
          <w:rFonts w:ascii="Times New Roman" w:cs="Times New Roman" w:eastAsia="Times New Roman" w:hAnsi="Times New Roman"/>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89"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In August 2023 PSSL entered into a $260.0 million (decreased from $325.0 million) senior secured revolving credit facility which bears interest at SOFR plus 260 basis points (including a spread adjustment) with Ally Bank through its wholly-owned subsidiary, PennantPark Senior Secured Loan Facility LLC II, or PSSL Subsidiary II, subject to leverage and borrowing base restrictions. On January 2024, the maturity was extended to 2029 and the interest change to SOFR plus 280 basis points.</w:t>
      </w:r>
    </w:p>
    <w:p>
      <w:pPr>
        <w:spacing w:after="0" w:line="123"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3"/>
          <w:szCs w:val="13"/>
          <w:color w:val="auto"/>
        </w:rPr>
        <w:t>owned subsidiaries and us, PennantPark CLO II, Ltd. transferred to PSSL 100% of the Preferred Shares of PennantPark CLO II, Ltd. and 100% of the Class E Notes issued by PennantPark CLO II, Ltd.</w:t>
      </w:r>
    </w:p>
    <w:p>
      <w:pPr>
        <w:spacing w:after="0" w:line="112"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3"/>
          <w:szCs w:val="13"/>
          <w:color w:val="auto"/>
        </w:rPr>
        <w:t>In May 2024, PSSL completed the refinancing of the 2032 Asset -Backed Debt through a $300.7 million debt securitization in the form of a collateralized loan obligation, or the "2036 PSSL Asset-Backed Debt". The 2036 PSSL Asset-Backed Debt is secured by a diversified portfolio of PennantPark CLO II, Ltd., a wholly-owned subsidiary of PSSL, consisting primarily of middle market loans and participation interest in middle market loans. The 2036 PSSL Asset-Backed Debt is scheduled to mature in April 2036. PSSL retained the preferred shares and Class E-R Notes through a consolidated subsidiary.</w:t>
      </w:r>
    </w:p>
    <w:p>
      <w:pPr>
        <w:spacing w:after="0" w:line="12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April 2023, PSSL completed a $297.8 million debt securitization in the form of a collateralized loan obligation, or the “2035 Asset- Backed Debt”. The 2035 Asset -Backed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PSSL’s portfolio at fair value ($ in thousands):</w:t>
            </w:r>
          </w:p>
        </w:tc>
        <w:tc>
          <w:tcPr>
            <w:tcW w:w="2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2"/>
        </w:trPr>
        <w:tc>
          <w:tcPr>
            <w:tcW w:w="4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0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913,281</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785,859</w:t>
            </w:r>
          </w:p>
        </w:tc>
        <w:tc>
          <w:tcPr>
            <w:tcW w:w="4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7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2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40" w:type="dxa"/>
            <w:vAlign w:val="bottom"/>
          </w:tcPr>
          <w:p>
            <w:pPr>
              <w:spacing w:after="0"/>
              <w:rPr>
                <w:sz w:val="13"/>
                <w:szCs w:val="13"/>
                <w:color w:val="auto"/>
              </w:rPr>
            </w:pP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2720" w:type="dxa"/>
            <w:vAlign w:val="bottom"/>
            <w:shd w:val="clear" w:color="auto" w:fill="CCECFF"/>
          </w:tcPr>
          <w:p>
            <w:pPr>
              <w:spacing w:after="0"/>
              <w:rPr>
                <w:sz w:val="13"/>
                <w:szCs w:val="13"/>
                <w:color w:val="auto"/>
              </w:rPr>
            </w:pP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109</w:t>
            </w:r>
          </w:p>
        </w:tc>
        <w:tc>
          <w:tcPr>
            <w:tcW w:w="200" w:type="dxa"/>
            <w:vAlign w:val="bottom"/>
            <w:shd w:val="clear" w:color="auto" w:fill="CCECFF"/>
          </w:tcPr>
          <w:p>
            <w:pPr>
              <w:spacing w:after="0"/>
              <w:rPr>
                <w:sz w:val="13"/>
                <w:szCs w:val="13"/>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105</w:t>
            </w:r>
          </w:p>
        </w:tc>
        <w:tc>
          <w:tcPr>
            <w:tcW w:w="4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21,274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18,463</w:t>
            </w:r>
          </w:p>
        </w:tc>
        <w:tc>
          <w:tcPr>
            <w:tcW w:w="40" w:type="dxa"/>
            <w:vAlign w:val="bottom"/>
          </w:tcPr>
          <w:p>
            <w:pPr>
              <w:spacing w:after="0"/>
              <w:rPr>
                <w:sz w:val="13"/>
                <w:szCs w:val="13"/>
                <w:color w:val="auto"/>
              </w:rPr>
            </w:pP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2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97,292</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83,365</w:t>
            </w:r>
          </w:p>
        </w:tc>
        <w:tc>
          <w:tcPr>
            <w:tcW w:w="40" w:type="dxa"/>
            <w:vAlign w:val="bottom"/>
          </w:tcPr>
          <w:p>
            <w:pPr>
              <w:spacing w:after="0"/>
              <w:rPr>
                <w:sz w:val="13"/>
                <w:szCs w:val="13"/>
                <w:color w:val="auto"/>
              </w:rPr>
            </w:pPr>
          </w:p>
        </w:tc>
      </w:tr>
      <w:tr>
        <w:trPr>
          <w:trHeight w:val="436"/>
        </w:trPr>
        <w:tc>
          <w:tcPr>
            <w:tcW w:w="4680" w:type="dxa"/>
            <w:vAlign w:val="bottom"/>
          </w:tcPr>
          <w:p>
            <w:pPr>
              <w:spacing w:after="0"/>
              <w:rPr>
                <w:sz w:val="24"/>
                <w:szCs w:val="24"/>
                <w:color w:val="auto"/>
              </w:rPr>
            </w:pPr>
          </w:p>
        </w:tc>
        <w:tc>
          <w:tcPr>
            <w:tcW w:w="2720" w:type="dxa"/>
            <w:vAlign w:val="bottom"/>
          </w:tcPr>
          <w:p>
            <w:pPr>
              <w:jc w:val="right"/>
              <w:ind w:right="1974"/>
              <w:spacing w:after="0"/>
              <w:rPr>
                <w:sz w:val="20"/>
                <w:szCs w:val="20"/>
                <w:color w:val="auto"/>
              </w:rPr>
            </w:pPr>
            <w:r>
              <w:rPr>
                <w:rFonts w:ascii="Times New Roman" w:cs="Times New Roman" w:eastAsia="Times New Roman" w:hAnsi="Times New Roman"/>
                <w:sz w:val="13"/>
                <w:szCs w:val="13"/>
                <w:color w:val="auto"/>
              </w:rPr>
              <w:t>91</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0"/>
        </w:trPr>
        <w:tc>
          <w:tcPr>
            <w:tcW w:w="468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2024 (par and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960" w:type="dxa"/>
            <w:vAlign w:val="bottom"/>
          </w:tcPr>
          <w:p>
            <w:pPr>
              <w:jc w:val="center"/>
              <w:ind w:left="13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240" w:type="dxa"/>
            <w:vAlign w:val="bottom"/>
          </w:tcPr>
          <w:p>
            <w:pPr>
              <w:spacing w:after="0"/>
              <w:rPr>
                <w:sz w:val="10"/>
                <w:szCs w:val="10"/>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68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0"/>
              </w:rPr>
              <w:t>Fair Value</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- 1,404.5%</w:t>
            </w:r>
          </w:p>
        </w:tc>
        <w:tc>
          <w:tcPr>
            <w:tcW w:w="700" w:type="dxa"/>
            <w:vAlign w:val="bottom"/>
            <w:shd w:val="clear" w:color="auto" w:fill="CCECFF"/>
          </w:tcPr>
          <w:p>
            <w:pPr>
              <w:spacing w:after="0"/>
              <w:rPr>
                <w:sz w:val="10"/>
                <w:szCs w:val="10"/>
                <w:color w:val="auto"/>
              </w:rPr>
            </w:pPr>
          </w:p>
        </w:tc>
        <w:tc>
          <w:tcPr>
            <w:tcW w:w="1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10.95%</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SOFR+610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2,903</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2,855</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2,903</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10.58%</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SOFR+525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9,925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9,771</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9,602</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10.83%</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SOFR+550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18,762</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18,434</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18,837</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11.28%</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SOFR+626</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8,708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8,658</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8,708</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rPr>
              <w:t>9.85%</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SOFR+525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15,880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15,665</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15,880</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11.30%</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SOFR+610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12,722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12,481</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12,213</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SOFR+590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4,717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4,613</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4,717</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10.50%</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SOFR+590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4,625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4,584</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4,625</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SOFR+590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11,155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11,058</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10,988</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11.56%</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SOFR+625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10,967</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11,059</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6/21/2029</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rPr>
              <w:t>9.85%</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SOFR+525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9,836</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9,825</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10.35%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SOFR+575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4,828</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2/28/2030</w:t>
            </w:r>
          </w:p>
        </w:tc>
        <w:tc>
          <w:tcPr>
            <w:tcW w:w="194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0"/>
                <w:szCs w:val="10"/>
                <w:color w:val="auto"/>
                <w:w w:val="97"/>
              </w:rPr>
              <w:t>11.18%</w:t>
            </w:r>
          </w:p>
        </w:tc>
        <w:tc>
          <w:tcPr>
            <w:tcW w:w="960" w:type="dxa"/>
            <w:vAlign w:val="bottom"/>
            <w:vMerge w:val="restart"/>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SOFR+625</w:t>
            </w: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15,423</w:t>
            </w:r>
          </w:p>
        </w:tc>
        <w:tc>
          <w:tcPr>
            <w:tcW w:w="240" w:type="dxa"/>
            <w:vAlign w:val="bottom"/>
          </w:tcPr>
          <w:p>
            <w:pPr>
              <w:spacing w:after="0"/>
              <w:rPr>
                <w:sz w:val="10"/>
                <w:szCs w:val="10"/>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15,167</w:t>
            </w:r>
          </w:p>
        </w:tc>
        <w:tc>
          <w:tcPr>
            <w:tcW w:w="180" w:type="dxa"/>
            <w:vAlign w:val="bottom"/>
          </w:tcPr>
          <w:p>
            <w:pPr>
              <w:spacing w:after="0"/>
              <w:rPr>
                <w:sz w:val="10"/>
                <w:szCs w:val="10"/>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15,423</w:t>
            </w:r>
          </w:p>
        </w:tc>
        <w:tc>
          <w:tcPr>
            <w:tcW w:w="0" w:type="dxa"/>
            <w:vAlign w:val="bottom"/>
          </w:tcPr>
          <w:p>
            <w:pPr>
              <w:spacing w:after="0"/>
              <w:rPr>
                <w:sz w:val="1"/>
                <w:szCs w:val="1"/>
                <w:color w:val="auto"/>
              </w:rPr>
            </w:pPr>
          </w:p>
        </w:tc>
      </w:tr>
      <w:tr>
        <w:trPr>
          <w:trHeight w:val="56"/>
        </w:trPr>
        <w:tc>
          <w:tcPr>
            <w:tcW w:w="3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11.70%</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SOFR+650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8,888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8,797</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Distributors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11.00%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SOFR+640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14,974</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14,779</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14,718</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10.60%</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SOFR+600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5,546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5,523</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5,435</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10.97%</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SOFR+611</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2,274</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2,274</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2,274</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Automotive</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10.20%</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SOFR+535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417</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416</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5/16/2025</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12.18%</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SOFR+698</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13,084</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13,059</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13,084</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2/7/2030</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10.60%</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SOFR+550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15,243</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15,025</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15,015</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Distributors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10.35%</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SOFR+575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9,539</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9,431</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9,539</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11.21%</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SOFR+619</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6,751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6,682</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6,649</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rPr>
              <w:t>8.96%</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SOFR+400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6,708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6,506</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6,540</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10.53%</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SOFR+561</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3,775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3,734</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3,775</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10.71%</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SOFR+586</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2,051</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rPr>
              <w:t>9.95%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SOFR+535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14,562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14,398</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14,562</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10.20%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SOFR+535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2,600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2,420</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2,509</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11.20%</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SOFR+635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13,805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13,788</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13,694</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7/15/2028</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10.38%</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SOFR+526</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1,264</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1,358</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10/15/2028</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10.88%</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SOFR+576</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8,439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8,439</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7,769</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rPr>
              <w:t>8.85%</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SOFR+400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4,963</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4,894</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4,973</w:t>
            </w:r>
          </w:p>
        </w:tc>
        <w:tc>
          <w:tcPr>
            <w:tcW w:w="0" w:type="dxa"/>
            <w:vAlign w:val="bottom"/>
          </w:tcPr>
          <w:p>
            <w:pPr>
              <w:spacing w:after="0"/>
              <w:rPr>
                <w:sz w:val="1"/>
                <w:szCs w:val="1"/>
                <w:color w:val="auto"/>
              </w:rPr>
            </w:pPr>
          </w:p>
        </w:tc>
      </w:tr>
      <w:tr>
        <w:trPr>
          <w:trHeight w:val="121"/>
        </w:trPr>
        <w:tc>
          <w:tcPr>
            <w:tcW w:w="31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700" w:type="dxa"/>
            <w:vAlign w:val="bottom"/>
            <w:shd w:val="clear" w:color="auto" w:fill="CCECFF"/>
          </w:tcPr>
          <w:p>
            <w:pPr>
              <w:spacing w:after="0"/>
              <w:rPr>
                <w:sz w:val="10"/>
                <w:szCs w:val="10"/>
                <w:color w:val="auto"/>
              </w:rPr>
            </w:pP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6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120" w:type="dxa"/>
            <w:vAlign w:val="bottom"/>
            <w:tcBorders>
              <w:bottom w:val="single" w:sz="8" w:color="CCECFF"/>
            </w:tcBorders>
            <w:vMerge w:val="continue"/>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jc w:val="center"/>
              <w:spacing w:after="0" w:line="100" w:lineRule="exact"/>
              <w:rPr>
                <w:sz w:val="20"/>
                <w:szCs w:val="20"/>
                <w:color w:val="auto"/>
              </w:rPr>
            </w:pPr>
            <w:r>
              <w:rPr>
                <w:rFonts w:ascii="Times New Roman" w:cs="Times New Roman" w:eastAsia="Times New Roman" w:hAnsi="Times New Roman"/>
                <w:sz w:val="10"/>
                <w:szCs w:val="10"/>
                <w:color w:val="auto"/>
                <w:w w:val="93"/>
              </w:rPr>
              <w:t>1/10/2029</w:t>
            </w:r>
          </w:p>
        </w:tc>
        <w:tc>
          <w:tcPr>
            <w:tcW w:w="1940" w:type="dxa"/>
            <w:vAlign w:val="bottom"/>
            <w:tcBorders>
              <w:bottom w:val="single" w:sz="8" w:color="CCECFF"/>
            </w:tcBorders>
            <w:shd w:val="clear" w:color="auto" w:fill="CCECFF"/>
          </w:tcPr>
          <w:p>
            <w:pPr>
              <w:jc w:val="center"/>
              <w:ind w:right="12"/>
              <w:spacing w:after="0" w:line="100" w:lineRule="exact"/>
              <w:rPr>
                <w:sz w:val="20"/>
                <w:szCs w:val="20"/>
                <w:color w:val="auto"/>
              </w:rPr>
            </w:pPr>
            <w:r>
              <w:rPr>
                <w:rFonts w:ascii="Times New Roman" w:cs="Times New Roman" w:eastAsia="Times New Roman" w:hAnsi="Times New Roman"/>
                <w:sz w:val="10"/>
                <w:szCs w:val="10"/>
                <w:color w:val="auto"/>
                <w:w w:val="94"/>
              </w:rPr>
              <w:t>Components</w:t>
            </w:r>
          </w:p>
        </w:tc>
        <w:tc>
          <w:tcPr>
            <w:tcW w:w="960" w:type="dxa"/>
            <w:vAlign w:val="bottom"/>
            <w:tcBorders>
              <w:bottom w:val="single" w:sz="8" w:color="CCECFF"/>
            </w:tcBorders>
            <w:shd w:val="clear" w:color="auto" w:fill="CCECFF"/>
          </w:tcPr>
          <w:p>
            <w:pPr>
              <w:jc w:val="center"/>
              <w:ind w:right="52"/>
              <w:spacing w:after="0" w:line="100" w:lineRule="exact"/>
              <w:rPr>
                <w:sz w:val="20"/>
                <w:szCs w:val="20"/>
                <w:color w:val="auto"/>
              </w:rPr>
            </w:pPr>
            <w:r>
              <w:rPr>
                <w:rFonts w:ascii="Times New Roman" w:cs="Times New Roman" w:eastAsia="Times New Roman" w:hAnsi="Times New Roman"/>
                <w:sz w:val="10"/>
                <w:szCs w:val="10"/>
                <w:color w:val="auto"/>
                <w:w w:val="97"/>
              </w:rPr>
              <w:t>10.35%</w:t>
            </w:r>
          </w:p>
        </w:tc>
        <w:tc>
          <w:tcPr>
            <w:tcW w:w="960" w:type="dxa"/>
            <w:vAlign w:val="bottom"/>
            <w:tcBorders>
              <w:bottom w:val="single" w:sz="8" w:color="CCECFF"/>
            </w:tcBorders>
            <w:shd w:val="clear" w:color="auto" w:fill="CCECFF"/>
          </w:tcPr>
          <w:p>
            <w:pPr>
              <w:jc w:val="center"/>
              <w:ind w:left="132"/>
              <w:spacing w:after="0" w:line="100" w:lineRule="exact"/>
              <w:rPr>
                <w:sz w:val="20"/>
                <w:szCs w:val="20"/>
                <w:color w:val="auto"/>
              </w:rPr>
            </w:pPr>
            <w:r>
              <w:rPr>
                <w:rFonts w:ascii="Times New Roman" w:cs="Times New Roman" w:eastAsia="Times New Roman" w:hAnsi="Times New Roman"/>
                <w:sz w:val="10"/>
                <w:szCs w:val="10"/>
                <w:color w:val="auto"/>
                <w:w w:val="91"/>
              </w:rPr>
              <w:t>SOFR+575</w:t>
            </w:r>
          </w:p>
        </w:tc>
        <w:tc>
          <w:tcPr>
            <w:tcW w:w="880" w:type="dxa"/>
            <w:vAlign w:val="bottom"/>
            <w:tcBorders>
              <w:bottom w:val="single" w:sz="8" w:color="CCECFF"/>
            </w:tcBorders>
            <w:shd w:val="clear" w:color="auto" w:fill="CCECFF"/>
          </w:tcPr>
          <w:p>
            <w:pPr>
              <w:jc w:val="right"/>
              <w:ind w:right="52"/>
              <w:spacing w:after="0" w:line="100" w:lineRule="exact"/>
              <w:rPr>
                <w:sz w:val="20"/>
                <w:szCs w:val="20"/>
                <w:color w:val="auto"/>
              </w:rPr>
            </w:pPr>
            <w:r>
              <w:rPr>
                <w:rFonts w:ascii="Times New Roman" w:cs="Times New Roman" w:eastAsia="Times New Roman" w:hAnsi="Times New Roman"/>
                <w:sz w:val="10"/>
                <w:szCs w:val="10"/>
                <w:color w:val="auto"/>
              </w:rPr>
              <w:t>8,865</w:t>
            </w:r>
          </w:p>
        </w:tc>
        <w:tc>
          <w:tcPr>
            <w:tcW w:w="240" w:type="dxa"/>
            <w:vAlign w:val="bottom"/>
            <w:tcBorders>
              <w:bottom w:val="single" w:sz="8" w:color="CCECFF"/>
            </w:tcBorders>
            <w:shd w:val="clear" w:color="auto" w:fill="CCECFF"/>
          </w:tcPr>
          <w:p>
            <w:pPr>
              <w:spacing w:after="0"/>
              <w:rPr>
                <w:sz w:val="8"/>
                <w:szCs w:val="8"/>
                <w:color w:val="auto"/>
              </w:rPr>
            </w:pPr>
          </w:p>
        </w:tc>
        <w:tc>
          <w:tcPr>
            <w:tcW w:w="580" w:type="dxa"/>
            <w:vAlign w:val="bottom"/>
            <w:tcBorders>
              <w:bottom w:val="single" w:sz="8" w:color="CCECFF"/>
            </w:tcBorders>
            <w:shd w:val="clear" w:color="auto" w:fill="CCECFF"/>
          </w:tcPr>
          <w:p>
            <w:pPr>
              <w:jc w:val="right"/>
              <w:ind w:right="52"/>
              <w:spacing w:after="0" w:line="100" w:lineRule="exact"/>
              <w:rPr>
                <w:sz w:val="20"/>
                <w:szCs w:val="20"/>
                <w:color w:val="auto"/>
              </w:rPr>
            </w:pPr>
            <w:r>
              <w:rPr>
                <w:rFonts w:ascii="Times New Roman" w:cs="Times New Roman" w:eastAsia="Times New Roman" w:hAnsi="Times New Roman"/>
                <w:sz w:val="10"/>
                <w:szCs w:val="10"/>
                <w:color w:val="auto"/>
              </w:rPr>
              <w:t>8,763</w:t>
            </w:r>
          </w:p>
        </w:tc>
        <w:tc>
          <w:tcPr>
            <w:tcW w:w="18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jc w:val="right"/>
              <w:ind w:right="52"/>
              <w:spacing w:after="0" w:line="100" w:lineRule="exact"/>
              <w:rPr>
                <w:sz w:val="20"/>
                <w:szCs w:val="20"/>
                <w:color w:val="auto"/>
              </w:rPr>
            </w:pPr>
            <w:r>
              <w:rPr>
                <w:rFonts w:ascii="Times New Roman" w:cs="Times New Roman" w:eastAsia="Times New Roman" w:hAnsi="Times New Roman"/>
                <w:sz w:val="10"/>
                <w:szCs w:val="10"/>
                <w:color w:val="auto"/>
              </w:rPr>
              <w:t>8,732</w:t>
            </w:r>
          </w:p>
        </w:tc>
        <w:tc>
          <w:tcPr>
            <w:tcW w:w="0" w:type="dxa"/>
            <w:vAlign w:val="bottom"/>
          </w:tcPr>
          <w:p>
            <w:pPr>
              <w:spacing w:after="0"/>
              <w:rPr>
                <w:sz w:val="1"/>
                <w:szCs w:val="1"/>
                <w:color w:val="auto"/>
              </w:rPr>
            </w:pPr>
          </w:p>
        </w:tc>
      </w:tr>
      <w:tr>
        <w:trPr>
          <w:trHeight w:val="124"/>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0"/>
                <w:szCs w:val="10"/>
                <w:color w:val="auto"/>
                <w:w w:val="97"/>
              </w:rPr>
              <w:t>11.20%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SOFR+635</w:t>
            </w: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12,546</w:t>
            </w:r>
          </w:p>
        </w:tc>
        <w:tc>
          <w:tcPr>
            <w:tcW w:w="240" w:type="dxa"/>
            <w:vAlign w:val="bottom"/>
          </w:tcPr>
          <w:p>
            <w:pPr>
              <w:spacing w:after="0"/>
              <w:rPr>
                <w:sz w:val="10"/>
                <w:szCs w:val="10"/>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12,418</w:t>
            </w:r>
          </w:p>
        </w:tc>
        <w:tc>
          <w:tcPr>
            <w:tcW w:w="180" w:type="dxa"/>
            <w:vAlign w:val="bottom"/>
          </w:tcPr>
          <w:p>
            <w:pPr>
              <w:spacing w:after="0"/>
              <w:rPr>
                <w:sz w:val="10"/>
                <w:szCs w:val="10"/>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12,484</w:t>
            </w:r>
          </w:p>
        </w:tc>
        <w:tc>
          <w:tcPr>
            <w:tcW w:w="0" w:type="dxa"/>
            <w:vAlign w:val="bottom"/>
          </w:tcPr>
          <w:p>
            <w:pPr>
              <w:spacing w:after="0"/>
              <w:rPr>
                <w:sz w:val="1"/>
                <w:szCs w:val="1"/>
                <w:color w:val="auto"/>
              </w:rPr>
            </w:pPr>
          </w:p>
        </w:tc>
      </w:tr>
      <w:tr>
        <w:trPr>
          <w:trHeight w:val="36"/>
        </w:trPr>
        <w:tc>
          <w:tcPr>
            <w:tcW w:w="312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3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11.56%</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SOFR+650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12,249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12,032</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5/10/2030</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10.60%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SOFR+575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9,268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9,132</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9,176</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More Defense</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rPr>
              <w:t>9.65%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SOFR+450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10,117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10,071</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10,128</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11.43%</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SOFR+615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3,696</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3,689</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3,511</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10.45%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SOFR+560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3,723</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3,686</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3,685</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10.20%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SOFR+560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2,153</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2,131</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2,110</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6/17/2029</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rPr>
              <w:t>9.75%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SOFR+550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3,691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3,648</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3,665</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11.11%</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SOFR+600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8,957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8,835</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8,868</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11.18%</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SOFR+590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3,475</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3,486</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10.20%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SOFR+510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9,154</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9,018</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9,108</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11.45%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SOFR+685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6,029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5,932</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6,089</w:t>
            </w:r>
          </w:p>
        </w:tc>
        <w:tc>
          <w:tcPr>
            <w:tcW w:w="0" w:type="dxa"/>
            <w:vAlign w:val="bottom"/>
          </w:tcPr>
          <w:p>
            <w:pPr>
              <w:spacing w:after="0"/>
              <w:rPr>
                <w:sz w:val="1"/>
                <w:szCs w:val="1"/>
                <w:color w:val="auto"/>
              </w:rPr>
            </w:pPr>
          </w:p>
        </w:tc>
      </w:tr>
      <w:tr>
        <w:trPr>
          <w:trHeight w:val="121"/>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11.75%</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SOFR+715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11,287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11,274</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9,707</w:t>
            </w: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(PIK 2.25%)</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12.46%</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SOFR+761</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8,164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8,094</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8,041</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IT Services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10.58%</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SOFR+565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3,900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3,855</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3,900</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10.75%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SOFR+615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13,492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13,289</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13,492</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12.94%</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SOFR+785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14,731</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14,539</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14,584</w:t>
            </w: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(PIK 5.10%)</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11.42%</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SOFR+643</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12,125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12,102</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11,907</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 - Term Loan Incremental</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11.64%</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SOFR+640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2,861</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2,856</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2,810</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10.15%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SOFR+535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11,330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11,258</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11,330</w:t>
            </w:r>
          </w:p>
        </w:tc>
        <w:tc>
          <w:tcPr>
            <w:tcW w:w="0" w:type="dxa"/>
            <w:vAlign w:val="bottom"/>
          </w:tcPr>
          <w:p>
            <w:pPr>
              <w:spacing w:after="0"/>
              <w:rPr>
                <w:sz w:val="1"/>
                <w:szCs w:val="1"/>
                <w:color w:val="auto"/>
              </w:rPr>
            </w:pPr>
          </w:p>
        </w:tc>
      </w:tr>
      <w:tr>
        <w:trPr>
          <w:trHeight w:val="124"/>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194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6"/>
              </w:rPr>
              <w:t>Environmental Industries</w:t>
            </w: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0"/>
                <w:szCs w:val="10"/>
                <w:color w:val="auto"/>
                <w:w w:val="97"/>
              </w:rPr>
              <w:t>10.48%</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SOFR+525</w:t>
            </w: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2,559</w:t>
            </w:r>
          </w:p>
        </w:tc>
        <w:tc>
          <w:tcPr>
            <w:tcW w:w="240" w:type="dxa"/>
            <w:vAlign w:val="bottom"/>
          </w:tcPr>
          <w:p>
            <w:pPr>
              <w:spacing w:after="0"/>
              <w:rPr>
                <w:sz w:val="10"/>
                <w:szCs w:val="10"/>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2,516</w:t>
            </w:r>
          </w:p>
        </w:tc>
        <w:tc>
          <w:tcPr>
            <w:tcW w:w="180" w:type="dxa"/>
            <w:vAlign w:val="bottom"/>
          </w:tcPr>
          <w:p>
            <w:pPr>
              <w:spacing w:after="0"/>
              <w:rPr>
                <w:sz w:val="10"/>
                <w:szCs w:val="10"/>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2,559</w:t>
            </w:r>
          </w:p>
        </w:tc>
        <w:tc>
          <w:tcPr>
            <w:tcW w:w="0" w:type="dxa"/>
            <w:vAlign w:val="bottom"/>
          </w:tcPr>
          <w:p>
            <w:pPr>
              <w:spacing w:after="0"/>
              <w:rPr>
                <w:sz w:val="1"/>
                <w:szCs w:val="1"/>
                <w:color w:val="auto"/>
              </w:rPr>
            </w:pPr>
          </w:p>
        </w:tc>
      </w:tr>
      <w:tr>
        <w:trPr>
          <w:trHeight w:val="36"/>
        </w:trPr>
        <w:tc>
          <w:tcPr>
            <w:tcW w:w="312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9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3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9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5/31/2028</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11.10%</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SOFR+650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7,407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7,288</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7,296</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12.77%</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SOFR+765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12.77%</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SOFR+765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10.20%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SOFR+550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2,143</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2,085</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12.13%</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SOFR+701</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337</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12.38%</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SOFR+801</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452</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452</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Third-Out Term Loan</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11.63%</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SOFR+726</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1,675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1,675</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10.38%</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SOFR+540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1,845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1,845</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1,845</w:t>
            </w:r>
          </w:p>
        </w:tc>
        <w:tc>
          <w:tcPr>
            <w:tcW w:w="0" w:type="dxa"/>
            <w:vAlign w:val="bottom"/>
          </w:tcPr>
          <w:p>
            <w:pPr>
              <w:spacing w:after="0"/>
              <w:rPr>
                <w:sz w:val="1"/>
                <w:szCs w:val="1"/>
                <w:color w:val="auto"/>
              </w:rPr>
            </w:pPr>
          </w:p>
        </w:tc>
      </w:tr>
      <w:tr>
        <w:trPr>
          <w:trHeight w:val="96"/>
        </w:trPr>
        <w:tc>
          <w:tcPr>
            <w:tcW w:w="312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9"/>
                <w:szCs w:val="9"/>
                <w:color w:val="auto"/>
              </w:rPr>
              <w:t xml:space="preserve">Marketplace Events, LLC - Super Priority First Lien Unfunded Term Loan </w:t>
            </w:r>
            <w:r>
              <w:rPr>
                <w:rFonts w:ascii="Times New Roman" w:cs="Times New Roman" w:eastAsia="Times New Roman" w:hAnsi="Times New Roman"/>
                <w:sz w:val="11"/>
                <w:szCs w:val="11"/>
                <w:color w:val="auto"/>
                <w:vertAlign w:val="superscript"/>
              </w:rPr>
              <w:t>(3)</w:t>
            </w:r>
          </w:p>
        </w:tc>
        <w:tc>
          <w:tcPr>
            <w:tcW w:w="7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1940" w:type="dxa"/>
            <w:vAlign w:val="bottom"/>
            <w:vMerge w:val="restart"/>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960" w:type="dxa"/>
            <w:vAlign w:val="bottom"/>
            <w:vMerge w:val="restart"/>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rPr>
              <w:t>0.00%</w:t>
            </w:r>
          </w:p>
        </w:tc>
        <w:tc>
          <w:tcPr>
            <w:tcW w:w="960" w:type="dxa"/>
            <w:vAlign w:val="bottom"/>
            <w:shd w:val="clear" w:color="auto" w:fill="CCECFF"/>
          </w:tcPr>
          <w:p>
            <w:pPr>
              <w:spacing w:after="0"/>
              <w:rPr>
                <w:sz w:val="8"/>
                <w:szCs w:val="8"/>
                <w:color w:val="auto"/>
              </w:rPr>
            </w:pPr>
          </w:p>
        </w:tc>
        <w:tc>
          <w:tcPr>
            <w:tcW w:w="8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564</w:t>
            </w:r>
          </w:p>
        </w:tc>
        <w:tc>
          <w:tcPr>
            <w:tcW w:w="240" w:type="dxa"/>
            <w:vAlign w:val="bottom"/>
            <w:shd w:val="clear" w:color="auto" w:fill="CCECFF"/>
          </w:tcPr>
          <w:p>
            <w:pPr>
              <w:spacing w:after="0"/>
              <w:rPr>
                <w:sz w:val="8"/>
                <w:szCs w:val="8"/>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8"/>
                <w:szCs w:val="8"/>
                <w:color w:val="auto"/>
              </w:rPr>
            </w:pPr>
          </w:p>
        </w:tc>
        <w:tc>
          <w:tcPr>
            <w:tcW w:w="6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8"/>
        </w:trPr>
        <w:tc>
          <w:tcPr>
            <w:tcW w:w="3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color w:val="auto"/>
              </w:rPr>
              <w:t>(6)</w:t>
            </w:r>
          </w:p>
        </w:tc>
        <w:tc>
          <w:tcPr>
            <w:tcW w:w="700" w:type="dxa"/>
            <w:vAlign w:val="bottom"/>
            <w:tcBorders>
              <w:bottom w:val="single" w:sz="8" w:color="CCECFF"/>
            </w:tcBorders>
            <w:vMerge w:val="continue"/>
            <w:shd w:val="clear" w:color="auto" w:fill="CCECFF"/>
          </w:tcPr>
          <w:p>
            <w:pPr>
              <w:spacing w:after="0"/>
              <w:rPr>
                <w:sz w:val="7"/>
                <w:szCs w:val="7"/>
                <w:color w:val="auto"/>
              </w:rPr>
            </w:pPr>
          </w:p>
        </w:tc>
        <w:tc>
          <w:tcPr>
            <w:tcW w:w="1940" w:type="dxa"/>
            <w:vAlign w:val="bottom"/>
            <w:tcBorders>
              <w:bottom w:val="single" w:sz="8" w:color="CCECFF"/>
            </w:tcBorders>
            <w:vMerge w:val="continue"/>
            <w:shd w:val="clear" w:color="auto" w:fill="CCECFF"/>
          </w:tcPr>
          <w:p>
            <w:pPr>
              <w:spacing w:after="0"/>
              <w:rPr>
                <w:sz w:val="7"/>
                <w:szCs w:val="7"/>
                <w:color w:val="auto"/>
              </w:rPr>
            </w:pPr>
          </w:p>
        </w:tc>
        <w:tc>
          <w:tcPr>
            <w:tcW w:w="960" w:type="dxa"/>
            <w:vAlign w:val="bottom"/>
            <w:tcBorders>
              <w:bottom w:val="single" w:sz="8" w:color="CCECFF"/>
            </w:tcBorders>
            <w:vMerge w:val="continue"/>
            <w:shd w:val="clear" w:color="auto" w:fill="CCECFF"/>
          </w:tcPr>
          <w:p>
            <w:pPr>
              <w:spacing w:after="0"/>
              <w:rPr>
                <w:sz w:val="7"/>
                <w:szCs w:val="7"/>
                <w:color w:val="auto"/>
              </w:rPr>
            </w:pPr>
          </w:p>
        </w:tc>
        <w:tc>
          <w:tcPr>
            <w:tcW w:w="960" w:type="dxa"/>
            <w:vAlign w:val="bottom"/>
            <w:tcBorders>
              <w:bottom w:val="single" w:sz="8" w:color="CCECFF"/>
            </w:tcBorders>
            <w:shd w:val="clear" w:color="auto" w:fill="CCECFF"/>
          </w:tcPr>
          <w:p>
            <w:pPr>
              <w:spacing w:after="0"/>
              <w:rPr>
                <w:sz w:val="7"/>
                <w:szCs w:val="7"/>
                <w:color w:val="auto"/>
              </w:rPr>
            </w:pPr>
          </w:p>
        </w:tc>
        <w:tc>
          <w:tcPr>
            <w:tcW w:w="880" w:type="dxa"/>
            <w:vAlign w:val="bottom"/>
            <w:tcBorders>
              <w:bottom w:val="single" w:sz="8" w:color="CCECFF"/>
            </w:tcBorders>
            <w:vMerge w:val="continue"/>
            <w:shd w:val="clear" w:color="auto" w:fill="CCECFF"/>
          </w:tcPr>
          <w:p>
            <w:pPr>
              <w:spacing w:after="0"/>
              <w:rPr>
                <w:sz w:val="7"/>
                <w:szCs w:val="7"/>
                <w:color w:val="auto"/>
              </w:rPr>
            </w:pPr>
          </w:p>
        </w:tc>
        <w:tc>
          <w:tcPr>
            <w:tcW w:w="240" w:type="dxa"/>
            <w:vAlign w:val="bottom"/>
            <w:tcBorders>
              <w:bottom w:val="single" w:sz="8" w:color="CCECFF"/>
            </w:tcBorders>
            <w:shd w:val="clear" w:color="auto" w:fill="CCECFF"/>
          </w:tcPr>
          <w:p>
            <w:pPr>
              <w:spacing w:after="0"/>
              <w:rPr>
                <w:sz w:val="7"/>
                <w:szCs w:val="7"/>
                <w:color w:val="auto"/>
              </w:rPr>
            </w:pPr>
          </w:p>
        </w:tc>
        <w:tc>
          <w:tcPr>
            <w:tcW w:w="580" w:type="dxa"/>
            <w:vAlign w:val="bottom"/>
            <w:tcBorders>
              <w:bottom w:val="single" w:sz="8" w:color="CCECFF"/>
            </w:tcBorders>
            <w:vMerge w:val="continue"/>
            <w:shd w:val="clear" w:color="auto" w:fill="CCECFF"/>
          </w:tcPr>
          <w:p>
            <w:pPr>
              <w:spacing w:after="0"/>
              <w:rPr>
                <w:sz w:val="7"/>
                <w:szCs w:val="7"/>
                <w:color w:val="auto"/>
              </w:rPr>
            </w:pPr>
          </w:p>
        </w:tc>
        <w:tc>
          <w:tcPr>
            <w:tcW w:w="180" w:type="dxa"/>
            <w:vAlign w:val="bottom"/>
            <w:tcBorders>
              <w:bottom w:val="single" w:sz="8" w:color="CCECFF"/>
            </w:tcBorders>
            <w:shd w:val="clear" w:color="auto" w:fill="CCECFF"/>
          </w:tcPr>
          <w:p>
            <w:pPr>
              <w:spacing w:after="0"/>
              <w:rPr>
                <w:sz w:val="7"/>
                <w:szCs w:val="7"/>
                <w:color w:val="auto"/>
              </w:rPr>
            </w:pPr>
          </w:p>
        </w:tc>
        <w:tc>
          <w:tcPr>
            <w:tcW w:w="680" w:type="dxa"/>
            <w:vAlign w:val="bottom"/>
            <w:tcBorders>
              <w:bottom w:val="single" w:sz="8" w:color="CCECFF"/>
            </w:tcBorders>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12"/>
                <w:szCs w:val="12"/>
                <w:color w:val="auto"/>
                <w:vertAlign w:val="superscript"/>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9/30/2026</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10.53%</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SOFR+525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4,068</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10.59%</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SOFR+585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7,256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7,183</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7,256</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 (New Issue) - Incremental</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11.34%</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SOFR+660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523</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514</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528</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(New Issue) - Second Incremental</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11.09%</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SOFR+635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554</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10.60%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SOFR+575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4,829</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4,851</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 - Incremental</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11.25%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SOFR+600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1,395</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1,409</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9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10.50%</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SOFR+590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2,319</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2,289</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10.85%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SOFR+625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19,199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18,911</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19,199</w:t>
            </w:r>
          </w:p>
        </w:tc>
        <w:tc>
          <w:tcPr>
            <w:tcW w:w="0" w:type="dxa"/>
            <w:vAlign w:val="bottom"/>
          </w:tcPr>
          <w:p>
            <w:pPr>
              <w:spacing w:after="0"/>
              <w:rPr>
                <w:sz w:val="1"/>
                <w:szCs w:val="1"/>
                <w:color w:val="auto"/>
              </w:rPr>
            </w:pPr>
          </w:p>
        </w:tc>
      </w:tr>
      <w:tr>
        <w:trPr>
          <w:trHeight w:val="121"/>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700" w:type="dxa"/>
            <w:vAlign w:val="bottom"/>
          </w:tcPr>
          <w:p>
            <w:pPr>
              <w:spacing w:after="0"/>
              <w:rPr>
                <w:sz w:val="10"/>
                <w:szCs w:val="10"/>
                <w:color w:val="auto"/>
              </w:rPr>
            </w:pP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12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94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4"/>
              </w:rPr>
              <w:t>Components</w:t>
            </w: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0"/>
                <w:szCs w:val="10"/>
                <w:color w:val="auto"/>
              </w:rPr>
              <w:t>9.85%</w:t>
            </w:r>
          </w:p>
        </w:tc>
        <w:tc>
          <w:tcPr>
            <w:tcW w:w="960" w:type="dxa"/>
            <w:vAlign w:val="bottom"/>
            <w:vMerge w:val="restart"/>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SOFR+525</w:t>
            </w: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15,671</w:t>
            </w:r>
          </w:p>
        </w:tc>
        <w:tc>
          <w:tcPr>
            <w:tcW w:w="240" w:type="dxa"/>
            <w:vAlign w:val="bottom"/>
          </w:tcPr>
          <w:p>
            <w:pPr>
              <w:spacing w:after="0"/>
              <w:rPr>
                <w:sz w:val="5"/>
                <w:szCs w:val="5"/>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15,453</w:t>
            </w:r>
          </w:p>
        </w:tc>
        <w:tc>
          <w:tcPr>
            <w:tcW w:w="180" w:type="dxa"/>
            <w:vAlign w:val="bottom"/>
          </w:tcPr>
          <w:p>
            <w:pPr>
              <w:spacing w:after="0"/>
              <w:rPr>
                <w:sz w:val="5"/>
                <w:szCs w:val="5"/>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14,794</w:t>
            </w:r>
          </w:p>
        </w:tc>
        <w:tc>
          <w:tcPr>
            <w:tcW w:w="0" w:type="dxa"/>
            <w:vAlign w:val="bottom"/>
          </w:tcPr>
          <w:p>
            <w:pPr>
              <w:spacing w:after="0"/>
              <w:rPr>
                <w:sz w:val="1"/>
                <w:szCs w:val="1"/>
                <w:color w:val="auto"/>
              </w:rPr>
            </w:pPr>
          </w:p>
        </w:tc>
      </w:tr>
      <w:tr>
        <w:trPr>
          <w:trHeight w:val="56"/>
        </w:trPr>
        <w:tc>
          <w:tcPr>
            <w:tcW w:w="3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19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10.50%</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SOFR+590</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5,551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5,551</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5,551</w:t>
            </w: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1/16/2030</w:t>
            </w:r>
          </w:p>
        </w:tc>
        <w:tc>
          <w:tcPr>
            <w:tcW w:w="19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10.35%</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SOFR+575</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13,067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12,891</w:t>
            </w:r>
          </w:p>
        </w:tc>
        <w:tc>
          <w:tcPr>
            <w:tcW w:w="18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12,871</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9/28/2027</w:t>
            </w:r>
          </w:p>
        </w:tc>
        <w:tc>
          <w:tcPr>
            <w:tcW w:w="19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Distributors</w:t>
            </w:r>
          </w:p>
        </w:tc>
        <w:tc>
          <w:tcPr>
            <w:tcW w:w="9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rPr>
              <w:t>9.75%</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1"/>
              </w:rPr>
              <w:t>SOFR+515</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3,395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3,355</w:t>
            </w:r>
          </w:p>
        </w:tc>
        <w:tc>
          <w:tcPr>
            <w:tcW w:w="18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3,395</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425450</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40"/>
          </w:cols>
          <w:pgMar w:left="820" w:top="1132" w:right="8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100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Par or Number</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84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1000" w:type="dxa"/>
            <w:vAlign w:val="bottom"/>
          </w:tcPr>
          <w:p>
            <w:pPr>
              <w:jc w:val="center"/>
              <w:ind w:left="11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0"/>
                <w:szCs w:val="10"/>
                <w:b w:val="1"/>
                <w:bCs w:val="1"/>
                <w:color w:val="auto"/>
                <w:w w:val="94"/>
              </w:rPr>
              <w:t>Fair Value</w:t>
            </w:r>
            <w:r>
              <w:rPr>
                <w:rFonts w:ascii="Times New Roman" w:cs="Times New Roman" w:eastAsia="Times New Roman" w:hAnsi="Times New Roman"/>
                <w:sz w:val="12"/>
                <w:szCs w:val="12"/>
                <w:b w:val="1"/>
                <w:bCs w:val="1"/>
                <w:color w:val="auto"/>
                <w:w w:val="94"/>
                <w:vertAlign w:val="superscript"/>
              </w:rPr>
              <w:t>(2)</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8/19/2026</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&amp; Childcare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11.05%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SOFR+585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10,602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10,504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10,284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SOFR+635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21,274</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20,913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21,274</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Air Freight and Logistics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11.21%</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SOFR+636</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15,682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15,480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15,682</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14.00%</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SOFR+940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2,140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1,819</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7.50%)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13.75%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SOFR+843</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821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5/30/2028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12.00%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SOFR+668</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SOFR+535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3,893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3,842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3,825</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5/18/2026</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11.12%</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SOFR+651</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4,307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4,307</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11.51%</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SOFR+625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11,938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11,745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11,914</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10.81%</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3,871</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3,818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3,871</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9/29/2025</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10.17%</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SOFR+543</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9,391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11/9/2027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11.99%</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SOFR+725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7,816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7,733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6,253</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4.00%)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12.35%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SOFR+750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11,855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11,480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7,261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(PIK 12.35%)</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SOFR+635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2,775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SOFR+560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1,016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2/28/2028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Air Freight and Logistics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SOFR+615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4,875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3,656</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1/29/2026</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11.75%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SOFR+715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4,825</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4,796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4,777</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5/3/2029</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9,776</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6/15/2029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4,336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4,266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5/23/2029</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SOFR+525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9,973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9,873</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SOFR+620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9,268</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9,260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9,268</w:t>
            </w:r>
          </w:p>
        </w:tc>
        <w:tc>
          <w:tcPr>
            <w:tcW w:w="80" w:type="dxa"/>
            <w:vAlign w:val="bottom"/>
            <w:shd w:val="clear" w:color="auto" w:fill="CCECFF"/>
          </w:tcPr>
          <w:p>
            <w:pPr>
              <w:spacing w:after="0"/>
              <w:rPr>
                <w:sz w:val="10"/>
                <w:szCs w:val="10"/>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12.45%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SOFR+760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4,916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4,916</w:t>
            </w:r>
          </w:p>
        </w:tc>
        <w:tc>
          <w:tcPr>
            <w:tcW w:w="80" w:type="dxa"/>
            <w:vAlign w:val="bottom"/>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1.00%)</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7/14/2025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13.20%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SOFR+835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12,388</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12,078</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0.50%)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6/13/2029</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SOFR+615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4,900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4,842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11.50%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SOFR+690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18,620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18,370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18,434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12/2/2026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11.00%</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SOFR+640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11,359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5/17/2028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9.46%</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SOFR+461</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1,290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SOFR+610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4,863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4,863</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SOFR+550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11,887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11,860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10,520</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1.50%)</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7/17/2025</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12.40%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SOFR+715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4,582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4,560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4,582</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SOFR+565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4,070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4,017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4,070</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9.31%</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SOFR+425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1,777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1,653</w:t>
            </w:r>
          </w:p>
        </w:tc>
        <w:tc>
          <w:tcPr>
            <w:tcW w:w="80" w:type="dxa"/>
            <w:vAlign w:val="bottom"/>
            <w:shd w:val="clear" w:color="auto" w:fill="CCECFF"/>
          </w:tcPr>
          <w:p>
            <w:pPr>
              <w:spacing w:after="0"/>
              <w:rPr>
                <w:sz w:val="10"/>
                <w:szCs w:val="10"/>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7"/>
              </w:rPr>
              <w:t>System Planning and Analysis, Inc. (f/k/a Management Consulting &amp; Research,</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10.26%</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SOFR+500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14,588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14,558</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11.10%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SOFR+650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19,626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19,312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19,430</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9.95%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SOFR+500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343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338</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3/13/2031</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9.60%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SOFR+475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5,473</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5,418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5,490</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7/27/2026</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11.25%</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SOFR+665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8,521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8,427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8,521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8/31/2027</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Construction and Engineering</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SOFR+610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7,636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7,538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7,639</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10.84%</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SOFR+565</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16,524</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16,394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16,524</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Automotive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18,552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18,293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18,552</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6/16/2025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11.33%</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SOFR+640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943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10.23%</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SOFR+490</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14,670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14,585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14,376</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6/15/2026</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10.76%</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SOFR+550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6,823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6,742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6,755</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(4)(6)</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0.00%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5,441</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4,986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w w:val="97"/>
              </w:rPr>
              <w:t xml:space="preserve">Walker Edison Furniture Company LLC - Junior Revolving Credit Facility </w:t>
            </w:r>
            <w:r>
              <w:rPr>
                <w:rFonts w:ascii="Times New Roman" w:cs="Times New Roman" w:eastAsia="Times New Roman" w:hAnsi="Times New Roman"/>
                <w:sz w:val="12"/>
                <w:szCs w:val="12"/>
                <w:color w:val="auto"/>
                <w:w w:val="97"/>
                <w:vertAlign w:val="superscript"/>
              </w:rPr>
              <w:t>(4)(6)</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0.00%</w:t>
            </w:r>
          </w:p>
        </w:tc>
        <w:tc>
          <w:tcPr>
            <w:tcW w:w="100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(3)(4)(6)</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9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0.00%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83</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(76 )</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SOFR+600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12,189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12,067</w:t>
            </w:r>
          </w:p>
        </w:tc>
        <w:tc>
          <w:tcPr>
            <w:tcW w:w="80" w:type="dxa"/>
            <w:vAlign w:val="bottom"/>
          </w:tcPr>
          <w:p>
            <w:pPr>
              <w:spacing w:after="0"/>
              <w:rPr>
                <w:sz w:val="10"/>
                <w:szCs w:val="10"/>
                <w:color w:val="auto"/>
              </w:rPr>
            </w:pPr>
          </w:p>
        </w:tc>
      </w:tr>
      <w:tr>
        <w:trPr>
          <w:trHeight w:val="121"/>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2/27/2027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100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SOFR+575</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16,014</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15,916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16,014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Automobiles</w:t>
            </w: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12.46%</w:t>
            </w:r>
          </w:p>
        </w:tc>
        <w:tc>
          <w:tcPr>
            <w:tcW w:w="100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SOFR+740</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16,736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16,722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1.50%)</w:t>
            </w: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920,485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906,532</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- 10.5%</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Insight Holdings, Inc.</w:t>
            </w:r>
          </w:p>
        </w:tc>
        <w:tc>
          <w:tcPr>
            <w:tcW w:w="84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74</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40" w:type="dxa"/>
            <w:vAlign w:val="bottom"/>
          </w:tcPr>
          <w:p>
            <w:pPr>
              <w:spacing w:after="0"/>
              <w:rPr>
                <w:sz w:val="10"/>
                <w:szCs w:val="10"/>
                <w:color w:val="auto"/>
              </w:rPr>
            </w:pP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2,710</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1,104</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40" w:type="dxa"/>
            <w:vAlign w:val="bottom"/>
          </w:tcPr>
          <w:p>
            <w:pPr>
              <w:spacing w:after="0"/>
              <w:rPr>
                <w:sz w:val="10"/>
                <w:szCs w:val="10"/>
                <w:color w:val="auto"/>
              </w:rPr>
            </w:pPr>
          </w:p>
        </w:tc>
        <w:tc>
          <w:tcPr>
            <w:tcW w:w="19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Wholesale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8,498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- 1,415.0%</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928,983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913,281</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- 106.0%</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4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—1,521.0%</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981,710</w:t>
            </w:r>
          </w:p>
        </w:tc>
        <w:tc>
          <w:tcPr>
            <w:tcW w:w="80" w:type="dxa"/>
            <w:vAlign w:val="bottom"/>
          </w:tcPr>
          <w:p>
            <w:pPr>
              <w:spacing w:after="0"/>
              <w:rPr>
                <w:sz w:val="10"/>
                <w:szCs w:val="10"/>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316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(1,421.0)%</w:t>
            </w:r>
          </w:p>
        </w:tc>
        <w:tc>
          <w:tcPr>
            <w:tcW w:w="840" w:type="dxa"/>
            <w:vAlign w:val="bottom"/>
            <w:shd w:val="clear" w:color="auto" w:fill="CCECFF"/>
          </w:tcPr>
          <w:p>
            <w:pPr>
              <w:spacing w:after="0"/>
              <w:rPr>
                <w:sz w:val="8"/>
                <w:szCs w:val="8"/>
                <w:color w:val="auto"/>
              </w:rPr>
            </w:pPr>
          </w:p>
        </w:tc>
        <w:tc>
          <w:tcPr>
            <w:tcW w:w="192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(917,163 )</w:t>
            </w:r>
          </w:p>
        </w:tc>
      </w:tr>
      <w:tr>
        <w:trPr>
          <w:trHeight w:val="120"/>
        </w:trPr>
        <w:tc>
          <w:tcPr>
            <w:tcW w:w="316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64,547</w:t>
            </w:r>
          </w:p>
        </w:tc>
        <w:tc>
          <w:tcPr>
            <w:tcW w:w="80" w:type="dxa"/>
            <w:vAlign w:val="bottom"/>
          </w:tcPr>
          <w:p>
            <w:pPr>
              <w:spacing w:after="0"/>
              <w:rPr>
                <w:sz w:val="10"/>
                <w:szCs w:val="10"/>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0"/>
          <w:szCs w:val="10"/>
          <w:color w:val="auto"/>
        </w:rPr>
        <w:t>(1)Represents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(2)Valued based on PSSL’s accounting policy.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(3)Represents the purchase of a security with a delayed settlement or a revolving line of credit that is currently an unfunded investment. This security does not earn a basis point spread above an index while it is unfunded.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(4)Non-accrual security.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(5)Partial PIK non-accrual security.</w:t>
      </w:r>
    </w:p>
    <w:p>
      <w:pPr>
        <w:spacing w:after="0" w:line="2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0"/>
          <w:szCs w:val="10"/>
          <w:color w:val="auto"/>
        </w:rPr>
        <w:t>(6)The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(7)All investments are in US Companies unless noted otherwise.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2023 (Par and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40" w:type="dxa"/>
            <w:vAlign w:val="bottom"/>
          </w:tcPr>
          <w:p>
            <w:pPr>
              <w:jc w:val="center"/>
              <w:ind w:right="132"/>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w:t>
            </w:r>
          </w:p>
        </w:tc>
        <w:tc>
          <w:tcPr>
            <w:tcW w:w="240" w:type="dxa"/>
            <w:vAlign w:val="bottom"/>
          </w:tcPr>
          <w:p>
            <w:pPr>
              <w:spacing w:after="0"/>
              <w:rPr>
                <w:sz w:val="10"/>
                <w:szCs w:val="10"/>
                <w:color w:val="auto"/>
              </w:rPr>
            </w:pPr>
          </w:p>
        </w:tc>
        <w:tc>
          <w:tcPr>
            <w:tcW w:w="6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00" w:type="dxa"/>
            <w:vAlign w:val="bottom"/>
          </w:tcPr>
          <w:p>
            <w:pPr>
              <w:jc w:val="right"/>
              <w:ind w:right="112"/>
              <w:spacing w:after="0" w:line="120"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22"/>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- 1,347.5%</w:t>
            </w: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11.84 %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SOFR+660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2,940</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2,886</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11.65 %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SOFR+626</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8,723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8,754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12,852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12,535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12,338</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5/23/2024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 March 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5/23/2024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4,875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7/21/2027</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11.59 %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7,510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7,348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7,360</w:t>
            </w:r>
          </w:p>
        </w:tc>
        <w:tc>
          <w:tcPr>
            <w:tcW w:w="0" w:type="dxa"/>
            <w:vAlign w:val="bottom"/>
          </w:tcPr>
          <w:p>
            <w:pPr>
              <w:spacing w:after="0"/>
              <w:rPr>
                <w:sz w:val="1"/>
                <w:szCs w:val="1"/>
                <w:color w:val="auto"/>
              </w:rPr>
            </w:pPr>
          </w:p>
        </w:tc>
      </w:tr>
      <w:tr>
        <w:trPr>
          <w:trHeight w:val="160"/>
        </w:trPr>
        <w:tc>
          <w:tcPr>
            <w:tcW w:w="3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7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7/31/2025</w:t>
            </w:r>
          </w:p>
        </w:tc>
        <w:tc>
          <w:tcPr>
            <w:tcW w:w="24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10.52 %</w:t>
            </w:r>
          </w:p>
        </w:tc>
        <w:tc>
          <w:tcPr>
            <w:tcW w:w="94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1,002</w:t>
            </w:r>
          </w:p>
        </w:tc>
        <w:tc>
          <w:tcPr>
            <w:tcW w:w="240" w:type="dxa"/>
            <w:vAlign w:val="bottom"/>
            <w:tcBorders>
              <w:bottom w:val="single" w:sz="8" w:color="CCECFF"/>
            </w:tcBorders>
            <w:shd w:val="clear" w:color="auto" w:fill="CCECFF"/>
          </w:tcPr>
          <w:p>
            <w:pPr>
              <w:spacing w:after="0"/>
              <w:rPr>
                <w:sz w:val="13"/>
                <w:szCs w:val="13"/>
                <w:color w:val="auto"/>
              </w:rPr>
            </w:pPr>
          </w:p>
        </w:tc>
        <w:tc>
          <w:tcPr>
            <w:tcW w:w="6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1,002</w:t>
            </w:r>
          </w:p>
        </w:tc>
        <w:tc>
          <w:tcPr>
            <w:tcW w:w="16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2,187</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2,181</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10.69 %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11,013</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9,579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9,475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9,387</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DDTL Unfunded (3)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11.62 %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9,218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9,093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9,126</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11.14 %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1/31/2028</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11.83 %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9/17/2026</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15,132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14,905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12/4/2025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11.50 %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SOFR+626</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9/26/2029</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Automotive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420</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5/16/2025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12.43 %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SOFR+688</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13,821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13,778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13,579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Cadence Aerospace,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11/14/2023</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12.07 %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SOFR+665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4,011</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2.00%)</w:t>
            </w: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6/14/2028</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11.39 %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9,636</w:t>
            </w:r>
          </w:p>
        </w:tc>
        <w:tc>
          <w:tcPr>
            <w:tcW w:w="0" w:type="dxa"/>
            <w:vAlign w:val="bottom"/>
          </w:tcPr>
          <w:p>
            <w:pPr>
              <w:spacing w:after="0"/>
              <w:rPr>
                <w:sz w:val="1"/>
                <w:szCs w:val="1"/>
                <w:color w:val="auto"/>
              </w:rPr>
            </w:pPr>
          </w:p>
        </w:tc>
      </w:tr>
      <w:tr>
        <w:trPr>
          <w:trHeight w:val="124"/>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8"/>
              </w:rPr>
              <w:t>8/20/2026</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11.60 %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SOFR+619</w:t>
            </w:r>
          </w:p>
        </w:tc>
        <w:tc>
          <w:tcPr>
            <w:tcW w:w="7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6,820</w:t>
            </w:r>
          </w:p>
        </w:tc>
        <w:tc>
          <w:tcPr>
            <w:tcW w:w="240" w:type="dxa"/>
            <w:vAlign w:val="bottom"/>
          </w:tcPr>
          <w:p>
            <w:pPr>
              <w:spacing w:after="0"/>
              <w:rPr>
                <w:sz w:val="10"/>
                <w:szCs w:val="10"/>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6,722</w:t>
            </w:r>
          </w:p>
        </w:tc>
        <w:tc>
          <w:tcPr>
            <w:tcW w:w="16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6,684</w:t>
            </w:r>
          </w:p>
        </w:tc>
        <w:tc>
          <w:tcPr>
            <w:tcW w:w="0" w:type="dxa"/>
            <w:vAlign w:val="bottom"/>
          </w:tcPr>
          <w:p>
            <w:pPr>
              <w:spacing w:after="0"/>
              <w:rPr>
                <w:sz w:val="1"/>
                <w:szCs w:val="1"/>
                <w:color w:val="auto"/>
              </w:rPr>
            </w:pPr>
          </w:p>
        </w:tc>
      </w:tr>
      <w:tr>
        <w:trPr>
          <w:trHeight w:val="104"/>
        </w:trPr>
        <w:tc>
          <w:tcPr>
            <w:tcW w:w="30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4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 Holdings,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4/10/2025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10.15 %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SOFR+476</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5,499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5,455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5,499</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SOFR+675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9,232</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9,201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8,955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1.00%)</w:t>
            </w:r>
          </w:p>
        </w:tc>
        <w:tc>
          <w:tcPr>
            <w:tcW w:w="9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9.32 %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SOFR+400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6,797</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6,559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6,445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7/13/2027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SOFR+576</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3,815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3,681</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10.90 %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SOFR+551</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2,079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8/31/2027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14,712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14,511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14,712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2,627</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2,418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11/3/2025</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14,429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14,376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14,256</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6/30/2024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11.89 %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10,904</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10,740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10.07 %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SOFR+475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1/10/2029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11.64 %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8,955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8,821</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1/17/2024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11.00 %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2,200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2,171</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3/15/2027</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12,675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12,422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5/29/2029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11.89 %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24"/>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8"/>
              </w:rPr>
              <w:t>6/17/2028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10.40 %</w:t>
            </w:r>
          </w:p>
        </w:tc>
        <w:tc>
          <w:tcPr>
            <w:tcW w:w="94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SOFR+475</w:t>
            </w:r>
          </w:p>
        </w:tc>
        <w:tc>
          <w:tcPr>
            <w:tcW w:w="7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10,195</w:t>
            </w:r>
          </w:p>
        </w:tc>
        <w:tc>
          <w:tcPr>
            <w:tcW w:w="240" w:type="dxa"/>
            <w:vAlign w:val="bottom"/>
          </w:tcPr>
          <w:p>
            <w:pPr>
              <w:spacing w:after="0"/>
              <w:rPr>
                <w:sz w:val="10"/>
                <w:szCs w:val="10"/>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10,143</w:t>
            </w:r>
          </w:p>
        </w:tc>
        <w:tc>
          <w:tcPr>
            <w:tcW w:w="16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10,114</w:t>
            </w:r>
          </w:p>
        </w:tc>
        <w:tc>
          <w:tcPr>
            <w:tcW w:w="0" w:type="dxa"/>
            <w:vAlign w:val="bottom"/>
          </w:tcPr>
          <w:p>
            <w:pPr>
              <w:spacing w:after="0"/>
              <w:rPr>
                <w:sz w:val="1"/>
                <w:szCs w:val="1"/>
                <w:color w:val="auto"/>
              </w:rPr>
            </w:pPr>
          </w:p>
        </w:tc>
      </w:tr>
      <w:tr>
        <w:trPr>
          <w:trHeight w:val="32"/>
        </w:trPr>
        <w:tc>
          <w:tcPr>
            <w:tcW w:w="3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3/16/2026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11.96 %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SOFR+660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3,736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3,724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3,549</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8/10/2027</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10.99 %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2,316</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10.92 %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2,250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2,217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4,913</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11.75 %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3,014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2,968</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10.72 %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9,248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9,075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9,110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12.51 %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SOFR+715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16,453</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16,257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16,453</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SOFR+685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6,090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6,090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Integrated Data Services</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11.87 %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18,904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18,532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18,463</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12.54 %</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SOFR+700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11,105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11,083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10,439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2.25%)</w:t>
            </w: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8/27/2026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11.57 %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5,906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5,851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5,847</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6/30/2025</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12.93 %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SOFR+761</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8,246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8,104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8,080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3,940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3,886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3,861</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12/20/2023</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13.42 %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SOFR+810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15,509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15,487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15,509</w:t>
            </w:r>
          </w:p>
        </w:tc>
        <w:tc>
          <w:tcPr>
            <w:tcW w:w="0" w:type="dxa"/>
            <w:vAlign w:val="bottom"/>
          </w:tcPr>
          <w:p>
            <w:pPr>
              <w:spacing w:after="0"/>
              <w:rPr>
                <w:sz w:val="1"/>
                <w:szCs w:val="1"/>
                <w:color w:val="auto"/>
              </w:rPr>
            </w:pPr>
          </w:p>
        </w:tc>
      </w:tr>
      <w:tr>
        <w:trPr>
          <w:trHeight w:val="124"/>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7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24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4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16,662</w:t>
            </w:r>
          </w:p>
        </w:tc>
        <w:tc>
          <w:tcPr>
            <w:tcW w:w="240" w:type="dxa"/>
            <w:vAlign w:val="bottom"/>
            <w:shd w:val="clear" w:color="auto" w:fill="CCECFF"/>
          </w:tcPr>
          <w:p>
            <w:pPr>
              <w:spacing w:after="0"/>
              <w:rPr>
                <w:sz w:val="10"/>
                <w:szCs w:val="10"/>
                <w:color w:val="auto"/>
              </w:rPr>
            </w:pPr>
          </w:p>
        </w:tc>
        <w:tc>
          <w:tcPr>
            <w:tcW w:w="6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16,346</w:t>
            </w:r>
          </w:p>
        </w:tc>
        <w:tc>
          <w:tcPr>
            <w:tcW w:w="160" w:type="dxa"/>
            <w:vAlign w:val="bottom"/>
            <w:shd w:val="clear" w:color="auto" w:fill="CCECFF"/>
          </w:tcPr>
          <w:p>
            <w:pPr>
              <w:spacing w:after="0"/>
              <w:rPr>
                <w:sz w:val="10"/>
                <w:szCs w:val="10"/>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16,412</w:t>
            </w:r>
          </w:p>
        </w:tc>
        <w:tc>
          <w:tcPr>
            <w:tcW w:w="0" w:type="dxa"/>
            <w:vAlign w:val="bottom"/>
          </w:tcPr>
          <w:p>
            <w:pPr>
              <w:spacing w:after="0"/>
              <w:rPr>
                <w:sz w:val="1"/>
                <w:szCs w:val="1"/>
                <w:color w:val="auto"/>
              </w:rPr>
            </w:pPr>
          </w:p>
        </w:tc>
      </w:tr>
      <w:tr>
        <w:trPr>
          <w:trHeight w:val="80"/>
        </w:trPr>
        <w:tc>
          <w:tcPr>
            <w:tcW w:w="3020" w:type="dxa"/>
            <w:vAlign w:val="bottom"/>
            <w:shd w:val="clear" w:color="auto" w:fill="CCECFF"/>
          </w:tcPr>
          <w:p>
            <w:pPr>
              <w:spacing w:after="0"/>
              <w:rPr>
                <w:sz w:val="6"/>
                <w:szCs w:val="6"/>
                <w:color w:val="auto"/>
              </w:rPr>
            </w:pPr>
          </w:p>
        </w:tc>
        <w:tc>
          <w:tcPr>
            <w:tcW w:w="740" w:type="dxa"/>
            <w:vAlign w:val="bottom"/>
            <w:vMerge w:val="continue"/>
            <w:shd w:val="clear" w:color="auto" w:fill="CCECFF"/>
          </w:tcPr>
          <w:p>
            <w:pPr>
              <w:spacing w:after="0"/>
              <w:rPr>
                <w:sz w:val="6"/>
                <w:szCs w:val="6"/>
                <w:color w:val="auto"/>
              </w:rPr>
            </w:pPr>
          </w:p>
        </w:tc>
        <w:tc>
          <w:tcPr>
            <w:tcW w:w="2440" w:type="dxa"/>
            <w:vAlign w:val="bottom"/>
            <w:vMerge w:val="continue"/>
            <w:shd w:val="clear" w:color="auto" w:fill="CCECFF"/>
          </w:tcPr>
          <w:p>
            <w:pPr>
              <w:spacing w:after="0"/>
              <w:rPr>
                <w:sz w:val="6"/>
                <w:szCs w:val="6"/>
                <w:color w:val="auto"/>
              </w:rPr>
            </w:pPr>
          </w:p>
        </w:tc>
        <w:tc>
          <w:tcPr>
            <w:tcW w:w="1000" w:type="dxa"/>
            <w:vAlign w:val="bottom"/>
            <w:vMerge w:val="continue"/>
            <w:shd w:val="clear" w:color="auto" w:fill="CCECFF"/>
          </w:tcPr>
          <w:p>
            <w:pPr>
              <w:spacing w:after="0"/>
              <w:rPr>
                <w:sz w:val="6"/>
                <w:szCs w:val="6"/>
                <w:color w:val="auto"/>
              </w:rPr>
            </w:pPr>
          </w:p>
        </w:tc>
        <w:tc>
          <w:tcPr>
            <w:tcW w:w="940" w:type="dxa"/>
            <w:vAlign w:val="bottom"/>
            <w:vMerge w:val="continue"/>
            <w:shd w:val="clear" w:color="auto" w:fill="CCECFF"/>
          </w:tcPr>
          <w:p>
            <w:pPr>
              <w:spacing w:after="0"/>
              <w:rPr>
                <w:sz w:val="6"/>
                <w:szCs w:val="6"/>
                <w:color w:val="auto"/>
              </w:rPr>
            </w:pPr>
          </w:p>
        </w:tc>
        <w:tc>
          <w:tcPr>
            <w:tcW w:w="720" w:type="dxa"/>
            <w:vAlign w:val="bottom"/>
            <w:vMerge w:val="continue"/>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600" w:type="dxa"/>
            <w:vAlign w:val="bottom"/>
            <w:vMerge w:val="continue"/>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2/18/2027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12.13 %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SOFR+675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14,210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13,989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14,068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SOFR+643</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15,042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14,997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14,862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10.70 %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11,911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11,935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11.77 %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5/26/2028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12.39 %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SOFR+700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7,481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7,337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7/20/2027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0.00 %</w:t>
            </w:r>
          </w:p>
        </w:tc>
        <w:tc>
          <w:tcPr>
            <w:tcW w:w="9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4,207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OpCo DIP Loans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15.33 %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SOFR+1000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2,097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1,986</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10.63 %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Term Loan</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10.94 %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21"/>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9"/>
              </w:rPr>
              <w:t>Marketplace Events, LLC - Super Priority First Lien Unfunded Term Loan</w:t>
            </w: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9/30/2026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10.94 %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3,782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32"/>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5/14/2026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11,588</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11,476</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4/16/2027</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7,758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7/25/2028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11.32 %</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6,271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6,244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2,372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2,312</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2023 (continued):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8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8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60" w:type="dxa"/>
            <w:vAlign w:val="bottom"/>
          </w:tcPr>
          <w:p>
            <w:pPr>
              <w:jc w:val="center"/>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Par</w:t>
            </w:r>
          </w:p>
        </w:tc>
        <w:tc>
          <w:tcPr>
            <w:tcW w:w="140" w:type="dxa"/>
            <w:vAlign w:val="bottom"/>
          </w:tcPr>
          <w:p>
            <w:pPr>
              <w:spacing w:after="0"/>
              <w:rPr>
                <w:sz w:val="10"/>
                <w:szCs w:val="10"/>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Output Services Group, Inc. </w:t>
            </w:r>
            <w:r>
              <w:rPr>
                <w:rFonts w:ascii="Times New Roman" w:cs="Times New Roman" w:eastAsia="Times New Roman" w:hAnsi="Times New Roman"/>
                <w:sz w:val="12"/>
                <w:szCs w:val="12"/>
                <w:color w:val="auto"/>
                <w:vertAlign w:val="superscript"/>
              </w:rPr>
              <w:t>(4)</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6/27/2026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0.00 %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7,759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7,689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3,893</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3,832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3,834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5/18/2026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SOFR+751</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4,345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Peaquod Merger Sub, Inc.</w:t>
            </w:r>
          </w:p>
        </w:tc>
        <w:tc>
          <w:tcPr>
            <w:tcW w:w="880" w:type="dxa"/>
            <w:vAlign w:val="bottom"/>
            <w:vMerge w:val="restart"/>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12/2/2026</w:t>
            </w:r>
          </w:p>
        </w:tc>
        <w:tc>
          <w:tcPr>
            <w:tcW w:w="24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11,474</w:t>
            </w:r>
          </w:p>
        </w:tc>
        <w:tc>
          <w:tcPr>
            <w:tcW w:w="14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11,244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880" w:type="dxa"/>
            <w:vAlign w:val="bottom"/>
            <w:vMerge w:val="continue"/>
            <w:shd w:val="clear" w:color="auto" w:fill="CCECFF"/>
          </w:tcPr>
          <w:p>
            <w:pPr>
              <w:spacing w:after="0"/>
              <w:rPr>
                <w:sz w:val="8"/>
                <w:szCs w:val="8"/>
                <w:color w:val="auto"/>
              </w:rPr>
            </w:pPr>
          </w:p>
        </w:tc>
        <w:tc>
          <w:tcPr>
            <w:tcW w:w="880" w:type="dxa"/>
            <w:vAlign w:val="bottom"/>
            <w:vMerge w:val="continue"/>
            <w:shd w:val="clear" w:color="auto" w:fill="CCECFF"/>
          </w:tcPr>
          <w:p>
            <w:pPr>
              <w:spacing w:after="0"/>
              <w:rPr>
                <w:sz w:val="8"/>
                <w:szCs w:val="8"/>
                <w:color w:val="auto"/>
              </w:rPr>
            </w:pPr>
          </w:p>
        </w:tc>
        <w:tc>
          <w:tcPr>
            <w:tcW w:w="2420" w:type="dxa"/>
            <w:vAlign w:val="bottom"/>
            <w:vMerge w:val="continue"/>
            <w:shd w:val="clear" w:color="auto" w:fill="CCECFF"/>
          </w:tcPr>
          <w:p>
            <w:pPr>
              <w:spacing w:after="0"/>
              <w:rPr>
                <w:sz w:val="8"/>
                <w:szCs w:val="8"/>
                <w:color w:val="auto"/>
              </w:rPr>
            </w:pPr>
          </w:p>
        </w:tc>
        <w:tc>
          <w:tcPr>
            <w:tcW w:w="940" w:type="dxa"/>
            <w:vAlign w:val="bottom"/>
            <w:vMerge w:val="continue"/>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880" w:type="dxa"/>
            <w:vAlign w:val="bottom"/>
            <w:vMerge w:val="continue"/>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00" w:type="dxa"/>
            <w:vAlign w:val="bottom"/>
            <w:vMerge w:val="continue"/>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620" w:type="dxa"/>
            <w:vAlign w:val="bottom"/>
            <w:vMerge w:val="continue"/>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9/29/2025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10.68 %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9,493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7,974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11/9/2027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SOFR+710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7,565</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7,467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6,809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4.00%)</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5/8/2026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2,551</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2,491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7/6/2028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11,138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10,999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11/19/2026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2,803</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2,776</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12/18/2025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1,029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2/28/2028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4,938</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4,876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4,740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1/29/2026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4,875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12/20/2024</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11.13 %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SOFR+576</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12,432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12,322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10,878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3,749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1/3/2025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SOFR+620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9,522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12/20/2024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SOFR+760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5,167</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5,148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1.00%)</w:t>
            </w: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11,791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11,777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11,407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0.50%)</w:t>
            </w: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6/13/2029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4,950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4,802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12/18/2025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SOFR+865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13,787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13,579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13,580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5/17/2028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1,300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10/14/2025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11,796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11,739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10,598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7/17/2025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4,582</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4,577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4,112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4,047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4,022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12/11/2026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9,075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9,025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8,894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1,786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1,779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8/16/2027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14,738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10.75 %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346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7/18/2025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2,262</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10/31/2025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5,602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5,560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5,518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7/27/2026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5,403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5,382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8/31/2027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7,716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7,656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10.95 %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8,654</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8,556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8,654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6/16/2025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4,316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4/1/2028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14,670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14,565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13,379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6,892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(5)</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SOFR+685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3,521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Revolving Credit</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Facility </w:t>
            </w:r>
            <w:r>
              <w:rPr>
                <w:rFonts w:ascii="Times New Roman" w:cs="Times New Roman" w:eastAsia="Times New Roman" w:hAnsi="Times New Roman"/>
                <w:sz w:val="12"/>
                <w:szCs w:val="12"/>
                <w:color w:val="auto"/>
                <w:vertAlign w:val="superscript"/>
              </w:rPr>
              <w:t>(5)</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11.68 %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(3)(5)</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333</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2/27/2026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10,565</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10,491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10,460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16,732</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16,660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16,188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801,215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783,598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- 3.9%</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1,766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- 1,351.4%</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804,608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785,859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- 133.2%</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8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—1,484.6%</w:t>
            </w:r>
          </w:p>
        </w:tc>
        <w:tc>
          <w:tcPr>
            <w:tcW w:w="880" w:type="dxa"/>
            <w:vAlign w:val="bottom"/>
            <w:tcBorders>
              <w:bottom w:val="single" w:sz="8" w:color="CCECFF"/>
            </w:tcBorders>
            <w:shd w:val="clear" w:color="auto" w:fill="CCECFF"/>
          </w:tcPr>
          <w:p>
            <w:pPr>
              <w:spacing w:after="0"/>
              <w:rPr>
                <w:sz w:val="13"/>
                <w:szCs w:val="13"/>
                <w:color w:val="auto"/>
              </w:rPr>
            </w:pPr>
          </w:p>
        </w:tc>
        <w:tc>
          <w:tcPr>
            <w:tcW w:w="242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882,054</w:t>
            </w:r>
          </w:p>
        </w:tc>
        <w:tc>
          <w:tcPr>
            <w:tcW w:w="20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863,305</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88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(1,384.6)%</w:t>
            </w:r>
          </w:p>
        </w:tc>
        <w:tc>
          <w:tcPr>
            <w:tcW w:w="8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(805,155 )</w:t>
            </w:r>
          </w:p>
        </w:tc>
        <w:tc>
          <w:tcPr>
            <w:tcW w:w="0" w:type="dxa"/>
            <w:vAlign w:val="bottom"/>
          </w:tcPr>
          <w:p>
            <w:pPr>
              <w:spacing w:after="0"/>
              <w:rPr>
                <w:sz w:val="1"/>
                <w:szCs w:val="1"/>
                <w:color w:val="auto"/>
              </w:rPr>
            </w:pPr>
          </w:p>
        </w:tc>
      </w:tr>
      <w:tr>
        <w:trPr>
          <w:trHeight w:val="160"/>
        </w:trPr>
        <w:tc>
          <w:tcPr>
            <w:tcW w:w="288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80" w:type="dxa"/>
            <w:vAlign w:val="bottom"/>
            <w:tcBorders>
              <w:bottom w:val="single" w:sz="8" w:color="CCECFF"/>
            </w:tcBorders>
            <w:shd w:val="clear" w:color="auto" w:fill="CCECFF"/>
          </w:tcPr>
          <w:p>
            <w:pPr>
              <w:spacing w:after="0"/>
              <w:rPr>
                <w:sz w:val="13"/>
                <w:szCs w:val="13"/>
                <w:color w:val="auto"/>
              </w:rPr>
            </w:pPr>
          </w:p>
        </w:tc>
        <w:tc>
          <w:tcPr>
            <w:tcW w:w="242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58,150</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1"/>
          <w:szCs w:val="11"/>
          <w:color w:val="auto"/>
        </w:rPr>
        <w:t>(1)Represents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All securities are subject to a SOFR or Prime rate floor where a spread is provided, unless noted. The spread provided includes PIK interest and other fee rates, if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(2)Valued based on PSSL’s accounting policy.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(3)Represents the purchase of a security with a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(4)Security currently on interest non-accrual status.</w:t>
      </w:r>
    </w:p>
    <w:p>
      <w:pPr>
        <w:spacing w:after="0" w:line="3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0"/>
          <w:szCs w:val="10"/>
          <w:color w:val="auto"/>
        </w:rPr>
        <w:t>(5)The securities, or a portion thereof, are not 1) pledged as collateral under the Credit Facility and held through Funding I; or, 2) securing the 2032 Asset-Backed Debt and held through PennantPark CLO II, Ltd., or, 3) securing the 2035 Asset-Backed Debt and held through PennantPark CLO VI,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(6)All investments are in US Companies unless noted otherwise.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PSSL (in thousands):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24"/>
                <w:szCs w:val="24"/>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52"/>
        </w:trPr>
        <w:tc>
          <w:tcPr>
            <w:tcW w:w="72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cost—$928,983 and $804,608, respectively)</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913,281</w:t>
            </w:r>
          </w:p>
        </w:tc>
        <w:tc>
          <w:tcPr>
            <w:tcW w:w="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785,859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(cost—$68,429 and $77,446, respectively)</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68,429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2032 Asset-backed debt, net (par—$0 and $246,000)</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243,973</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 and $246,000, respectively)</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243,934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243,483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2036 Asset-backed debt, net (par—$246,000 and $0, respectively)</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244,372</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13,466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9,281</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14,291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to affiliate</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2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923,575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Commitments and contingencies </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64,547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24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As of both September 30, 2024 and 2023, PSSL had $0.6 million and $1.1 million unfunded commitments to fund investments,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PSSL (in thousands):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8"/>
        </w:trPr>
        <w:tc>
          <w:tcPr>
            <w:tcW w:w="7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56"/>
        </w:trPr>
        <w:tc>
          <w:tcPr>
            <w:tcW w:w="7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0"/>
        </w:trPr>
        <w:tc>
          <w:tcPr>
            <w:tcW w:w="7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56"/>
        </w:trPr>
        <w:tc>
          <w:tcPr>
            <w:tcW w:w="7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109,094</w:t>
            </w:r>
          </w:p>
        </w:tc>
        <w:tc>
          <w:tcPr>
            <w:tcW w:w="2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89,547</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110,285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90,844</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and expenses on credit facility and asset-backed debt</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54,814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42,797</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34,186</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30,325</w:t>
            </w: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line="156" w:lineRule="exact"/>
              <w:rPr>
                <w:sz w:val="20"/>
                <w:szCs w:val="20"/>
                <w:color w:val="auto"/>
              </w:rPr>
            </w:pPr>
            <w:r>
              <w:rPr>
                <w:rFonts w:ascii="Times New Roman" w:cs="Times New Roman" w:eastAsia="Times New Roman" w:hAnsi="Times New Roman"/>
                <w:sz w:val="13"/>
                <w:szCs w:val="13"/>
                <w:color w:val="auto"/>
              </w:rPr>
              <w:t xml:space="preserve">Other general and administrative expenses </w:t>
            </w:r>
            <w:r>
              <w:rPr>
                <w:rFonts w:ascii="Times New Roman" w:cs="Times New Roman" w:eastAsia="Times New Roman" w:hAnsi="Times New Roman"/>
                <w:sz w:val="16"/>
                <w:szCs w:val="16"/>
                <w:color w:val="auto"/>
                <w:vertAlign w:val="superscript"/>
              </w:rPr>
              <w:t>(1)</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debt issuance costs</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92,818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76,341</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Debt issuance costs</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93,817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76,341</w:t>
            </w: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16,468</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14,503</w:t>
            </w:r>
          </w:p>
        </w:tc>
        <w:tc>
          <w:tcPr>
            <w:tcW w:w="80" w:type="dxa"/>
            <w:vAlign w:val="bottom"/>
            <w:shd w:val="clear" w:color="auto" w:fill="CCECFF"/>
          </w:tcPr>
          <w:p>
            <w:pPr>
              <w:spacing w:after="0"/>
              <w:rPr>
                <w:sz w:val="13"/>
                <w:szCs w:val="13"/>
                <w:color w:val="auto"/>
              </w:rPr>
            </w:pPr>
          </w:p>
        </w:tc>
      </w:tr>
      <w:tr>
        <w:trPr>
          <w:trHeight w:val="156"/>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(loss) gain on investments and debt: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(loss) gain on investments</w:t>
            </w:r>
          </w:p>
        </w:tc>
        <w:tc>
          <w:tcPr>
            <w:tcW w:w="200" w:type="dxa"/>
            <w:vAlign w:val="bottom"/>
            <w:shd w:val="clear" w:color="auto" w:fill="CCECFF"/>
          </w:tcPr>
          <w:p>
            <w:pPr>
              <w:spacing w:after="0"/>
              <w:rPr>
                <w:sz w:val="13"/>
                <w:szCs w:val="13"/>
                <w:color w:val="auto"/>
              </w:rPr>
            </w:pPr>
          </w:p>
        </w:tc>
        <w:tc>
          <w:tcPr>
            <w:tcW w:w="15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(8,914 )</w:t>
            </w:r>
          </w:p>
        </w:tc>
        <w:tc>
          <w:tcPr>
            <w:tcW w:w="18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(6,328 )</w:t>
            </w:r>
          </w:p>
        </w:tc>
      </w:tr>
      <w:tr>
        <w:trPr>
          <w:trHeight w:val="156"/>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extinguishment</w:t>
            </w:r>
          </w:p>
        </w:tc>
        <w:tc>
          <w:tcPr>
            <w:tcW w:w="20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(705 )</w:t>
            </w:r>
          </w:p>
        </w:tc>
        <w:tc>
          <w:tcPr>
            <w:tcW w:w="18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(depreciation) appreciation on investments</w:t>
            </w:r>
          </w:p>
        </w:tc>
        <w:tc>
          <w:tcPr>
            <w:tcW w:w="2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3,048</w:t>
            </w:r>
          </w:p>
        </w:tc>
        <w:tc>
          <w:tcPr>
            <w:tcW w:w="2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(3,171 )</w:t>
            </w:r>
          </w:p>
        </w:tc>
      </w:tr>
      <w:tr>
        <w:trPr>
          <w:trHeight w:val="156"/>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 and debt</w:t>
            </w:r>
          </w:p>
        </w:tc>
        <w:tc>
          <w:tcPr>
            <w:tcW w:w="20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(6,571 )</w:t>
            </w:r>
          </w:p>
        </w:tc>
        <w:tc>
          <w:tcPr>
            <w:tcW w:w="180" w:type="dxa"/>
            <w:vAlign w:val="bottom"/>
          </w:tcPr>
          <w:p>
            <w:pPr>
              <w:spacing w:after="0"/>
              <w:rPr>
                <w:sz w:val="13"/>
                <w:szCs w:val="13"/>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(9,499 )</w:t>
            </w:r>
          </w:p>
        </w:tc>
      </w:tr>
      <w:tr>
        <w:trPr>
          <w:trHeight w:val="196"/>
        </w:trPr>
        <w:tc>
          <w:tcPr>
            <w:tcW w:w="73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9,897</w:t>
            </w:r>
          </w:p>
        </w:tc>
        <w:tc>
          <w:tcPr>
            <w:tcW w:w="28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5,004</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No management or incentive fees are payable by PSSL. If any fees were to be charged, they would be separately disclosed in the Consolidated Statements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2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2036 Asset-Backed Debt, 2036-R Asset-Backed Debt, 2031 Asset-Backed Debt, 2023 Notes and the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91"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94"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94"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76"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2023 Notes, our 2026 Notes, our 2031 Asset-Backed Debt, our 2036 Asset-Backed Debt, our 2036 -R Asset-Backed Debt and the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8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94"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remainder of our investment portfolio and our long- 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 ($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 at September 30,</w:t>
            </w:r>
          </w:p>
        </w:tc>
        <w:tc>
          <w:tcPr>
            <w:tcW w:w="2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rPr>
                <w:sz w:val="1"/>
                <w:szCs w:val="1"/>
                <w:color w:val="auto"/>
              </w:rPr>
            </w:pPr>
          </w:p>
        </w:tc>
      </w:tr>
      <w:tr>
        <w:trPr>
          <w:trHeight w:val="181"/>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380" w:type="dxa"/>
            <w:vAlign w:val="bottom"/>
          </w:tcPr>
          <w:p>
            <w:pPr>
              <w:spacing w:after="0"/>
              <w:rPr>
                <w:sz w:val="15"/>
                <w:szCs w:val="15"/>
                <w:color w:val="auto"/>
              </w:rPr>
            </w:pPr>
          </w:p>
        </w:tc>
        <w:tc>
          <w:tcPr>
            <w:tcW w:w="128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4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56"/>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132,197</w:t>
            </w:r>
          </w:p>
        </w:tc>
        <w:tc>
          <w:tcPr>
            <w:tcW w:w="204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1,589,437</w:t>
            </w:r>
          </w:p>
        </w:tc>
        <w:tc>
          <w:tcPr>
            <w:tcW w:w="204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7.9% - 21.1% (9.1%)</w:t>
            </w:r>
          </w:p>
        </w:tc>
        <w:tc>
          <w:tcPr>
            <w:tcW w:w="0" w:type="dxa"/>
            <w:vAlign w:val="bottom"/>
          </w:tcPr>
          <w:p>
            <w:pPr>
              <w:spacing w:after="0"/>
              <w:rPr>
                <w:sz w:val="1"/>
                <w:szCs w:val="1"/>
                <w:color w:val="auto"/>
              </w:rPr>
            </w:pPr>
          </w:p>
        </w:tc>
      </w:tr>
      <w:tr>
        <w:trPr>
          <w:trHeight w:val="156"/>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25,063</w:t>
            </w:r>
          </w:p>
        </w:tc>
        <w:tc>
          <w:tcPr>
            <w:tcW w:w="204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0.8x - 9.8x (3.4x)</w:t>
            </w:r>
          </w:p>
        </w:tc>
        <w:tc>
          <w:tcPr>
            <w:tcW w:w="0" w:type="dxa"/>
            <w:vAlign w:val="bottom"/>
          </w:tcPr>
          <w:p>
            <w:pPr>
              <w:spacing w:after="0"/>
              <w:rPr>
                <w:sz w:val="1"/>
                <w:szCs w:val="1"/>
                <w:color w:val="auto"/>
              </w:rPr>
            </w:pPr>
          </w:p>
        </w:tc>
      </w:tr>
      <w:tr>
        <w:trPr>
          <w:trHeight w:val="15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204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11.8% - 16.5% (14.0%)</w:t>
            </w:r>
          </w:p>
        </w:tc>
        <w:tc>
          <w:tcPr>
            <w:tcW w:w="0" w:type="dxa"/>
            <w:vAlign w:val="bottom"/>
          </w:tcPr>
          <w:p>
            <w:pPr>
              <w:spacing w:after="0"/>
              <w:rPr>
                <w:sz w:val="1"/>
                <w:szCs w:val="1"/>
                <w:color w:val="auto"/>
              </w:rPr>
            </w:pPr>
          </w:p>
        </w:tc>
      </w:tr>
      <w:tr>
        <w:trPr>
          <w:trHeight w:val="156"/>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8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4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5x</w:t>
            </w:r>
          </w:p>
        </w:tc>
        <w:tc>
          <w:tcPr>
            <w:tcW w:w="0" w:type="dxa"/>
            <w:vAlign w:val="bottom"/>
          </w:tcPr>
          <w:p>
            <w:pPr>
              <w:spacing w:after="0"/>
              <w:rPr>
                <w:sz w:val="1"/>
                <w:szCs w:val="1"/>
                <w:color w:val="auto"/>
              </w:rPr>
            </w:pPr>
          </w:p>
        </w:tc>
      </w:tr>
      <w:tr>
        <w:trPr>
          <w:trHeight w:val="15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168,450</w:t>
            </w:r>
          </w:p>
        </w:tc>
        <w:tc>
          <w:tcPr>
            <w:tcW w:w="204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0.4x - 18.8x (11.0x)</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380" w:type="dxa"/>
            <w:vAlign w:val="bottom"/>
            <w:tcBorders>
              <w:bottom w:val="single" w:sz="8" w:color="auto"/>
            </w:tcBorders>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2040" w:type="dxa"/>
            <w:vAlign w:val="bottom"/>
            <w:tcBorders>
              <w:bottom w:val="single" w:sz="8" w:color="CCECFF"/>
            </w:tcBorders>
            <w:shd w:val="clear" w:color="auto" w:fill="CCECFF"/>
          </w:tcPr>
          <w:p>
            <w:pPr>
              <w:spacing w:after="0"/>
              <w:rPr>
                <w:sz w:val="17"/>
                <w:szCs w:val="17"/>
                <w:color w:val="auto"/>
              </w:rPr>
            </w:pPr>
          </w:p>
        </w:tc>
        <w:tc>
          <w:tcPr>
            <w:tcW w:w="2080" w:type="dxa"/>
            <w:vAlign w:val="bottom"/>
            <w:tcBorders>
              <w:bottom w:val="single" w:sz="8" w:color="CCECFF"/>
            </w:tcBorders>
            <w:shd w:val="clear" w:color="auto" w:fill="CCECFF"/>
          </w:tcPr>
          <w:p>
            <w:pPr>
              <w:spacing w:after="0"/>
              <w:rPr>
                <w:sz w:val="17"/>
                <w:szCs w:val="17"/>
                <w:color w:val="auto"/>
              </w:rPr>
            </w:pPr>
          </w:p>
        </w:tc>
        <w:tc>
          <w:tcPr>
            <w:tcW w:w="176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0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Long-Term Credit Facility</w:t>
            </w:r>
          </w:p>
        </w:tc>
        <w:tc>
          <w:tcPr>
            <w:tcW w:w="380" w:type="dxa"/>
            <w:vAlign w:val="bottom"/>
            <w:tcBorders>
              <w:bottom w:val="single" w:sz="8" w:color="auto"/>
            </w:tcBorders>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443,880</w:t>
            </w:r>
          </w:p>
        </w:tc>
        <w:tc>
          <w:tcPr>
            <w:tcW w:w="2040" w:type="dxa"/>
            <w:vAlign w:val="bottom"/>
          </w:tcPr>
          <w:p>
            <w:pPr>
              <w:jc w:val="center"/>
              <w:ind w:left="154"/>
              <w:spacing w:after="0" w:line="133" w:lineRule="exact"/>
              <w:rPr>
                <w:sz w:val="20"/>
                <w:szCs w:val="20"/>
                <w:color w:val="auto"/>
              </w:rPr>
            </w:pPr>
            <w:r>
              <w:rPr>
                <w:rFonts w:ascii="Times New Roman" w:cs="Times New Roman" w:eastAsia="Times New Roman" w:hAnsi="Times New Roman"/>
                <w:sz w:val="13"/>
                <w:szCs w:val="13"/>
                <w:color w:val="auto"/>
              </w:rPr>
              <w:t>Market Comparable</w:t>
            </w:r>
          </w:p>
        </w:tc>
        <w:tc>
          <w:tcPr>
            <w:tcW w:w="20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Market Yield</w:t>
            </w:r>
          </w:p>
        </w:tc>
        <w:tc>
          <w:tcPr>
            <w:tcW w:w="17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jc w:val="right"/>
              <w:ind w:right="1294"/>
              <w:spacing w:after="0"/>
              <w:rPr>
                <w:sz w:val="20"/>
                <w:szCs w:val="20"/>
                <w:color w:val="auto"/>
              </w:rPr>
            </w:pPr>
            <w:r>
              <w:rPr>
                <w:rFonts w:ascii="Times New Roman" w:cs="Times New Roman" w:eastAsia="Times New Roman" w:hAnsi="Times New Roman"/>
                <w:sz w:val="13"/>
                <w:szCs w:val="13"/>
                <w:color w:val="auto"/>
              </w:rPr>
              <w:t>97</w:t>
            </w: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30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2040" w:type="dxa"/>
            <w:vAlign w:val="bottom"/>
            <w:tcBorders>
              <w:bottom w:val="single" w:sz="8" w:color="EEEEEE"/>
            </w:tcBorders>
          </w:tcPr>
          <w:p>
            <w:pPr>
              <w:spacing w:after="0"/>
              <w:rPr>
                <w:sz w:val="24"/>
                <w:szCs w:val="24"/>
                <w:color w:val="auto"/>
              </w:rPr>
            </w:pPr>
          </w:p>
        </w:tc>
        <w:tc>
          <w:tcPr>
            <w:tcW w:w="208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 at September 30,</w:t>
            </w:r>
          </w:p>
        </w:tc>
        <w:tc>
          <w:tcPr>
            <w:tcW w:w="2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81"/>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380" w:type="dxa"/>
            <w:vAlign w:val="bottom"/>
          </w:tcPr>
          <w:p>
            <w:pPr>
              <w:spacing w:after="0"/>
              <w:rPr>
                <w:sz w:val="15"/>
                <w:szCs w:val="15"/>
                <w:color w:val="auto"/>
              </w:rPr>
            </w:pP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8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800" w:type="dxa"/>
            <w:vAlign w:val="bottom"/>
          </w:tcPr>
          <w:p>
            <w:pPr>
              <w:jc w:val="center"/>
              <w:ind w:left="74"/>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44"/>
        </w:trPr>
        <w:tc>
          <w:tcPr>
            <w:tcW w:w="3300" w:type="dxa"/>
            <w:vAlign w:val="bottom"/>
            <w:shd w:val="clear" w:color="auto" w:fill="CCECFF"/>
          </w:tcPr>
          <w:p>
            <w:pPr>
              <w:ind w:left="20"/>
              <w:spacing w:after="0" w:line="144" w:lineRule="exact"/>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760" w:type="dxa"/>
            <w:vAlign w:val="bottom"/>
            <w:shd w:val="clear" w:color="auto" w:fill="CCECFF"/>
          </w:tcPr>
          <w:p>
            <w:pPr>
              <w:ind w:left="360"/>
              <w:spacing w:after="0" w:line="144" w:lineRule="exact"/>
              <w:rPr>
                <w:sz w:val="20"/>
                <w:szCs w:val="20"/>
                <w:color w:val="auto"/>
              </w:rPr>
            </w:pPr>
            <w:r>
              <w:rPr>
                <w:rFonts w:ascii="Times New Roman" w:cs="Times New Roman" w:eastAsia="Times New Roman" w:hAnsi="Times New Roman"/>
                <w:sz w:val="13"/>
                <w:szCs w:val="13"/>
                <w:color w:val="auto"/>
              </w:rPr>
              <w:t>Broker/Dealer bids</w:t>
            </w:r>
          </w:p>
        </w:tc>
        <w:tc>
          <w:tcPr>
            <w:tcW w:w="1800" w:type="dxa"/>
            <w:vAlign w:val="bottom"/>
            <w:shd w:val="clear" w:color="auto" w:fill="CCECFF"/>
          </w:tcPr>
          <w:p>
            <w:pPr>
              <w:spacing w:after="0"/>
              <w:rPr>
                <w:sz w:val="12"/>
                <w:szCs w:val="12"/>
                <w:color w:val="auto"/>
              </w:rPr>
            </w:pPr>
          </w:p>
        </w:tc>
      </w:tr>
      <w:tr>
        <w:trPr>
          <w:trHeight w:val="168"/>
        </w:trPr>
        <w:tc>
          <w:tcPr>
            <w:tcW w:w="3300" w:type="dxa"/>
            <w:vAlign w:val="bottom"/>
            <w:shd w:val="clear" w:color="auto" w:fill="CCECFF"/>
          </w:tcPr>
          <w:p>
            <w:pPr>
              <w:spacing w:after="0"/>
              <w:rPr>
                <w:sz w:val="14"/>
                <w:szCs w:val="14"/>
                <w:color w:val="auto"/>
              </w:rPr>
            </w:pPr>
          </w:p>
        </w:tc>
        <w:tc>
          <w:tcPr>
            <w:tcW w:w="380" w:type="dxa"/>
            <w:vAlign w:val="bottom"/>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25,521</w:t>
            </w:r>
          </w:p>
        </w:tc>
        <w:tc>
          <w:tcPr>
            <w:tcW w:w="208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Market Comparable</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or quotes</w:t>
            </w:r>
          </w:p>
        </w:tc>
        <w:tc>
          <w:tcPr>
            <w:tcW w:w="1800" w:type="dxa"/>
            <w:vAlign w:val="bottom"/>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875,133</w:t>
            </w:r>
          </w:p>
        </w:tc>
        <w:tc>
          <w:tcPr>
            <w:tcW w:w="2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Market Comparable</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8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10.0% - 25.0% (12.6%)</w:t>
            </w:r>
          </w:p>
        </w:tc>
      </w:tr>
      <w:tr>
        <w:trPr>
          <w:trHeight w:val="156"/>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5,512</w:t>
            </w:r>
          </w:p>
        </w:tc>
        <w:tc>
          <w:tcPr>
            <w:tcW w:w="208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Enterprise Market Value</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180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2.8x - 7.5x (7.4x)</w:t>
            </w: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Market Comparable</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8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14.8%</w:t>
            </w:r>
          </w:p>
        </w:tc>
      </w:tr>
      <w:tr>
        <w:trPr>
          <w:trHeight w:val="156"/>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8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Enterprise Market Value</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1800" w:type="dxa"/>
            <w:vAlign w:val="bottom"/>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6.0x</w:t>
            </w: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100,489</w:t>
            </w:r>
          </w:p>
        </w:tc>
        <w:tc>
          <w:tcPr>
            <w:tcW w:w="2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Enterprise Market Value</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18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3.4x - 17.7x (12.1x)</w:t>
            </w:r>
          </w:p>
        </w:tc>
      </w:tr>
      <w:tr>
        <w:trPr>
          <w:trHeight w:val="156"/>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8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08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Enterprise Market Value</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DLOM</w:t>
            </w:r>
          </w:p>
        </w:tc>
        <w:tc>
          <w:tcPr>
            <w:tcW w:w="180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27.9%</w:t>
            </w:r>
          </w:p>
        </w:tc>
      </w:tr>
      <w:tr>
        <w:trPr>
          <w:trHeight w:val="156"/>
        </w:trPr>
        <w:tc>
          <w:tcPr>
            <w:tcW w:w="3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20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0"/>
        </w:trPr>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72"/>
        </w:trPr>
        <w:tc>
          <w:tcPr>
            <w:tcW w:w="330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Long-Term Credit Facility and 2023 Notes</w:t>
            </w:r>
          </w:p>
        </w:tc>
        <w:tc>
          <w:tcPr>
            <w:tcW w:w="380" w:type="dxa"/>
            <w:vAlign w:val="bottom"/>
            <w:tcBorders>
              <w:bottom w:val="single" w:sz="8" w:color="auto"/>
            </w:tcBorders>
            <w:shd w:val="clear" w:color="auto" w:fill="CCECFF"/>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85,619</w:t>
            </w:r>
          </w:p>
        </w:tc>
        <w:tc>
          <w:tcPr>
            <w:tcW w:w="2080" w:type="dxa"/>
            <w:vAlign w:val="bottom"/>
            <w:tcBorders>
              <w:bottom w:val="single" w:sz="8" w:color="CCECFF"/>
            </w:tcBorders>
            <w:shd w:val="clear" w:color="auto" w:fill="CCECFF"/>
          </w:tcPr>
          <w:p>
            <w:pPr>
              <w:jc w:val="center"/>
              <w:ind w:left="74"/>
              <w:spacing w:after="0" w:line="133" w:lineRule="exact"/>
              <w:rPr>
                <w:sz w:val="20"/>
                <w:szCs w:val="20"/>
                <w:color w:val="auto"/>
              </w:rPr>
            </w:pPr>
            <w:r>
              <w:rPr>
                <w:rFonts w:ascii="Times New Roman" w:cs="Times New Roman" w:eastAsia="Times New Roman" w:hAnsi="Times New Roman"/>
                <w:sz w:val="13"/>
                <w:szCs w:val="13"/>
                <w:color w:val="auto"/>
              </w:rPr>
              <w:t>Market Comparable</w:t>
            </w:r>
          </w:p>
        </w:tc>
        <w:tc>
          <w:tcPr>
            <w:tcW w:w="1760" w:type="dxa"/>
            <w:vAlign w:val="bottom"/>
            <w:tcBorders>
              <w:bottom w:val="single" w:sz="8" w:color="CCECFF"/>
            </w:tcBorders>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Market Yield</w:t>
            </w:r>
          </w:p>
        </w:tc>
        <w:tc>
          <w:tcPr>
            <w:tcW w:w="1800" w:type="dxa"/>
            <w:vAlign w:val="bottom"/>
            <w:tcBorders>
              <w:bottom w:val="single" w:sz="8" w:color="CCECFF"/>
            </w:tcBorders>
            <w:shd w:val="clear" w:color="auto" w:fill="CCECFF"/>
          </w:tcPr>
          <w:p>
            <w:pPr>
              <w:jc w:val="center"/>
              <w:ind w:left="54"/>
              <w:spacing w:after="0" w:line="133" w:lineRule="exact"/>
              <w:rPr>
                <w:sz w:val="20"/>
                <w:szCs w:val="20"/>
                <w:color w:val="auto"/>
              </w:rPr>
            </w:pPr>
            <w:r>
              <w:rPr>
                <w:rFonts w:ascii="Times New Roman" w:cs="Times New Roman" w:eastAsia="Times New Roman" w:hAnsi="Times New Roman"/>
                <w:sz w:val="13"/>
                <w:szCs w:val="13"/>
                <w:color w:val="auto"/>
              </w:rPr>
              <w:t>2.3%</w:t>
            </w: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107"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Our investments, cash and cash equivalents, Credit Facility, as applicable, 2023 Notes, 2026 Notes, 2031 Asset-Backed Debt, 2036-R Asset-Backed Debt, and 2036 Asset-Backed Debt were categorized as follows in the fair value hierarchy for ASC 820 purposes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6"/>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Fair Value at September 30, 2024</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0" w:type="dxa"/>
            <w:vAlign w:val="bottom"/>
          </w:tcPr>
          <w:p>
            <w:pPr>
              <w:spacing w:after="0"/>
              <w:rPr>
                <w:sz w:val="15"/>
                <w:szCs w:val="15"/>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Asset Value </w:t>
            </w:r>
            <w:r>
              <w:rPr>
                <w:rFonts w:ascii="Times New Roman" w:cs="Times New Roman" w:eastAsia="Times New Roman" w:hAnsi="Times New Roman"/>
                <w:sz w:val="16"/>
                <w:szCs w:val="16"/>
                <w:b w:val="1"/>
                <w:bCs w:val="1"/>
                <w:color w:val="auto"/>
                <w:w w:val="98"/>
                <w:vertAlign w:val="superscript"/>
              </w:rPr>
              <w:t>(1)</w:t>
            </w:r>
          </w:p>
        </w:tc>
        <w:tc>
          <w:tcPr>
            <w:tcW w:w="0" w:type="dxa"/>
            <w:vAlign w:val="bottom"/>
          </w:tcPr>
          <w:p>
            <w:pPr>
              <w:spacing w:after="0"/>
              <w:rPr>
                <w:sz w:val="1"/>
                <w:szCs w:val="1"/>
                <w:color w:val="auto"/>
              </w:rPr>
            </w:pPr>
          </w:p>
        </w:tc>
      </w:tr>
      <w:tr>
        <w:trPr>
          <w:trHeight w:val="156"/>
        </w:trPr>
        <w:tc>
          <w:tcPr>
            <w:tcW w:w="3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80" w:type="dxa"/>
            <w:vAlign w:val="bottom"/>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1,746,697</w:t>
            </w:r>
          </w:p>
        </w:tc>
        <w:tc>
          <w:tcPr>
            <w:tcW w:w="460" w:type="dxa"/>
            <w:vAlign w:val="bottom"/>
            <w:gridSpan w:val="2"/>
            <w:shd w:val="clear" w:color="auto" w:fill="CCECFF"/>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1,746,697</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234,115</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168,450</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65,665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1,983,504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2,095,554</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4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Credit Facility payable</w:t>
            </w:r>
          </w:p>
        </w:tc>
        <w:tc>
          <w:tcPr>
            <w:tcW w:w="180" w:type="dxa"/>
            <w:vAlign w:val="bottom"/>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443,880</w:t>
            </w:r>
          </w:p>
        </w:tc>
        <w:tc>
          <w:tcPr>
            <w:tcW w:w="24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443,880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2026 Notes payable </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4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2036 Asset-Backed Debt</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284,086</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284,086</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2036-R Asset-Backed Debt</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265,235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265,235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Borders>
              <w:bottom w:val="single" w:sz="8" w:color="auto"/>
            </w:tcBorders>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1,177,033</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993,201</w:t>
            </w:r>
          </w:p>
        </w:tc>
        <w:tc>
          <w:tcPr>
            <w:tcW w:w="2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PSSL and PTSF are measured using the net asset value per share (or its equivalent) as a practical expedient for fair value in accordance with the specialized accounting guidance for investment companies, and thus have not been classified in the fair value hierarchy.</w:t>
      </w:r>
    </w:p>
    <w:p>
      <w:pPr>
        <w:spacing w:after="0" w:line="1" w:lineRule="exact"/>
        <w:rPr>
          <w:sz w:val="20"/>
          <w:szCs w:val="20"/>
          <w:color w:val="auto"/>
        </w:rPr>
      </w:pPr>
    </w:p>
    <w:p>
      <w:pPr>
        <w:ind w:right="80"/>
        <w:spacing w:after="0" w:line="203"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We elected not to apply the fair value option allowed by ASC 825-10 to the 2026 Notes, the 2036 Asset-Backed Debt, and the 2036-R Asset-Backed Debt and thus the balance reported in the Consolidated Statement of Assets and Liabilities represents the carrying value, which approximates the fair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6"/>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0" w:type="dxa"/>
            <w:vAlign w:val="bottom"/>
          </w:tcPr>
          <w:p>
            <w:pPr>
              <w:spacing w:after="0"/>
              <w:rPr>
                <w:sz w:val="15"/>
                <w:szCs w:val="15"/>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Asset Value </w:t>
            </w:r>
            <w:r>
              <w:rPr>
                <w:rFonts w:ascii="Times New Roman" w:cs="Times New Roman" w:eastAsia="Times New Roman" w:hAnsi="Times New Roman"/>
                <w:sz w:val="16"/>
                <w:szCs w:val="16"/>
                <w:b w:val="1"/>
                <w:bCs w:val="1"/>
                <w:color w:val="auto"/>
                <w:w w:val="98"/>
                <w:vertAlign w:val="superscript"/>
              </w:rPr>
              <w:t>(1)</w:t>
            </w:r>
          </w:p>
        </w:tc>
        <w:tc>
          <w:tcPr>
            <w:tcW w:w="0" w:type="dxa"/>
            <w:vAlign w:val="bottom"/>
          </w:tcPr>
          <w:p>
            <w:pPr>
              <w:spacing w:after="0"/>
              <w:rPr>
                <w:sz w:val="1"/>
                <w:szCs w:val="1"/>
                <w:color w:val="auto"/>
              </w:rPr>
            </w:pPr>
          </w:p>
        </w:tc>
      </w:tr>
      <w:tr>
        <w:trPr>
          <w:trHeight w:val="172"/>
        </w:trPr>
        <w:tc>
          <w:tcPr>
            <w:tcW w:w="3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80" w:type="dxa"/>
            <w:vAlign w:val="bottom"/>
            <w:vMerge w:val="restart"/>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906,166</w:t>
            </w:r>
          </w:p>
        </w:tc>
        <w:tc>
          <w:tcPr>
            <w:tcW w:w="460" w:type="dxa"/>
            <w:vAlign w:val="bottom"/>
            <w:gridSpan w:val="2"/>
            <w:vMerge w:val="restart"/>
            <w:shd w:val="clear" w:color="auto" w:fill="CCECFF"/>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restart"/>
            <w:shd w:val="clear" w:color="auto" w:fill="CCECFF"/>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restart"/>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906,166</w:t>
            </w:r>
          </w:p>
        </w:tc>
        <w:tc>
          <w:tcPr>
            <w:tcW w:w="3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640" w:type="dxa"/>
            <w:vAlign w:val="bottom"/>
            <w:shd w:val="clear" w:color="auto" w:fill="CCECFF"/>
          </w:tcPr>
          <w:p>
            <w:pPr>
              <w:spacing w:after="0"/>
              <w:rPr>
                <w:sz w:val="11"/>
                <w:szCs w:val="11"/>
                <w:color w:val="auto"/>
              </w:rPr>
            </w:pPr>
          </w:p>
        </w:tc>
        <w:tc>
          <w:tcPr>
            <w:tcW w:w="180" w:type="dxa"/>
            <w:vAlign w:val="bottom"/>
            <w:vMerge w:val="continue"/>
            <w:shd w:val="clear" w:color="auto" w:fill="CCECFF"/>
          </w:tcPr>
          <w:p>
            <w:pPr>
              <w:spacing w:after="0"/>
              <w:rPr>
                <w:sz w:val="11"/>
                <w:szCs w:val="11"/>
                <w:color w:val="auto"/>
              </w:rPr>
            </w:pPr>
          </w:p>
        </w:tc>
        <w:tc>
          <w:tcPr>
            <w:tcW w:w="1020" w:type="dxa"/>
            <w:vAlign w:val="bottom"/>
            <w:vMerge w:val="continue"/>
            <w:shd w:val="clear" w:color="auto" w:fill="CCECFF"/>
          </w:tcPr>
          <w:p>
            <w:pPr>
              <w:spacing w:after="0"/>
              <w:rPr>
                <w:sz w:val="11"/>
                <w:szCs w:val="11"/>
                <w:color w:val="auto"/>
              </w:rPr>
            </w:pPr>
          </w:p>
        </w:tc>
        <w:tc>
          <w:tcPr>
            <w:tcW w:w="460" w:type="dxa"/>
            <w:vAlign w:val="bottom"/>
            <w:gridSpan w:val="2"/>
            <w:vMerge w:val="continue"/>
            <w:shd w:val="clear" w:color="auto" w:fill="CCECFF"/>
          </w:tcPr>
          <w:p>
            <w:pPr>
              <w:spacing w:after="0"/>
              <w:rPr>
                <w:sz w:val="11"/>
                <w:szCs w:val="11"/>
                <w:color w:val="auto"/>
              </w:rPr>
            </w:pPr>
          </w:p>
        </w:tc>
        <w:tc>
          <w:tcPr>
            <w:tcW w:w="980" w:type="dxa"/>
            <w:vAlign w:val="bottom"/>
            <w:vMerge w:val="continue"/>
            <w:shd w:val="clear" w:color="auto" w:fill="CCECFF"/>
          </w:tcPr>
          <w:p>
            <w:pPr>
              <w:spacing w:after="0"/>
              <w:rPr>
                <w:sz w:val="11"/>
                <w:szCs w:val="11"/>
                <w:color w:val="auto"/>
              </w:rPr>
            </w:pPr>
          </w:p>
        </w:tc>
        <w:tc>
          <w:tcPr>
            <w:tcW w:w="460" w:type="dxa"/>
            <w:vAlign w:val="bottom"/>
            <w:gridSpan w:val="2"/>
            <w:vMerge w:val="continue"/>
            <w:shd w:val="clear" w:color="auto" w:fill="CCECFF"/>
          </w:tcPr>
          <w:p>
            <w:pPr>
              <w:spacing w:after="0"/>
              <w:rPr>
                <w:sz w:val="11"/>
                <w:szCs w:val="11"/>
                <w:color w:val="auto"/>
              </w:rPr>
            </w:pPr>
          </w:p>
        </w:tc>
        <w:tc>
          <w:tcPr>
            <w:tcW w:w="940" w:type="dxa"/>
            <w:vAlign w:val="bottom"/>
            <w:vMerge w:val="continue"/>
            <w:shd w:val="clear" w:color="auto" w:fill="CCECFF"/>
          </w:tcPr>
          <w:p>
            <w:pPr>
              <w:spacing w:after="0"/>
              <w:rPr>
                <w:sz w:val="11"/>
                <w:szCs w:val="11"/>
                <w:color w:val="auto"/>
              </w:rPr>
            </w:pPr>
          </w:p>
        </w:tc>
        <w:tc>
          <w:tcPr>
            <w:tcW w:w="460" w:type="dxa"/>
            <w:vAlign w:val="bottom"/>
            <w:gridSpan w:val="2"/>
            <w:vMerge w:val="continue"/>
            <w:shd w:val="clear" w:color="auto" w:fill="CCECFF"/>
          </w:tcPr>
          <w:p>
            <w:pPr>
              <w:spacing w:after="0"/>
              <w:rPr>
                <w:sz w:val="11"/>
                <w:szCs w:val="11"/>
                <w:color w:val="auto"/>
              </w:rPr>
            </w:pPr>
          </w:p>
        </w:tc>
        <w:tc>
          <w:tcPr>
            <w:tcW w:w="940" w:type="dxa"/>
            <w:vAlign w:val="bottom"/>
            <w:vMerge w:val="continue"/>
            <w:shd w:val="clear" w:color="auto" w:fill="CCECFF"/>
          </w:tcPr>
          <w:p>
            <w:pPr>
              <w:spacing w:after="0"/>
              <w:rPr>
                <w:sz w:val="11"/>
                <w:szCs w:val="11"/>
                <w:color w:val="auto"/>
              </w:rPr>
            </w:pPr>
          </w:p>
        </w:tc>
        <w:tc>
          <w:tcPr>
            <w:tcW w:w="320" w:type="dxa"/>
            <w:vAlign w:val="bottom"/>
            <w:gridSpan w:val="2"/>
            <w:vMerge w:val="continue"/>
            <w:shd w:val="clear" w:color="auto" w:fill="CCECFF"/>
          </w:tcPr>
          <w:p>
            <w:pPr>
              <w:spacing w:after="0"/>
              <w:rPr>
                <w:sz w:val="11"/>
                <w:szCs w:val="11"/>
                <w:color w:val="auto"/>
              </w:rPr>
            </w:pPr>
          </w:p>
        </w:tc>
        <w:tc>
          <w:tcPr>
            <w:tcW w:w="1160" w:type="dxa"/>
            <w:vAlign w:val="bottom"/>
            <w:gridSpan w:val="2"/>
            <w:vMerge w:val="continue"/>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160,859</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100,633</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60,226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1,067,174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1,167,729</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4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Credit Facility payable</w:t>
            </w:r>
          </w:p>
        </w:tc>
        <w:tc>
          <w:tcPr>
            <w:tcW w:w="180" w:type="dxa"/>
            <w:vAlign w:val="bottom"/>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9,400</w:t>
            </w:r>
          </w:p>
        </w:tc>
        <w:tc>
          <w:tcPr>
            <w:tcW w:w="24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9,400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 Notes payable</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76,219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4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2026 Notes payable </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183,054</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183,054</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2031 Asset-Backed Debt</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226,759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226,759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Borders>
              <w:bottom w:val="single" w:sz="8" w:color="auto"/>
            </w:tcBorders>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495,432</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183,054</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312,378</w:t>
            </w:r>
          </w:p>
        </w:tc>
        <w:tc>
          <w:tcPr>
            <w:tcW w:w="2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PSSL and PTSF is measured using the net asset value per share (or its equivalent) as a practical expedient for fair value in accordance with the specialized accounting guidance for investment companies, and thus has not been classified in the fair value hierarchy.</w:t>
      </w:r>
    </w:p>
    <w:p>
      <w:pPr>
        <w:spacing w:after="0" w:line="1" w:lineRule="exact"/>
        <w:rPr>
          <w:sz w:val="20"/>
          <w:szCs w:val="20"/>
          <w:color w:val="auto"/>
        </w:rPr>
      </w:pPr>
    </w:p>
    <w:p>
      <w:pPr>
        <w:ind w:right="220"/>
        <w:spacing w:after="0" w:line="219"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fair valued investments measured using significant unobservable inputs (Level 3)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40" w:type="dxa"/>
            <w:vAlign w:val="bottom"/>
            <w:gridSpan w:val="6"/>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Year Ended September 30, 2024</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debt and equity</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2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8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6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906,166</w:t>
            </w:r>
          </w:p>
        </w:tc>
        <w:tc>
          <w:tcPr>
            <w:tcW w:w="26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100,782</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losses</w:t>
            </w:r>
          </w:p>
        </w:tc>
        <w:tc>
          <w:tcPr>
            <w:tcW w:w="22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(8,125 )</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depreciation</w:t>
            </w:r>
          </w:p>
        </w:tc>
        <w:tc>
          <w:tcPr>
            <w:tcW w:w="220" w:type="dxa"/>
            <w:vAlign w:val="bottom"/>
            <w:shd w:val="clear" w:color="auto" w:fill="CCECFF"/>
          </w:tcPr>
          <w:p>
            <w:pPr>
              <w:spacing w:after="0"/>
              <w:rPr>
                <w:sz w:val="13"/>
                <w:szCs w:val="13"/>
                <w:color w:val="auto"/>
              </w:rPr>
            </w:pPr>
          </w:p>
        </w:tc>
        <w:tc>
          <w:tcPr>
            <w:tcW w:w="13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(77 )</w:t>
            </w:r>
          </w:p>
        </w:tc>
        <w:tc>
          <w:tcPr>
            <w:tcW w:w="8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20,719</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20,642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1,320,051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89,599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1,409,650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3"/>
                <w:szCs w:val="13"/>
                <w:color w:val="auto"/>
              </w:rPr>
            </w:pPr>
          </w:p>
        </w:tc>
        <w:tc>
          <w:tcPr>
            <w:tcW w:w="13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(471,318 )</w:t>
            </w:r>
          </w:p>
        </w:tc>
        <w:tc>
          <w:tcPr>
            <w:tcW w:w="8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(48,305 )</w:t>
            </w:r>
          </w:p>
        </w:tc>
        <w:tc>
          <w:tcPr>
            <w:tcW w:w="26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(519,623 )</w:t>
            </w: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2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1,746,697</w:t>
            </w:r>
          </w:p>
        </w:tc>
        <w:tc>
          <w:tcPr>
            <w:tcW w:w="26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171,142</w:t>
            </w:r>
          </w:p>
        </w:tc>
        <w:tc>
          <w:tcPr>
            <w:tcW w:w="2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62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vMerge w:val="restart"/>
          </w:tcPr>
          <w:p>
            <w:pPr>
              <w:jc w:val="right"/>
              <w:ind w:right="200"/>
              <w:spacing w:after="0" w:line="267" w:lineRule="exact"/>
              <w:rPr>
                <w:sz w:val="20"/>
                <w:szCs w:val="20"/>
                <w:color w:val="auto"/>
              </w:rPr>
            </w:pPr>
            <w:r>
              <w:rPr>
                <w:rFonts w:ascii="Times New Roman" w:cs="Times New Roman" w:eastAsia="Times New Roman" w:hAnsi="Times New Roman"/>
                <w:sz w:val="13"/>
                <w:szCs w:val="13"/>
                <w:color w:val="auto"/>
              </w:rPr>
              <w:t xml:space="preserve">(9,278 </w:t>
            </w:r>
            <w:r>
              <w:rPr>
                <w:rFonts w:ascii="Times New Roman" w:cs="Times New Roman" w:eastAsia="Times New Roman" w:hAnsi="Times New Roman"/>
                <w:sz w:val="26"/>
                <w:szCs w:val="26"/>
                <w:color w:val="auto"/>
                <w:vertAlign w:val="subscript"/>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23,754</w:t>
            </w:r>
          </w:p>
        </w:tc>
        <w:tc>
          <w:tcPr>
            <w:tcW w:w="240" w:type="dxa"/>
            <w:vAlign w:val="bottom"/>
          </w:tcPr>
          <w:p>
            <w:pPr>
              <w:spacing w:after="0"/>
              <w:rPr>
                <w:sz w:val="13"/>
                <w:szCs w:val="13"/>
                <w:color w:val="auto"/>
              </w:rPr>
            </w:pPr>
          </w:p>
        </w:tc>
        <w:tc>
          <w:tcPr>
            <w:tcW w:w="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14,476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240" w:type="dxa"/>
            <w:vAlign w:val="bottom"/>
          </w:tcPr>
          <w:p>
            <w:pPr>
              <w:ind w:left="12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6"/>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Year Ended September 30, 2023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subordinated debt</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and equity</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2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8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6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1,009,642</w:t>
            </w:r>
          </w:p>
        </w:tc>
        <w:tc>
          <w:tcPr>
            <w:tcW w:w="26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95,285</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1,104,927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losses</w:t>
            </w:r>
          </w:p>
        </w:tc>
        <w:tc>
          <w:tcPr>
            <w:tcW w:w="22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(18,585 )</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(16,437 )</w:t>
            </w: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depreciation</w:t>
            </w:r>
          </w:p>
        </w:tc>
        <w:tc>
          <w:tcPr>
            <w:tcW w:w="22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7,008</w:t>
            </w:r>
          </w:p>
        </w:tc>
        <w:tc>
          <w:tcPr>
            <w:tcW w:w="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(11,977 )</w:t>
            </w:r>
          </w:p>
        </w:tc>
        <w:tc>
          <w:tcPr>
            <w:tcW w:w="26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(4,969 )</w:t>
            </w: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302,095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20,417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3"/>
                <w:szCs w:val="13"/>
                <w:color w:val="auto"/>
              </w:rPr>
            </w:pPr>
          </w:p>
        </w:tc>
        <w:tc>
          <w:tcPr>
            <w:tcW w:w="13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(393,994 )</w:t>
            </w:r>
          </w:p>
        </w:tc>
        <w:tc>
          <w:tcPr>
            <w:tcW w:w="8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(5,091 )</w:t>
            </w:r>
          </w:p>
        </w:tc>
        <w:tc>
          <w:tcPr>
            <w:tcW w:w="26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(399,085 )</w:t>
            </w: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2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906,166</w:t>
            </w:r>
          </w:p>
        </w:tc>
        <w:tc>
          <w:tcPr>
            <w:tcW w:w="26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100,782</w:t>
            </w:r>
          </w:p>
        </w:tc>
        <w:tc>
          <w:tcPr>
            <w:tcW w:w="2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62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 unrealized</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appreciation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vMerge w:val="restart"/>
          </w:tcPr>
          <w:p>
            <w:pPr>
              <w:jc w:val="right"/>
              <w:ind w:right="200"/>
              <w:spacing w:after="0" w:line="267" w:lineRule="exact"/>
              <w:rPr>
                <w:sz w:val="20"/>
                <w:szCs w:val="20"/>
                <w:color w:val="auto"/>
              </w:rPr>
            </w:pPr>
            <w:r>
              <w:rPr>
                <w:rFonts w:ascii="Times New Roman" w:cs="Times New Roman" w:eastAsia="Times New Roman" w:hAnsi="Times New Roman"/>
                <w:sz w:val="13"/>
                <w:szCs w:val="13"/>
                <w:color w:val="auto"/>
              </w:rPr>
              <w:t xml:space="preserve">(9,771 </w:t>
            </w:r>
            <w:r>
              <w:rPr>
                <w:rFonts w:ascii="Times New Roman" w:cs="Times New Roman" w:eastAsia="Times New Roman" w:hAnsi="Times New Roman"/>
                <w:sz w:val="26"/>
                <w:szCs w:val="26"/>
                <w:color w:val="auto"/>
                <w:vertAlign w:val="subscript"/>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vMerge w:val="restart"/>
          </w:tcPr>
          <w:p>
            <w:pPr>
              <w:jc w:val="right"/>
              <w:ind w:right="180"/>
              <w:spacing w:after="0" w:line="267" w:lineRule="exact"/>
              <w:rPr>
                <w:sz w:val="20"/>
                <w:szCs w:val="20"/>
                <w:color w:val="auto"/>
              </w:rPr>
            </w:pPr>
            <w:r>
              <w:rPr>
                <w:rFonts w:ascii="Times New Roman" w:cs="Times New Roman" w:eastAsia="Times New Roman" w:hAnsi="Times New Roman"/>
                <w:sz w:val="13"/>
                <w:szCs w:val="13"/>
                <w:color w:val="auto"/>
              </w:rPr>
              <w:t xml:space="preserve">(8,913 </w:t>
            </w:r>
            <w:r>
              <w:rPr>
                <w:rFonts w:ascii="Times New Roman" w:cs="Times New Roman" w:eastAsia="Times New Roman" w:hAnsi="Times New Roman"/>
                <w:sz w:val="26"/>
                <w:szCs w:val="26"/>
                <w:color w:val="auto"/>
                <w:vertAlign w:val="subscript"/>
              </w:rPr>
              <w:t>)</w:t>
            </w:r>
          </w:p>
        </w:tc>
        <w:tc>
          <w:tcPr>
            <w:tcW w:w="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vMerge w:val="restart"/>
          </w:tcPr>
          <w:p>
            <w:pPr>
              <w:jc w:val="right"/>
              <w:ind w:right="40"/>
              <w:spacing w:after="0" w:line="267" w:lineRule="exact"/>
              <w:rPr>
                <w:sz w:val="20"/>
                <w:szCs w:val="20"/>
                <w:color w:val="auto"/>
              </w:rPr>
            </w:pPr>
            <w:r>
              <w:rPr>
                <w:rFonts w:ascii="Times New Roman" w:cs="Times New Roman" w:eastAsia="Times New Roman" w:hAnsi="Times New Roman"/>
                <w:sz w:val="13"/>
                <w:szCs w:val="13"/>
                <w:color w:val="auto"/>
              </w:rPr>
              <w:t xml:space="preserve">(18,684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32"/>
        </w:trPr>
        <w:tc>
          <w:tcPr>
            <w:tcW w:w="6240" w:type="dxa"/>
            <w:vAlign w:val="bottom"/>
          </w:tcPr>
          <w:p>
            <w:pPr>
              <w:ind w:left="12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520" w:firstLine="420"/>
        <w:spacing w:after="0" w:line="286" w:lineRule="auto"/>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recognized at fair value and measured using significant unobservable inputs (Level 3)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r>
      <w:tr>
        <w:trPr>
          <w:trHeight w:val="170"/>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Credit Facility and 2023 Notes</w:t>
            </w:r>
          </w:p>
        </w:tc>
        <w:tc>
          <w:tcPr>
            <w:tcW w:w="340" w:type="dxa"/>
            <w:vAlign w:val="bottom"/>
          </w:tcPr>
          <w:p>
            <w:pPr>
              <w:spacing w:after="0"/>
              <w:rPr>
                <w:sz w:val="14"/>
                <w:szCs w:val="14"/>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 (cost – $85,619 and $168,830, respectively)</w:t>
            </w: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85,619</w:t>
            </w:r>
          </w:p>
        </w:tc>
        <w:tc>
          <w:tcPr>
            <w:tcW w:w="26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167,563</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(depreciation) appreciation included in earnings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w:t>
            </w: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Borrowings</w:t>
            </w:r>
          </w:p>
        </w:tc>
        <w:tc>
          <w:tcPr>
            <w:tcW w:w="3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606,455</w:t>
            </w:r>
          </w:p>
        </w:tc>
        <w:tc>
          <w:tcPr>
            <w:tcW w:w="2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65,000</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Repayments</w:t>
            </w:r>
          </w:p>
        </w:tc>
        <w:tc>
          <w:tcPr>
            <w:tcW w:w="34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(248,220 )</w:t>
            </w:r>
          </w:p>
        </w:tc>
        <w:tc>
          <w:tcPr>
            <w:tcW w:w="34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(224,709 )</w:t>
            </w:r>
          </w:p>
        </w:tc>
      </w:tr>
      <w:tr>
        <w:trPr>
          <w:trHeight w:val="156"/>
        </w:trPr>
        <w:tc>
          <w:tcPr>
            <w:tcW w:w="72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34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(544 )</w:t>
            </w:r>
          </w:p>
        </w:tc>
      </w:tr>
      <w:tr>
        <w:trPr>
          <w:trHeight w:val="156"/>
        </w:trPr>
        <w:tc>
          <w:tcPr>
            <w:tcW w:w="72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34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76,219</w:t>
            </w:r>
          </w:p>
        </w:tc>
        <w:tc>
          <w:tcPr>
            <w:tcW w:w="80" w:type="dxa"/>
            <w:vAlign w:val="bottom"/>
          </w:tcPr>
          <w:p>
            <w:pPr>
              <w:spacing w:after="0"/>
              <w:rPr>
                <w:sz w:val="13"/>
                <w:szCs w:val="13"/>
                <w:color w:val="auto"/>
              </w:rPr>
            </w:pPr>
          </w:p>
        </w:tc>
      </w:tr>
      <w:tr>
        <w:trPr>
          <w:trHeight w:val="196"/>
        </w:trPr>
        <w:tc>
          <w:tcPr>
            <w:tcW w:w="72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 (cost – $443,855 and $85,619, respectively)</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443,880</w:t>
            </w:r>
          </w:p>
        </w:tc>
        <w:tc>
          <w:tcPr>
            <w:tcW w:w="26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85,619</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144" w:lineRule="exact"/>
        <w:rPr>
          <w:sz w:val="20"/>
          <w:szCs w:val="20"/>
          <w:color w:val="auto"/>
        </w:rPr>
      </w:pPr>
    </w:p>
    <w:p>
      <w:pPr>
        <w:ind w:right="32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we had outstanding non-U.S. dollar borrowings on our Credit Facility. Net change in fair value from foreign currency translation on outstanding borrowings is listed below (CAD and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80" w:type="dxa"/>
            <w:vAlign w:val="bottom"/>
          </w:tcPr>
          <w:p>
            <w:pPr>
              <w:spacing w:after="0"/>
              <w:rPr>
                <w:sz w:val="13"/>
                <w:szCs w:val="13"/>
                <w:color w:val="auto"/>
              </w:rPr>
            </w:pPr>
          </w:p>
        </w:tc>
        <w:tc>
          <w:tcPr>
            <w:tcW w:w="2460" w:type="dxa"/>
            <w:vAlign w:val="bottom"/>
          </w:tcPr>
          <w:p>
            <w:pPr>
              <w:jc w:val="center"/>
              <w:ind w:left="9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Change in Fair</w:t>
            </w: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460" w:type="dxa"/>
            <w:vAlign w:val="bottom"/>
          </w:tcPr>
          <w:p>
            <w:pPr>
              <w:jc w:val="center"/>
              <w:ind w:left="954"/>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240" w:type="dxa"/>
            <w:vAlign w:val="bottom"/>
          </w:tcPr>
          <w:p>
            <w:pPr>
              <w:spacing w:after="0"/>
              <w:rPr>
                <w:sz w:val="14"/>
                <w:szCs w:val="14"/>
                <w:color w:val="auto"/>
              </w:rPr>
            </w:pP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240" w:type="dxa"/>
            <w:vAlign w:val="bottom"/>
          </w:tcPr>
          <w:p>
            <w:pPr>
              <w:spacing w:after="0"/>
              <w:rPr>
                <w:sz w:val="14"/>
                <w:szCs w:val="14"/>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10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20" w:type="dxa"/>
            <w:vAlign w:val="bottom"/>
          </w:tcPr>
          <w:p>
            <w:pPr>
              <w:spacing w:after="0"/>
              <w:rPr>
                <w:sz w:val="14"/>
                <w:szCs w:val="14"/>
                <w:color w:val="auto"/>
              </w:rPr>
            </w:pPr>
          </w:p>
        </w:tc>
        <w:tc>
          <w:tcPr>
            <w:tcW w:w="118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56"/>
        </w:trPr>
        <w:tc>
          <w:tcPr>
            <w:tcW w:w="2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Canadian Dollar</w:t>
            </w:r>
          </w:p>
        </w:tc>
        <w:tc>
          <w:tcPr>
            <w:tcW w:w="2460" w:type="dxa"/>
            <w:vAlign w:val="bottom"/>
            <w:shd w:val="clear" w:color="auto" w:fill="CCECFF"/>
          </w:tcPr>
          <w:p>
            <w:pPr>
              <w:ind w:left="1700"/>
              <w:spacing w:after="0"/>
              <w:rPr>
                <w:sz w:val="20"/>
                <w:szCs w:val="20"/>
                <w:color w:val="auto"/>
              </w:rPr>
            </w:pPr>
            <w:r>
              <w:rPr>
                <w:rFonts w:ascii="Times New Roman" w:cs="Times New Roman" w:eastAsia="Times New Roman" w:hAnsi="Times New Roman"/>
                <w:sz w:val="13"/>
                <w:szCs w:val="13"/>
                <w:color w:val="auto"/>
              </w:rPr>
              <w:t>CAD 2,000</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1,455</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1,481</w:t>
            </w:r>
          </w:p>
        </w:tc>
        <w:tc>
          <w:tcPr>
            <w:tcW w:w="110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10/1/2024</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26</w:t>
            </w: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2023, we did not have any outstanding non-U.S. dollar borrowings on the Credit Facility.</w:t>
      </w:r>
    </w:p>
    <w:p>
      <w:pPr>
        <w:spacing w:after="0" w:line="163"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$6.5 million, zero, and zero relating to amendment costs on the Credit Facility and debt issuance costs on the 2023 Notes during the years ended September 30, 2024, 2023, and 2022,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2031 Asset-Backed Debt, 2036-R Asset-Backed Debt, and 2036 Asset-Backed Debt.</w:t>
      </w:r>
    </w:p>
    <w:p>
      <w:pPr>
        <w:spacing w:after="0" w:line="137" w:lineRule="exact"/>
        <w:rPr>
          <w:sz w:val="20"/>
          <w:szCs w:val="20"/>
          <w:color w:val="auto"/>
        </w:rPr>
      </w:pPr>
    </w:p>
    <w:p>
      <w:pPr>
        <w:ind w:right="62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2024, 2023, and 2022, the Credit Facility or our Prior Credit Facility, as applicable, the 2023 Notes had a net change in unrealized (appreciation) depreciation of approximately zero, $(2.3) million, and $(4.9) million, respectively. As of September 30, 2024 and 2023 , the net unrealized depreciation on</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3"/>
          <w:szCs w:val="13"/>
          <w:color w:val="auto"/>
        </w:rPr>
        <w:t>the Credit Facility and the 2023 Notes totaled approximately zero and zero, respectively. We use a nationally recognized independent valuation service to measure the fair value of the Credit Facility and 2023 Notes in a manner consistent with the valuation process that the board of directors uses to value our investments.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29"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 -controlled affiliate when we own at least 5% but 25% or less of its voting securities and a controlled affiliate generally when we own more than 25% of its voting securities. Transactions related to our funded investments with both controlled and non-controlled affiliates for the year ended September 30, 2024 and 2023 were as follows ($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Net Change in</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Sale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100" w:type="dxa"/>
            <w:vAlign w:val="bottom"/>
          </w:tcPr>
          <w:p>
            <w:pPr>
              <w:spacing w:after="0"/>
              <w:rPr>
                <w:sz w:val="11"/>
                <w:szCs w:val="11"/>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Distribution from</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Appreciation</w:t>
            </w:r>
          </w:p>
        </w:tc>
        <w:tc>
          <w:tcPr>
            <w:tcW w:w="100" w:type="dxa"/>
            <w:vAlign w:val="bottom"/>
          </w:tcPr>
          <w:p>
            <w:pPr>
              <w:spacing w:after="0"/>
              <w:rPr>
                <w:sz w:val="11"/>
                <w:szCs w:val="11"/>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Dividend/Other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Net Realized</w:t>
            </w:r>
          </w:p>
        </w:tc>
      </w:tr>
      <w:tr>
        <w:trPr>
          <w:trHeight w:val="134"/>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 of Investment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Gross Additions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Affiliates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(Depreciation)</w:t>
            </w:r>
          </w:p>
        </w:tc>
        <w:tc>
          <w:tcPr>
            <w:tcW w:w="100" w:type="dxa"/>
            <w:vAlign w:val="bottom"/>
          </w:tcPr>
          <w:p>
            <w:pPr>
              <w:spacing w:after="0"/>
              <w:rPr>
                <w:sz w:val="11"/>
                <w:szCs w:val="11"/>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20" w:type="dxa"/>
            <w:vAlign w:val="bottom"/>
          </w:tcPr>
          <w:p>
            <w:pPr>
              <w:spacing w:after="0"/>
              <w:rPr>
                <w:sz w:val="11"/>
                <w:szCs w:val="11"/>
                <w:color w:val="auto"/>
              </w:rPr>
            </w:pPr>
          </w:p>
        </w:tc>
        <w:tc>
          <w:tcPr>
            <w:tcW w:w="8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Interest Income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Gains (Losses)</w:t>
            </w:r>
          </w:p>
        </w:tc>
      </w:tr>
      <w:tr>
        <w:trPr>
          <w:trHeight w:val="132"/>
        </w:trPr>
        <w:tc>
          <w:tcPr>
            <w:tcW w:w="2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Controlled Affiliates</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2"/>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Marketplace Events, LLC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34,027</w:t>
            </w:r>
          </w:p>
        </w:tc>
        <w:tc>
          <w:tcPr>
            <w:tcW w:w="48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8,258</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14,822</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57,107</w:t>
            </w:r>
          </w:p>
        </w:tc>
        <w:tc>
          <w:tcPr>
            <w:tcW w:w="5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PennantPark Senior Secured</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2"/>
        </w:trPr>
        <w:tc>
          <w:tcPr>
            <w:tcW w:w="20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Loan Fund I LLC *</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260,969</w:t>
            </w:r>
          </w:p>
        </w:tc>
        <w:tc>
          <w:tcPr>
            <w:tcW w:w="2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(6,216 )</w:t>
            </w:r>
          </w:p>
        </w:tc>
        <w:tc>
          <w:tcPr>
            <w:tcW w:w="10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294,128</w:t>
            </w:r>
          </w:p>
        </w:tc>
        <w:tc>
          <w:tcPr>
            <w:tcW w:w="2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29,913</w:t>
            </w:r>
          </w:p>
        </w:tc>
        <w:tc>
          <w:tcPr>
            <w:tcW w:w="2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14,875</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ind w:left="68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Controlled Affiliates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294,996</w:t>
            </w:r>
          </w:p>
        </w:tc>
        <w:tc>
          <w:tcPr>
            <w:tcW w:w="48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47,633</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8,606</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351,235</w:t>
            </w:r>
          </w:p>
        </w:tc>
        <w:tc>
          <w:tcPr>
            <w:tcW w:w="5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35,093</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ind w:right="20" w:firstLine="6"/>
        <w:spacing w:after="0" w:line="263" w:lineRule="auto"/>
        <w:tabs>
          <w:tab w:leader="none" w:pos="84" w:val="left"/>
        </w:tabs>
        <w:numPr>
          <w:ilvl w:val="0"/>
          <w:numId w:val="1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Sale of/</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00" w:type="dxa"/>
            <w:vAlign w:val="bottom"/>
          </w:tcPr>
          <w:p>
            <w:pPr>
              <w:spacing w:after="0"/>
              <w:rPr>
                <w:sz w:val="13"/>
                <w:szCs w:val="13"/>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Net Realized</w:t>
            </w:r>
          </w:p>
        </w:tc>
      </w:tr>
      <w:tr>
        <w:trPr>
          <w:trHeight w:val="156"/>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220" w:type="dxa"/>
            <w:vAlign w:val="bottom"/>
          </w:tcPr>
          <w:p>
            <w:pPr>
              <w:spacing w:after="0"/>
              <w:rPr>
                <w:sz w:val="13"/>
                <w:szCs w:val="13"/>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Appreciation</w:t>
            </w:r>
          </w:p>
        </w:tc>
        <w:tc>
          <w:tcPr>
            <w:tcW w:w="100" w:type="dxa"/>
            <w:vAlign w:val="bottom"/>
          </w:tcPr>
          <w:p>
            <w:pPr>
              <w:spacing w:after="0"/>
              <w:rPr>
                <w:sz w:val="13"/>
                <w:szCs w:val="13"/>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Dividend/Oth</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Gains</w:t>
            </w:r>
          </w:p>
        </w:tc>
      </w:tr>
      <w:tr>
        <w:trPr>
          <w:trHeight w:val="170"/>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20" w:type="dxa"/>
            <w:vAlign w:val="bottom"/>
          </w:tcPr>
          <w:p>
            <w:pPr>
              <w:spacing w:after="0"/>
              <w:rPr>
                <w:sz w:val="14"/>
                <w:szCs w:val="14"/>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2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from Affiliates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0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9"/>
              </w:rPr>
              <w:t>er Income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56"/>
        </w:trPr>
        <w:tc>
          <w:tcPr>
            <w:tcW w:w="1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Marketplace Events, LLC</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34,028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1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PennantPark Senior Secured</w:t>
            </w:r>
          </w:p>
        </w:tc>
        <w:tc>
          <w:tcPr>
            <w:tcW w:w="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1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Loan Fund I LLC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28,438</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(7,084 )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260,969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26,534</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92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 Controlled Affiliates</w:t>
            </w:r>
          </w:p>
        </w:tc>
        <w:tc>
          <w:tcPr>
            <w:tcW w:w="12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271,005</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29,850</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CFF"/>
          </w:tcPr>
          <w:p>
            <w:pPr>
              <w:ind w:left="6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5"/>
                <w:szCs w:val="15"/>
                <w:color w:val="auto"/>
              </w:rPr>
            </w:pPr>
          </w:p>
        </w:tc>
        <w:tc>
          <w:tcPr>
            <w:tcW w:w="10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CFF"/>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 xml:space="preserve">(5,858 </w:t>
            </w:r>
            <w:r>
              <w:rPr>
                <w:rFonts w:ascii="Times New Roman" w:cs="Times New Roman" w:eastAsia="Times New Roman" w:hAnsi="Times New Roman"/>
                <w:sz w:val="15"/>
                <w:szCs w:val="15"/>
                <w:color w:val="auto"/>
                <w:vertAlign w:val="subscript"/>
              </w:rPr>
              <w:t>)</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294,996</w:t>
            </w:r>
          </w:p>
        </w:tc>
        <w:tc>
          <w:tcPr>
            <w:tcW w:w="340" w:type="dxa"/>
            <w:vAlign w:val="bottom"/>
            <w:gridSpan w:val="2"/>
            <w:shd w:val="clear" w:color="auto" w:fill="CCEC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31,047</w:t>
            </w:r>
          </w:p>
        </w:tc>
        <w:tc>
          <w:tcPr>
            <w:tcW w:w="300" w:type="dxa"/>
            <w:vAlign w:val="bottom"/>
            <w:gridSpan w:val="2"/>
            <w:shd w:val="clear" w:color="auto" w:fill="CCECFF"/>
          </w:tcPr>
          <w:p>
            <w:pPr>
              <w:ind w:lef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11,463</w:t>
            </w:r>
          </w:p>
        </w:tc>
        <w:tc>
          <w:tcPr>
            <w:tcW w:w="300" w:type="dxa"/>
            <w:vAlign w:val="bottom"/>
            <w:gridSpan w:val="2"/>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CFF"/>
          </w:tcPr>
          <w:p>
            <w:pPr>
              <w:ind w:left="50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19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132" w:lineRule="exact"/>
        <w:rPr>
          <w:sz w:val="20"/>
          <w:szCs w:val="20"/>
          <w:color w:val="auto"/>
        </w:rPr>
      </w:pPr>
    </w:p>
    <w:p>
      <w:pPr>
        <w:ind w:right="60" w:firstLine="6"/>
        <w:spacing w:after="0" w:line="263" w:lineRule="auto"/>
        <w:tabs>
          <w:tab w:leader="none" w:pos="81"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(decrease) in net assets resulting from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4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0"/>
        </w:trPr>
        <w:tc>
          <w:tcPr>
            <w:tcW w:w="47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Pr>
          <w:p>
            <w:pPr>
              <w:spacing w:after="0"/>
              <w:rPr>
                <w:sz w:val="14"/>
                <w:szCs w:val="14"/>
                <w:color w:val="auto"/>
              </w:rPr>
            </w:pPr>
          </w:p>
        </w:tc>
        <w:tc>
          <w:tcPr>
            <w:tcW w:w="1260" w:type="dxa"/>
            <w:vAlign w:val="bottom"/>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4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Numerator for net increase in net assets resulting from operations</w:t>
            </w:r>
          </w:p>
        </w:tc>
        <w:tc>
          <w:tcPr>
            <w:tcW w:w="1500" w:type="dxa"/>
            <w:vAlign w:val="bottom"/>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91,839</w:t>
            </w:r>
          </w:p>
        </w:tc>
        <w:tc>
          <w:tcPr>
            <w:tcW w:w="52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39,261</w:t>
            </w:r>
          </w:p>
        </w:tc>
        <w:tc>
          <w:tcPr>
            <w:tcW w:w="48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3,453</w:t>
            </w:r>
          </w:p>
        </w:tc>
      </w:tr>
      <w:tr>
        <w:trPr>
          <w:trHeight w:val="156"/>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1500" w:type="dxa"/>
            <w:vAlign w:val="bottom"/>
          </w:tcPr>
          <w:p>
            <w:pPr>
              <w:spacing w:after="0"/>
              <w:rPr>
                <w:sz w:val="13"/>
                <w:szCs w:val="13"/>
                <w:color w:val="auto"/>
              </w:rPr>
            </w:pP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65,725,197</w:t>
            </w:r>
          </w:p>
        </w:tc>
        <w:tc>
          <w:tcPr>
            <w:tcW w:w="520" w:type="dxa"/>
            <w:vAlign w:val="bottom"/>
          </w:tcPr>
          <w:p>
            <w:pPr>
              <w:spacing w:after="0"/>
              <w:rPr>
                <w:sz w:val="13"/>
                <w:szCs w:val="13"/>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50,832,980</w:t>
            </w:r>
          </w:p>
        </w:tc>
        <w:tc>
          <w:tcPr>
            <w:tcW w:w="480" w:type="dxa"/>
            <w:vAlign w:val="bottom"/>
          </w:tcPr>
          <w:p>
            <w:pPr>
              <w:spacing w:after="0"/>
              <w:rPr>
                <w:sz w:val="13"/>
                <w:szCs w:val="13"/>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41,060,541</w:t>
            </w:r>
          </w:p>
        </w:tc>
      </w:tr>
      <w:tr>
        <w:trPr>
          <w:trHeight w:val="156"/>
        </w:trPr>
        <w:tc>
          <w:tcPr>
            <w:tcW w:w="4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Basic and diluted net increase in net assets per share resulting from operations</w:t>
            </w:r>
          </w:p>
        </w:tc>
        <w:tc>
          <w:tcPr>
            <w:tcW w:w="1500" w:type="dxa"/>
            <w:vAlign w:val="bottom"/>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1.40</w:t>
            </w:r>
          </w:p>
        </w:tc>
        <w:tc>
          <w:tcPr>
            <w:tcW w:w="52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0.77</w:t>
            </w:r>
          </w:p>
        </w:tc>
        <w:tc>
          <w:tcPr>
            <w:tcW w:w="48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0.08</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TAXES AND DISTRIBUTIONS</w:t>
      </w:r>
    </w:p>
    <w:p>
      <w:pPr>
        <w:spacing w:after="0" w:line="129"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 -capital,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2024 and 2023, the cost of investments for federal income tax purposes approximates amortized cost reported in the Consolidated Schedule of Investments.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amounts were reclassified for tax purposes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0"/>
        </w:trPr>
        <w:tc>
          <w:tcPr>
            <w:tcW w:w="3860" w:type="dxa"/>
            <w:vAlign w:val="bottom"/>
          </w:tcPr>
          <w:p>
            <w:pPr>
              <w:spacing w:after="0"/>
              <w:rPr>
                <w:sz w:val="14"/>
                <w:szCs w:val="14"/>
                <w:color w:val="auto"/>
              </w:rPr>
            </w:pPr>
          </w:p>
        </w:tc>
        <w:tc>
          <w:tcPr>
            <w:tcW w:w="25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4"/>
                <w:szCs w:val="14"/>
                <w:color w:val="auto"/>
              </w:rPr>
            </w:pPr>
          </w:p>
        </w:tc>
        <w:tc>
          <w:tcPr>
            <w:tcW w:w="1260" w:type="dxa"/>
            <w:vAlign w:val="bottom"/>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3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Decrease in paid-in capital</w:t>
            </w:r>
          </w:p>
        </w:tc>
        <w:tc>
          <w:tcPr>
            <w:tcW w:w="2560" w:type="dxa"/>
            <w:vAlign w:val="bottom"/>
            <w:shd w:val="clear" w:color="auto" w:fill="CCECFF"/>
          </w:tcPr>
          <w:p>
            <w:pPr>
              <w:jc w:val="right"/>
              <w:ind w:right="95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(900 )</w:t>
            </w:r>
          </w:p>
        </w:tc>
        <w:tc>
          <w:tcPr>
            <w:tcW w:w="48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(531 )</w:t>
            </w:r>
          </w:p>
        </w:tc>
        <w:tc>
          <w:tcPr>
            <w:tcW w:w="44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(492 )</w:t>
            </w:r>
          </w:p>
        </w:tc>
      </w:tr>
      <w:tr>
        <w:trPr>
          <w:trHeight w:val="156"/>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Decrease in accumulated net realized loss</w:t>
            </w:r>
          </w:p>
        </w:tc>
        <w:tc>
          <w:tcPr>
            <w:tcW w:w="2560" w:type="dxa"/>
            <w:vAlign w:val="bottom"/>
          </w:tcPr>
          <w:p>
            <w:pPr>
              <w:spacing w:after="0"/>
              <w:rPr>
                <w:sz w:val="13"/>
                <w:szCs w:val="13"/>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w:t>
            </w:r>
          </w:p>
        </w:tc>
        <w:tc>
          <w:tcPr>
            <w:tcW w:w="48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(1,645 )</w:t>
            </w:r>
          </w:p>
        </w:tc>
        <w:tc>
          <w:tcPr>
            <w:tcW w:w="440" w:type="dxa"/>
            <w:vAlign w:val="bottom"/>
          </w:tcPr>
          <w:p>
            <w:pPr>
              <w:spacing w:after="0"/>
              <w:rPr>
                <w:sz w:val="13"/>
                <w:szCs w:val="13"/>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1,118</w:t>
            </w:r>
          </w:p>
        </w:tc>
      </w:tr>
      <w:tr>
        <w:trPr>
          <w:trHeight w:val="156"/>
        </w:trPr>
        <w:tc>
          <w:tcPr>
            <w:tcW w:w="3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Increase in undistributed net investment income</w:t>
            </w:r>
          </w:p>
        </w:tc>
        <w:tc>
          <w:tcPr>
            <w:tcW w:w="2560" w:type="dxa"/>
            <w:vAlign w:val="bottom"/>
            <w:shd w:val="clear" w:color="auto" w:fill="CCECFF"/>
          </w:tcPr>
          <w:p>
            <w:pPr>
              <w:spacing w:after="0"/>
              <w:rPr>
                <w:sz w:val="13"/>
                <w:szCs w:val="13"/>
                <w:color w:val="auto"/>
              </w:rPr>
            </w:pPr>
          </w:p>
        </w:tc>
        <w:tc>
          <w:tcPr>
            <w:tcW w:w="60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892</w:t>
            </w:r>
          </w:p>
        </w:tc>
        <w:tc>
          <w:tcPr>
            <w:tcW w:w="480" w:type="dxa"/>
            <w:vAlign w:val="bottom"/>
            <w:shd w:val="clear" w:color="auto" w:fill="CCECFF"/>
          </w:tcPr>
          <w:p>
            <w:pPr>
              <w:spacing w:after="0"/>
              <w:rPr>
                <w:sz w:val="13"/>
                <w:szCs w:val="13"/>
                <w:color w:val="auto"/>
              </w:rPr>
            </w:pPr>
          </w:p>
        </w:tc>
        <w:tc>
          <w:tcPr>
            <w:tcW w:w="13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2,176</w:t>
            </w:r>
          </w:p>
        </w:tc>
        <w:tc>
          <w:tcPr>
            <w:tcW w:w="44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(625 )</w:t>
            </w:r>
          </w:p>
        </w:tc>
      </w:tr>
      <w:tr>
        <w:trPr>
          <w:trHeight w:val="412"/>
        </w:trPr>
        <w:tc>
          <w:tcPr>
            <w:tcW w:w="3860" w:type="dxa"/>
            <w:vAlign w:val="bottom"/>
          </w:tcPr>
          <w:p>
            <w:pPr>
              <w:spacing w:after="0"/>
              <w:rPr>
                <w:sz w:val="24"/>
                <w:szCs w:val="24"/>
                <w:color w:val="auto"/>
              </w:rPr>
            </w:pPr>
          </w:p>
        </w:tc>
        <w:tc>
          <w:tcPr>
            <w:tcW w:w="2560" w:type="dxa"/>
            <w:vAlign w:val="bottom"/>
          </w:tcPr>
          <w:p>
            <w:pPr>
              <w:jc w:val="right"/>
              <w:ind w:right="974"/>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80"/>
        </w:trPr>
        <w:tc>
          <w:tcPr>
            <w:tcW w:w="3860" w:type="dxa"/>
            <w:vAlign w:val="bottom"/>
            <w:tcBorders>
              <w:bottom w:val="single" w:sz="8" w:color="EEEEEE"/>
            </w:tcBorders>
          </w:tcPr>
          <w:p>
            <w:pPr>
              <w:spacing w:after="0"/>
              <w:rPr>
                <w:sz w:val="24"/>
                <w:szCs w:val="24"/>
                <w:color w:val="auto"/>
              </w:rPr>
            </w:pPr>
          </w:p>
        </w:tc>
        <w:tc>
          <w:tcPr>
            <w:tcW w:w="25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The following reconciles net increase in net assets resulting from operations to taxable income: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gridSpan w:val="9"/>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460" w:type="dxa"/>
            <w:vAlign w:val="bottom"/>
            <w:shd w:val="clear" w:color="auto" w:fill="CCECFF"/>
          </w:tcPr>
          <w:p>
            <w:pPr>
              <w:jc w:val="right"/>
              <w:ind w:right="314"/>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91,839</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39,261</w:t>
            </w:r>
          </w:p>
        </w:tc>
        <w:tc>
          <w:tcPr>
            <w:tcW w:w="1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(177 )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16,155</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gain (loss) on debt</w:t>
            </w:r>
          </w:p>
        </w:tc>
        <w:tc>
          <w:tcPr>
            <w:tcW w:w="4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40" w:type="dxa"/>
            <w:vAlign w:val="bottom"/>
            <w:gridSpan w:val="4"/>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depreciation (appreciation) on investments and debt</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(14,324 )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12,075</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Other book-to-tax differences</w:t>
            </w:r>
          </w:p>
        </w:tc>
        <w:tc>
          <w:tcPr>
            <w:tcW w:w="4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11,435</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(5,081 )</w:t>
            </w:r>
          </w:p>
        </w:tc>
        <w:tc>
          <w:tcPr>
            <w:tcW w:w="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(549 )</w:t>
            </w: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non-deductible expenses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Taxable income before dividends paid deduction</w:t>
            </w:r>
          </w:p>
        </w:tc>
        <w:tc>
          <w:tcPr>
            <w:tcW w:w="460" w:type="dxa"/>
            <w:vAlign w:val="bottom"/>
            <w:tcBorders>
              <w:bottom w:val="single" w:sz="8" w:color="auto"/>
            </w:tcBorders>
            <w:shd w:val="clear" w:color="auto" w:fill="CCECFF"/>
          </w:tcPr>
          <w:p>
            <w:pPr>
              <w:jc w:val="right"/>
              <w:ind w:right="314"/>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auto"/>
            </w:tcBorders>
            <w:shd w:val="clear" w:color="auto" w:fill="CCECFF"/>
          </w:tcPr>
          <w:p>
            <w:pPr>
              <w:spacing w:after="0"/>
              <w:rPr>
                <w:sz w:val="17"/>
                <w:szCs w:val="17"/>
                <w:color w:val="auto"/>
              </w:rPr>
            </w:pPr>
          </w:p>
        </w:tc>
        <w:tc>
          <w:tcPr>
            <w:tcW w:w="380" w:type="dxa"/>
            <w:vAlign w:val="bottom"/>
            <w:tcBorders>
              <w:bottom w:val="single" w:sz="8" w:color="auto"/>
            </w:tcBorders>
            <w:shd w:val="clear" w:color="auto" w:fill="CCECFF"/>
          </w:tcPr>
          <w:p>
            <w:pPr>
              <w:spacing w:after="0"/>
              <w:rPr>
                <w:sz w:val="17"/>
                <w:szCs w:val="17"/>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91,376</w:t>
            </w:r>
          </w:p>
        </w:tc>
        <w:tc>
          <w:tcPr>
            <w:tcW w:w="24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shd w:val="clear" w:color="auto" w:fill="CCECFF"/>
          </w:tcPr>
          <w:p>
            <w:pPr>
              <w:spacing w:after="0"/>
              <w:rPr>
                <w:sz w:val="17"/>
                <w:szCs w:val="17"/>
                <w:color w:val="auto"/>
              </w:rPr>
            </w:pPr>
          </w:p>
        </w:tc>
        <w:tc>
          <w:tcPr>
            <w:tcW w:w="60" w:type="dxa"/>
            <w:vAlign w:val="bottom"/>
            <w:tcBorders>
              <w:bottom w:val="single" w:sz="8" w:color="auto"/>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64,334</w:t>
            </w:r>
          </w:p>
        </w:tc>
        <w:tc>
          <w:tcPr>
            <w:tcW w:w="180" w:type="dxa"/>
            <w:vAlign w:val="bottom"/>
            <w:tcBorders>
              <w:bottom w:val="single" w:sz="8" w:color="CCECFF"/>
            </w:tcBorders>
            <w:shd w:val="clear" w:color="auto" w:fill="CCECFF"/>
          </w:tcPr>
          <w:p>
            <w:pPr>
              <w:spacing w:after="0"/>
              <w:rPr>
                <w:sz w:val="17"/>
                <w:szCs w:val="17"/>
                <w:color w:val="auto"/>
              </w:rPr>
            </w:pPr>
          </w:p>
        </w:tc>
        <w:tc>
          <w:tcPr>
            <w:tcW w:w="40" w:type="dxa"/>
            <w:vAlign w:val="bottom"/>
            <w:tcBorders>
              <w:bottom w:val="single" w:sz="8" w:color="CCECFF"/>
            </w:tcBorders>
            <w:shd w:val="clear" w:color="auto" w:fill="CCECFF"/>
          </w:tcPr>
          <w:p>
            <w:pPr>
              <w:spacing w:after="0"/>
              <w:rPr>
                <w:sz w:val="17"/>
                <w:szCs w:val="17"/>
                <w:color w:val="auto"/>
              </w:rPr>
            </w:pPr>
          </w:p>
        </w:tc>
        <w:tc>
          <w:tcPr>
            <w:tcW w:w="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auto"/>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49,026</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9060" w:type="dxa"/>
            <w:vAlign w:val="bottom"/>
            <w:gridSpan w:val="14"/>
          </w:tcPr>
          <w:p>
            <w:pPr>
              <w:ind w:left="420"/>
              <w:spacing w:after="0"/>
              <w:rPr>
                <w:sz w:val="20"/>
                <w:szCs w:val="20"/>
                <w:color w:val="auto"/>
              </w:rPr>
            </w:pPr>
            <w:r>
              <w:rPr>
                <w:rFonts w:ascii="Times New Roman" w:cs="Times New Roman" w:eastAsia="Times New Roman" w:hAnsi="Times New Roman"/>
                <w:sz w:val="13"/>
                <w:szCs w:val="13"/>
                <w:color w:val="auto"/>
              </w:rPr>
              <w:t>The components of undistributed taxable income on a tax basis and reconciliation to accumulated deficit on a book basis are as follows (in thousands):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As of September 30,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ordinary income – tax basis</w:t>
            </w:r>
          </w:p>
        </w:tc>
        <w:tc>
          <w:tcPr>
            <w:tcW w:w="900" w:type="dxa"/>
            <w:vAlign w:val="bottom"/>
            <w:gridSpan w:val="3"/>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30,316</w:t>
            </w:r>
          </w:p>
        </w:tc>
        <w:tc>
          <w:tcPr>
            <w:tcW w:w="240" w:type="dxa"/>
            <w:vAlign w:val="bottom"/>
            <w:shd w:val="clear" w:color="auto" w:fill="CCECFF"/>
          </w:tcPr>
          <w:p>
            <w:pPr>
              <w:spacing w:after="0"/>
              <w:rPr>
                <w:sz w:val="13"/>
                <w:szCs w:val="13"/>
                <w:color w:val="auto"/>
              </w:rPr>
            </w:pPr>
          </w:p>
        </w:tc>
        <w:tc>
          <w:tcPr>
            <w:tcW w:w="18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17,158</w:t>
            </w:r>
          </w:p>
        </w:tc>
        <w:tc>
          <w:tcPr>
            <w:tcW w:w="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420" w:type="dxa"/>
            <w:vAlign w:val="bottom"/>
            <w:gridSpan w:val="3"/>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11,141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realized loss carried forward</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gridSpan w:val="4"/>
          </w:tcPr>
          <w:p>
            <w:pPr>
              <w:jc w:val="right"/>
              <w:ind w:right="114"/>
              <w:spacing w:after="0"/>
              <w:rPr>
                <w:sz w:val="20"/>
                <w:szCs w:val="20"/>
                <w:color w:val="auto"/>
              </w:rPr>
            </w:pPr>
            <w:r>
              <w:rPr>
                <w:rFonts w:ascii="Times New Roman" w:cs="Times New Roman" w:eastAsia="Times New Roman" w:hAnsi="Times New Roman"/>
                <w:sz w:val="13"/>
                <w:szCs w:val="13"/>
                <w:color w:val="auto"/>
              </w:rPr>
              <w:t>(16,286 )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(16,544 )</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(24,655 )</w:t>
            </w: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Long-term realized loss carried forward</w:t>
            </w:r>
          </w:p>
        </w:tc>
        <w:tc>
          <w:tcPr>
            <w:tcW w:w="4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140" w:type="dxa"/>
            <w:vAlign w:val="bottom"/>
            <w:gridSpan w:val="4"/>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(88,745 )</w:t>
            </w:r>
          </w:p>
        </w:tc>
        <w:tc>
          <w:tcPr>
            <w:tcW w:w="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4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(78,796 )</w:t>
            </w:r>
          </w:p>
        </w:tc>
        <w:tc>
          <w:tcPr>
            <w:tcW w:w="16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(65,977 )</w:t>
            </w: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payable and other book to tax differences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gridSpan w:val="4"/>
          </w:tcPr>
          <w:p>
            <w:pPr>
              <w:jc w:val="right"/>
              <w:ind w:right="114"/>
              <w:spacing w:after="0"/>
              <w:rPr>
                <w:sz w:val="20"/>
                <w:szCs w:val="20"/>
                <w:color w:val="auto"/>
              </w:rPr>
            </w:pPr>
            <w:r>
              <w:rPr>
                <w:rFonts w:ascii="Times New Roman" w:cs="Times New Roman" w:eastAsia="Times New Roman" w:hAnsi="Times New Roman"/>
                <w:sz w:val="13"/>
                <w:szCs w:val="13"/>
                <w:color w:val="auto"/>
              </w:rPr>
              <w:t>(11,639 )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(5,959 )</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of investments and debt</w:t>
            </w:r>
          </w:p>
        </w:tc>
        <w:tc>
          <w:tcPr>
            <w:tcW w:w="4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140" w:type="dxa"/>
            <w:vAlign w:val="bottom"/>
            <w:gridSpan w:val="4"/>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(13,174 )</w:t>
            </w:r>
          </w:p>
        </w:tc>
        <w:tc>
          <w:tcPr>
            <w:tcW w:w="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4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(27,499 )</w:t>
            </w:r>
          </w:p>
        </w:tc>
        <w:tc>
          <w:tcPr>
            <w:tcW w:w="16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(15,423 )</w:t>
            </w: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 accumulated deficit – book basis</w:t>
            </w:r>
          </w:p>
        </w:tc>
        <w:tc>
          <w:tcPr>
            <w:tcW w:w="900" w:type="dxa"/>
            <w:vAlign w:val="bottom"/>
            <w:gridSpan w:val="3"/>
          </w:tcPr>
          <w:p>
            <w:pPr>
              <w:jc w:val="right"/>
              <w:ind w:right="3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4"/>
          </w:tcPr>
          <w:p>
            <w:pPr>
              <w:jc w:val="right"/>
              <w:ind w:right="114"/>
              <w:spacing w:after="0" w:line="136" w:lineRule="exact"/>
              <w:rPr>
                <w:sz w:val="20"/>
                <w:szCs w:val="20"/>
                <w:color w:val="auto"/>
              </w:rPr>
            </w:pPr>
            <w:r>
              <w:rPr>
                <w:rFonts w:ascii="Times New Roman" w:cs="Times New Roman" w:eastAsia="Times New Roman" w:hAnsi="Times New Roman"/>
                <w:sz w:val="9"/>
                <w:szCs w:val="9"/>
                <w:color w:val="auto"/>
              </w:rPr>
              <w:t xml:space="preserve">(99,528 </w:t>
            </w:r>
            <w:r>
              <w:rPr>
                <w:rFonts w:ascii="Times New Roman" w:cs="Times New Roman" w:eastAsia="Times New Roman" w:hAnsi="Times New Roman"/>
                <w:sz w:val="15"/>
                <w:szCs w:val="15"/>
                <w:color w:val="auto"/>
                <w:vertAlign w:val="subscript"/>
              </w:rPr>
              <w:t>)</w:t>
            </w:r>
          </w:p>
        </w:tc>
        <w:tc>
          <w:tcPr>
            <w:tcW w:w="180" w:type="dxa"/>
            <w:vAlign w:val="bottom"/>
            <w:gridSpan w:val="2"/>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4"/>
          </w:tcPr>
          <w:p>
            <w:pPr>
              <w:jc w:val="right"/>
              <w:spacing w:after="0" w:line="136" w:lineRule="exact"/>
              <w:rPr>
                <w:sz w:val="20"/>
                <w:szCs w:val="20"/>
                <w:color w:val="auto"/>
              </w:rPr>
            </w:pPr>
            <w:r>
              <w:rPr>
                <w:rFonts w:ascii="Times New Roman" w:cs="Times New Roman" w:eastAsia="Times New Roman" w:hAnsi="Times New Roman"/>
                <w:sz w:val="9"/>
                <w:szCs w:val="9"/>
                <w:color w:val="auto"/>
              </w:rPr>
              <w:t xml:space="preserve">(111,641 </w:t>
            </w:r>
            <w:r>
              <w:rPr>
                <w:rFonts w:ascii="Times New Roman" w:cs="Times New Roman" w:eastAsia="Times New Roman" w:hAnsi="Times New Roman"/>
                <w:sz w:val="15"/>
                <w:szCs w:val="15"/>
                <w:color w:val="auto"/>
                <w:vertAlign w:val="subscript"/>
              </w:rPr>
              <w:t>)</w:t>
            </w:r>
          </w:p>
        </w:tc>
        <w:tc>
          <w:tcPr>
            <w:tcW w:w="420" w:type="dxa"/>
            <w:vAlign w:val="bottom"/>
            <w:gridSpan w:val="3"/>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(90,981 </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The tax characteristics of distributions declared are as follows (in thousands):</w:t>
            </w: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10"/>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Ordinary income (including short-term gains, if any)</w:t>
            </w:r>
          </w:p>
        </w:tc>
        <w:tc>
          <w:tcPr>
            <w:tcW w:w="900" w:type="dxa"/>
            <w:vAlign w:val="bottom"/>
            <w:gridSpan w:val="3"/>
            <w:shd w:val="clear" w:color="auto" w:fill="CCEC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80,627</w:t>
            </w:r>
          </w:p>
        </w:tc>
        <w:tc>
          <w:tcPr>
            <w:tcW w:w="1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60,451</w:t>
            </w:r>
          </w:p>
        </w:tc>
        <w:tc>
          <w:tcPr>
            <w:tcW w:w="20" w:type="dxa"/>
            <w:vAlign w:val="bottom"/>
            <w:shd w:val="clear" w:color="auto" w:fill="CCECFF"/>
          </w:tcPr>
          <w:p>
            <w:pPr>
              <w:spacing w:after="0"/>
              <w:rPr>
                <w:sz w:val="13"/>
                <w:szCs w:val="13"/>
                <w:color w:val="auto"/>
              </w:rPr>
            </w:pPr>
          </w:p>
        </w:tc>
        <w:tc>
          <w:tcPr>
            <w:tcW w:w="420" w:type="dxa"/>
            <w:vAlign w:val="bottom"/>
            <w:gridSpan w:val="3"/>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46,685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capital gain</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distributions</w:t>
            </w:r>
          </w:p>
        </w:tc>
        <w:tc>
          <w:tcPr>
            <w:tcW w:w="460" w:type="dxa"/>
            <w:vAlign w:val="bottom"/>
            <w:tcBorders>
              <w:bottom w:val="single" w:sz="8" w:color="CCECFF"/>
            </w:tcBorders>
            <w:shd w:val="clear" w:color="auto" w:fill="CCECFF"/>
          </w:tcPr>
          <w:p>
            <w:pPr>
              <w:spacing w:after="0"/>
              <w:rPr>
                <w:sz w:val="17"/>
                <w:szCs w:val="17"/>
                <w:color w:val="auto"/>
              </w:rPr>
            </w:pPr>
          </w:p>
        </w:tc>
        <w:tc>
          <w:tcPr>
            <w:tcW w:w="440" w:type="dxa"/>
            <w:vAlign w:val="bottom"/>
            <w:tcBorders>
              <w:bottom w:val="single" w:sz="8" w:color="auto"/>
            </w:tcBorders>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80,627</w:t>
            </w:r>
          </w:p>
        </w:tc>
        <w:tc>
          <w:tcPr>
            <w:tcW w:w="1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6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60,451</w:t>
            </w:r>
          </w:p>
        </w:tc>
        <w:tc>
          <w:tcPr>
            <w:tcW w:w="2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CCECFF"/>
            </w:tcBorders>
            <w:gridSpan w:val="2"/>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46,685</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7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Total distributions per share based on weighted average shares</w:t>
            </w:r>
          </w:p>
        </w:tc>
        <w:tc>
          <w:tcPr>
            <w:tcW w:w="900" w:type="dxa"/>
            <w:vAlign w:val="bottom"/>
            <w:gridSpan w:val="3"/>
          </w:tcPr>
          <w:p>
            <w:pPr>
              <w:jc w:val="right"/>
              <w:ind w:right="3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1.23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1.19</w:t>
            </w:r>
          </w:p>
        </w:tc>
        <w:tc>
          <w:tcPr>
            <w:tcW w:w="20" w:type="dxa"/>
            <w:vAlign w:val="bottom"/>
          </w:tcPr>
          <w:p>
            <w:pPr>
              <w:spacing w:after="0"/>
              <w:rPr>
                <w:sz w:val="11"/>
                <w:szCs w:val="11"/>
                <w:color w:val="auto"/>
              </w:rPr>
            </w:pPr>
          </w:p>
        </w:tc>
        <w:tc>
          <w:tcPr>
            <w:tcW w:w="420" w:type="dxa"/>
            <w:vAlign w:val="bottom"/>
            <w:gridSpan w:val="3"/>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CASH AND CASH EQUIVALENTS</w:t>
      </w:r>
    </w:p>
    <w:p>
      <w:pPr>
        <w:spacing w:after="0" w:line="129"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 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2024 and 2023, cash and cash equivalents consisted of money market funds, and non-money market in the amounts of $22.2 million and in the amounts of $89.8 million and $100.6 million and zero at fair value, respectively.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03" w:name="page104"/>
    <w:bookmarkEnd w:id="103"/>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FINANCIAL HIGHLIGHTS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are the financial highlights for the years ended September 30 ($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beginning of year</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22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22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12.62</w:t>
            </w:r>
          </w:p>
        </w:tc>
        <w:tc>
          <w:tcPr>
            <w:tcW w:w="22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20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change in realized and unrealized (loss) gain </w:t>
            </w:r>
            <w:r>
              <w:rPr>
                <w:rFonts w:ascii="Times New Roman" w:cs="Times New Roman" w:eastAsia="Times New Roman" w:hAnsi="Times New Roman"/>
                <w:sz w:val="16"/>
                <w:szCs w:val="16"/>
                <w:color w:val="auto"/>
                <w:vertAlign w:val="superscript"/>
              </w:rPr>
              <w:t>(1)</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(0.56 )</w:t>
            </w:r>
          </w:p>
        </w:tc>
        <w:tc>
          <w:tcPr>
            <w:tcW w:w="260" w:type="dxa"/>
            <w:vAlign w:val="bottom"/>
          </w:tcPr>
          <w:p>
            <w:pPr>
              <w:spacing w:after="0"/>
              <w:rPr>
                <w:sz w:val="13"/>
                <w:szCs w:val="13"/>
                <w:color w:val="auto"/>
              </w:rPr>
            </w:pP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(1.10 )</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0.44</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increase in net assets resulting from operations </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0.47</w:t>
            </w: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24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(1.23 )</w:t>
            </w:r>
          </w:p>
        </w:tc>
        <w:tc>
          <w:tcPr>
            <w:tcW w:w="26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(1.19 )</w:t>
            </w:r>
          </w:p>
        </w:tc>
        <w:tc>
          <w:tcPr>
            <w:tcW w:w="26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(1.14 )</w:t>
            </w:r>
          </w:p>
        </w:tc>
        <w:tc>
          <w:tcPr>
            <w:tcW w:w="24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(1.14 )</w:t>
            </w:r>
          </w:p>
        </w:tc>
        <w:tc>
          <w:tcPr>
            <w:tcW w:w="260" w:type="dxa"/>
            <w:vAlign w:val="bottom"/>
            <w:shd w:val="clear" w:color="auto" w:fill="CCECFF"/>
          </w:tcPr>
          <w:p>
            <w:pPr>
              <w:spacing w:after="0"/>
              <w:rPr>
                <w:sz w:val="17"/>
                <w:szCs w:val="17"/>
                <w:color w:val="auto"/>
              </w:rPr>
            </w:pP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Distribution of realized gains</w:t>
            </w:r>
          </w:p>
        </w:tc>
        <w:tc>
          <w:tcPr>
            <w:tcW w:w="240" w:type="dxa"/>
            <w:vAlign w:val="bottom"/>
          </w:tcPr>
          <w:p>
            <w:pPr>
              <w:spacing w:after="0"/>
              <w:rPr>
                <w:sz w:val="13"/>
                <w:szCs w:val="13"/>
                <w:color w:val="auto"/>
              </w:rPr>
            </w:pPr>
          </w:p>
        </w:tc>
        <w:tc>
          <w:tcPr>
            <w:tcW w:w="11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distributions to stockholders</w:t>
            </w:r>
          </w:p>
        </w:tc>
        <w:tc>
          <w:tcPr>
            <w:tcW w:w="24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(1.23 )</w:t>
            </w:r>
          </w:p>
        </w:tc>
        <w:tc>
          <w:tcPr>
            <w:tcW w:w="26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(1.19 )</w:t>
            </w:r>
          </w:p>
        </w:tc>
        <w:tc>
          <w:tcPr>
            <w:tcW w:w="26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(1.14 )</w:t>
            </w:r>
          </w:p>
        </w:tc>
        <w:tc>
          <w:tcPr>
            <w:tcW w:w="24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(1.14 )</w:t>
            </w:r>
          </w:p>
        </w:tc>
        <w:tc>
          <w:tcPr>
            <w:tcW w:w="26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(Dilutive) effect of common stock issuance</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(0.08 )</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asset value, end of year</w:t>
            </w:r>
          </w:p>
        </w:tc>
        <w:tc>
          <w:tcPr>
            <w:tcW w:w="240" w:type="dxa"/>
            <w:vAlign w:val="bottom"/>
            <w:tcBorders>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22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22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12.62</w:t>
            </w:r>
          </w:p>
        </w:tc>
        <w:tc>
          <w:tcPr>
            <w:tcW w:w="20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80" w:type="dxa"/>
            <w:vAlign w:val="bottom"/>
            <w:tcBorders>
              <w:bottom w:val="single" w:sz="8" w:color="CCECFF"/>
            </w:tcBorders>
            <w:shd w:val="clear" w:color="auto" w:fill="CCEC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Per share market value, end of year</w:t>
            </w: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11.57</w:t>
            </w:r>
          </w:p>
        </w:tc>
        <w:tc>
          <w:tcPr>
            <w:tcW w:w="220" w:type="dxa"/>
            <w:vAlign w:val="bottom"/>
          </w:tcPr>
          <w:p>
            <w:pPr>
              <w:spacing w:after="0"/>
              <w:rPr>
                <w:sz w:val="11"/>
                <w:szCs w:val="11"/>
                <w:color w:val="auto"/>
              </w:rPr>
            </w:pPr>
          </w:p>
        </w:tc>
        <w:tc>
          <w:tcPr>
            <w:tcW w:w="260" w:type="dxa"/>
            <w:vAlign w:val="bottom"/>
            <w:tcBorders>
              <w:bottom w:val="single" w:sz="8" w:color="auto"/>
            </w:tcBorders>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10.66</w:t>
            </w:r>
          </w:p>
        </w:tc>
        <w:tc>
          <w:tcPr>
            <w:tcW w:w="220" w:type="dxa"/>
            <w:vAlign w:val="bottom"/>
          </w:tcPr>
          <w:p>
            <w:pPr>
              <w:spacing w:after="0"/>
              <w:rPr>
                <w:sz w:val="11"/>
                <w:szCs w:val="11"/>
                <w:color w:val="auto"/>
              </w:rPr>
            </w:pPr>
          </w:p>
        </w:tc>
        <w:tc>
          <w:tcPr>
            <w:tcW w:w="260" w:type="dxa"/>
            <w:vAlign w:val="bottom"/>
            <w:tcBorders>
              <w:bottom w:val="single" w:sz="8" w:color="auto"/>
            </w:tcBorders>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9.60</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12.79</w:t>
            </w:r>
          </w:p>
        </w:tc>
        <w:tc>
          <w:tcPr>
            <w:tcW w:w="200" w:type="dxa"/>
            <w:vAlign w:val="bottom"/>
          </w:tcPr>
          <w:p>
            <w:pPr>
              <w:spacing w:after="0"/>
              <w:rPr>
                <w:sz w:val="11"/>
                <w:szCs w:val="11"/>
                <w:color w:val="auto"/>
              </w:rPr>
            </w:pPr>
          </w:p>
        </w:tc>
        <w:tc>
          <w:tcPr>
            <w:tcW w:w="260" w:type="dxa"/>
            <w:vAlign w:val="bottom"/>
            <w:tcBorders>
              <w:bottom w:val="single" w:sz="8" w:color="auto"/>
            </w:tcBorders>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8.44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Total return </w:t>
            </w:r>
            <w:r>
              <w:rPr>
                <w:rFonts w:ascii="Times New Roman" w:cs="Times New Roman" w:eastAsia="Times New Roman" w:hAnsi="Times New Roman"/>
                <w:sz w:val="16"/>
                <w:szCs w:val="16"/>
                <w:color w:val="auto"/>
                <w:vertAlign w:val="superscript"/>
              </w:rPr>
              <w:t>(3)</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000" w:type="dxa"/>
            <w:vAlign w:val="bottom"/>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20.99</w:t>
            </w:r>
          </w:p>
        </w:tc>
        <w:tc>
          <w:tcPr>
            <w:tcW w:w="220" w:type="dxa"/>
            <w:vAlign w:val="bottom"/>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23.84</w:t>
            </w:r>
          </w:p>
        </w:tc>
        <w:tc>
          <w:tcPr>
            <w:tcW w:w="220" w:type="dxa"/>
            <w:vAlign w:val="bottom"/>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(17.76</w:t>
            </w:r>
          </w:p>
        </w:tc>
        <w:tc>
          <w:tcPr>
            <w:tcW w:w="2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92"/>
              </w:rPr>
              <w:t>)%</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66.47</w:t>
            </w:r>
          </w:p>
        </w:tc>
        <w:tc>
          <w:tcPr>
            <w:tcW w:w="20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(17.15</w:t>
            </w:r>
          </w:p>
        </w:tc>
        <w:tc>
          <w:tcPr>
            <w:tcW w:w="1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year</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77,579,896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58,734,702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45,345,638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38,880,728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38,772,074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Ratios / Supplemental Data:</w:t>
            </w: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w:t>
            </w:r>
          </w:p>
        </w:tc>
        <w:tc>
          <w:tcPr>
            <w:tcW w:w="240" w:type="dxa"/>
            <w:vAlign w:val="bottom"/>
          </w:tcPr>
          <w:p>
            <w:pPr>
              <w:spacing w:after="0"/>
              <w:rPr>
                <w:sz w:val="13"/>
                <w:szCs w:val="13"/>
                <w:color w:val="auto"/>
              </w:rPr>
            </w:pPr>
          </w:p>
        </w:tc>
        <w:tc>
          <w:tcPr>
            <w:tcW w:w="11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5.48 %</w:t>
            </w:r>
          </w:p>
        </w:tc>
        <w:tc>
          <w:tcPr>
            <w:tcW w:w="260" w:type="dxa"/>
            <w:vAlign w:val="bottom"/>
          </w:tcPr>
          <w:p>
            <w:pPr>
              <w:spacing w:after="0"/>
              <w:rPr>
                <w:sz w:val="13"/>
                <w:szCs w:val="13"/>
                <w:color w:val="auto"/>
              </w:rPr>
            </w:pPr>
          </w:p>
        </w:tc>
        <w:tc>
          <w:tcPr>
            <w:tcW w:w="11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5.90 %</w:t>
            </w:r>
          </w:p>
        </w:tc>
        <w:tc>
          <w:tcPr>
            <w:tcW w:w="260" w:type="dxa"/>
            <w:vAlign w:val="bottom"/>
          </w:tcPr>
          <w:p>
            <w:pPr>
              <w:spacing w:after="0"/>
              <w:rPr>
                <w:sz w:val="13"/>
                <w:szCs w:val="13"/>
                <w:color w:val="auto"/>
              </w:rPr>
            </w:pPr>
          </w:p>
        </w:tc>
        <w:tc>
          <w:tcPr>
            <w:tcW w:w="11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5.34 %</w:t>
            </w:r>
          </w:p>
        </w:tc>
        <w:tc>
          <w:tcPr>
            <w:tcW w:w="240" w:type="dxa"/>
            <w:vAlign w:val="bottom"/>
          </w:tcPr>
          <w:p>
            <w:pPr>
              <w:spacing w:after="0"/>
              <w:rPr>
                <w:sz w:val="13"/>
                <w:szCs w:val="13"/>
                <w:color w:val="auto"/>
              </w:rPr>
            </w:pPr>
          </w:p>
        </w:tc>
        <w:tc>
          <w:tcPr>
            <w:tcW w:w="10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3.77 %</w:t>
            </w:r>
          </w:p>
        </w:tc>
        <w:tc>
          <w:tcPr>
            <w:tcW w:w="2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debt related expenses to average net assets </w:t>
            </w:r>
            <w:r>
              <w:rPr>
                <w:rFonts w:ascii="Times New Roman" w:cs="Times New Roman" w:eastAsia="Times New Roman" w:hAnsi="Times New Roman"/>
                <w:sz w:val="16"/>
                <w:szCs w:val="16"/>
                <w:color w:val="auto"/>
                <w:vertAlign w:val="superscript"/>
              </w:rPr>
              <w:t>(5)</w:t>
            </w:r>
          </w:p>
        </w:tc>
        <w:tc>
          <w:tcPr>
            <w:tcW w:w="24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9.12 %</w:t>
            </w:r>
          </w:p>
        </w:tc>
        <w:tc>
          <w:tcPr>
            <w:tcW w:w="26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6.68 %</w:t>
            </w:r>
          </w:p>
        </w:tc>
        <w:tc>
          <w:tcPr>
            <w:tcW w:w="26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5.85 %</w:t>
            </w:r>
          </w:p>
        </w:tc>
        <w:tc>
          <w:tcPr>
            <w:tcW w:w="24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5.00 %</w:t>
            </w:r>
          </w:p>
        </w:tc>
        <w:tc>
          <w:tcPr>
            <w:tcW w:w="26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5.63 %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w:t>
            </w:r>
          </w:p>
        </w:tc>
        <w:tc>
          <w:tcPr>
            <w:tcW w:w="240" w:type="dxa"/>
            <w:vAlign w:val="bottom"/>
          </w:tcPr>
          <w:p>
            <w:pPr>
              <w:spacing w:after="0"/>
              <w:rPr>
                <w:sz w:val="13"/>
                <w:szCs w:val="13"/>
                <w:color w:val="auto"/>
              </w:rPr>
            </w:pPr>
          </w:p>
        </w:tc>
        <w:tc>
          <w:tcPr>
            <w:tcW w:w="11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14.60 %</w:t>
            </w:r>
          </w:p>
        </w:tc>
        <w:tc>
          <w:tcPr>
            <w:tcW w:w="260" w:type="dxa"/>
            <w:vAlign w:val="bottom"/>
          </w:tcPr>
          <w:p>
            <w:pPr>
              <w:spacing w:after="0"/>
              <w:rPr>
                <w:sz w:val="13"/>
                <w:szCs w:val="13"/>
                <w:color w:val="auto"/>
              </w:rPr>
            </w:pPr>
          </w:p>
        </w:tc>
        <w:tc>
          <w:tcPr>
            <w:tcW w:w="11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12.58 %</w:t>
            </w:r>
          </w:p>
        </w:tc>
        <w:tc>
          <w:tcPr>
            <w:tcW w:w="260" w:type="dxa"/>
            <w:vAlign w:val="bottom"/>
          </w:tcPr>
          <w:p>
            <w:pPr>
              <w:spacing w:after="0"/>
              <w:rPr>
                <w:sz w:val="13"/>
                <w:szCs w:val="13"/>
                <w:color w:val="auto"/>
              </w:rPr>
            </w:pPr>
          </w:p>
        </w:tc>
        <w:tc>
          <w:tcPr>
            <w:tcW w:w="11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11.19 %</w:t>
            </w:r>
          </w:p>
        </w:tc>
        <w:tc>
          <w:tcPr>
            <w:tcW w:w="240" w:type="dxa"/>
            <w:vAlign w:val="bottom"/>
          </w:tcPr>
          <w:p>
            <w:pPr>
              <w:spacing w:after="0"/>
              <w:rPr>
                <w:sz w:val="13"/>
                <w:szCs w:val="13"/>
                <w:color w:val="auto"/>
              </w:rPr>
            </w:pPr>
          </w:p>
        </w:tc>
        <w:tc>
          <w:tcPr>
            <w:tcW w:w="10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8.77 %</w:t>
            </w:r>
          </w:p>
        </w:tc>
        <w:tc>
          <w:tcPr>
            <w:tcW w:w="2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24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10.44 %</w:t>
            </w:r>
          </w:p>
        </w:tc>
        <w:tc>
          <w:tcPr>
            <w:tcW w:w="26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11.82 %</w:t>
            </w:r>
          </w:p>
        </w:tc>
        <w:tc>
          <w:tcPr>
            <w:tcW w:w="26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9.55 %</w:t>
            </w:r>
          </w:p>
        </w:tc>
        <w:tc>
          <w:tcPr>
            <w:tcW w:w="24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8.07 %</w:t>
            </w:r>
          </w:p>
        </w:tc>
        <w:tc>
          <w:tcPr>
            <w:tcW w:w="26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assets at end of year</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877,294</w:t>
            </w:r>
          </w:p>
        </w:tc>
        <w:tc>
          <w:tcPr>
            <w:tcW w:w="22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653,605</w:t>
            </w:r>
          </w:p>
        </w:tc>
        <w:tc>
          <w:tcPr>
            <w:tcW w:w="22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527,092</w:t>
            </w:r>
          </w:p>
        </w:tc>
        <w:tc>
          <w:tcPr>
            <w:tcW w:w="22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490,611</w:t>
            </w:r>
          </w:p>
        </w:tc>
        <w:tc>
          <w:tcPr>
            <w:tcW w:w="20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477,270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Weighted average debt outstanding</w:t>
            </w: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803,084</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615,068</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698,765</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622,739</w:t>
            </w:r>
          </w:p>
        </w:tc>
        <w:tc>
          <w:tcPr>
            <w:tcW w:w="20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737,209</w:t>
            </w: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22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2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22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w:t>
            </w:r>
          </w:p>
        </w:tc>
        <w:tc>
          <w:tcPr>
            <w:tcW w:w="20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(6)</w:t>
            </w: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1,742</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2,304</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1,746</w:t>
            </w:r>
          </w:p>
        </w:tc>
        <w:tc>
          <w:tcPr>
            <w:tcW w:w="20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Portfolio turnover ratio</w:t>
            </w:r>
          </w:p>
        </w:tc>
        <w:tc>
          <w:tcPr>
            <w:tcW w:w="240" w:type="dxa"/>
            <w:vAlign w:val="bottom"/>
          </w:tcPr>
          <w:p>
            <w:pPr>
              <w:spacing w:after="0"/>
              <w:rPr>
                <w:sz w:val="14"/>
                <w:szCs w:val="14"/>
                <w:color w:val="auto"/>
              </w:rPr>
            </w:pPr>
          </w:p>
        </w:tc>
        <w:tc>
          <w:tcPr>
            <w:tcW w:w="11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29.66 %</w:t>
            </w:r>
          </w:p>
        </w:tc>
        <w:tc>
          <w:tcPr>
            <w:tcW w:w="260" w:type="dxa"/>
            <w:vAlign w:val="bottom"/>
          </w:tcPr>
          <w:p>
            <w:pPr>
              <w:spacing w:after="0"/>
              <w:rPr>
                <w:sz w:val="14"/>
                <w:szCs w:val="14"/>
                <w:color w:val="auto"/>
              </w:rPr>
            </w:pPr>
          </w:p>
        </w:tc>
        <w:tc>
          <w:tcPr>
            <w:tcW w:w="11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28.64 %</w:t>
            </w:r>
          </w:p>
        </w:tc>
        <w:tc>
          <w:tcPr>
            <w:tcW w:w="260" w:type="dxa"/>
            <w:vAlign w:val="bottom"/>
          </w:tcPr>
          <w:p>
            <w:pPr>
              <w:spacing w:after="0"/>
              <w:rPr>
                <w:sz w:val="14"/>
                <w:szCs w:val="14"/>
                <w:color w:val="auto"/>
              </w:rPr>
            </w:pPr>
          </w:p>
        </w:tc>
        <w:tc>
          <w:tcPr>
            <w:tcW w:w="11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45.03 %</w:t>
            </w:r>
          </w:p>
        </w:tc>
        <w:tc>
          <w:tcPr>
            <w:tcW w:w="240" w:type="dxa"/>
            <w:vAlign w:val="bottom"/>
          </w:tcPr>
          <w:p>
            <w:pPr>
              <w:spacing w:after="0"/>
              <w:rPr>
                <w:sz w:val="14"/>
                <w:szCs w:val="14"/>
                <w:color w:val="auto"/>
              </w:rPr>
            </w:pPr>
          </w:p>
        </w:tc>
        <w:tc>
          <w:tcPr>
            <w:tcW w:w="10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62.58 %</w:t>
            </w:r>
          </w:p>
        </w:tc>
        <w:tc>
          <w:tcPr>
            <w:tcW w:w="2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35.08 %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-1198245</wp:posOffset>
            </wp:positionV>
            <wp:extent cx="6707505" cy="990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*The expense and investment income ratios do not reflect the Company's proportionate share of income and expenses of PSSL and PTSF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Based on the weighted average shares outstanding for the respective periods.</w:t>
      </w:r>
    </w:p>
    <w:p>
      <w:pPr>
        <w:spacing w:after="0" w:line="187"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spacing w:after="0" w:line="188"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0"/>
          <w:szCs w:val="10"/>
          <w:color w:val="auto"/>
        </w:rPr>
        <w:t>Based on the change in market price per share during the periods and assumes distributions, if any, are reinvested.</w:t>
      </w:r>
    </w:p>
    <w:p>
      <w:pPr>
        <w:spacing w:after="0" w:line="188" w:lineRule="auto"/>
        <w:rPr>
          <w:sz w:val="20"/>
          <w:szCs w:val="20"/>
          <w:color w:val="auto"/>
        </w:rPr>
      </w:pP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0"/>
          <w:szCs w:val="10"/>
          <w:color w:val="auto"/>
        </w:rPr>
        <w:t>Excludes debt related costs.</w:t>
      </w:r>
    </w:p>
    <w:p>
      <w:pPr>
        <w:spacing w:after="0" w:line="188" w:lineRule="auto"/>
        <w:rPr>
          <w:sz w:val="20"/>
          <w:szCs w:val="20"/>
          <w:color w:val="auto"/>
        </w:rPr>
      </w:pP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0"/>
          <w:szCs w:val="10"/>
          <w:color w:val="auto"/>
        </w:rPr>
        <w:t>Includes interest and expenses on debt (annualized) as well as Credit Facility amendment and debt issuance costs, if any (not annualized).</w:t>
      </w:r>
    </w:p>
    <w:p>
      <w:pPr>
        <w:spacing w:after="0" w:line="1" w:lineRule="exact"/>
        <w:rPr>
          <w:sz w:val="20"/>
          <w:szCs w:val="20"/>
          <w:color w:val="auto"/>
        </w:rPr>
      </w:pPr>
    </w:p>
    <w:p>
      <w:pPr>
        <w:ind w:right="580"/>
        <w:spacing w:after="0" w:line="201"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1"/>
          <w:szCs w:val="11"/>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1132" w:right="600"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DEBT</w:t>
      </w:r>
    </w:p>
    <w:p>
      <w:pPr>
        <w:spacing w:after="0" w:line="165" w:lineRule="exact"/>
        <w:rPr>
          <w:sz w:val="20"/>
          <w:szCs w:val="20"/>
          <w:color w:val="auto"/>
        </w:rPr>
      </w:pPr>
    </w:p>
    <w:p>
      <w:pPr>
        <w:jc w:val="both"/>
        <w:ind w:right="320" w:firstLine="420"/>
        <w:spacing w:after="0" w:line="268" w:lineRule="auto"/>
        <w:rPr>
          <w:sz w:val="20"/>
          <w:szCs w:val="20"/>
          <w:color w:val="auto"/>
        </w:rPr>
      </w:pPr>
      <w:r>
        <w:rPr>
          <w:rFonts w:ascii="Times New Roman" w:cs="Times New Roman" w:eastAsia="Times New Roman" w:hAnsi="Times New Roman"/>
          <w:sz w:val="13"/>
          <w:szCs w:val="13"/>
          <w:color w:val="auto"/>
        </w:rPr>
        <w:t>The annualized weighted average cost of debt for the years ended September 30, 2024, 2023, and 2022, inclusive of the fee on the undrawn commitment on the Credit Facility or the Prior Credit Facility, as applicable, amendment costs and debt issuance costs, was 8.5%, 6.2% and 4.5%, respectively. As of September 30, 2024, in accordance with the 1940 Act, with certain limited exceptions, we are only allowed to borrow amounts such that we are in compliance with a 150% asset coverage ratio requirement after such borrowing.</w:t>
      </w:r>
    </w:p>
    <w:p>
      <w:pPr>
        <w:spacing w:after="0" w:line="123"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September 30, 2024 and 2023, our asset coverage ratio, as computed in accordance with the 1940 Act, was 174% and 230%,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Credit Facility</w:t>
      </w:r>
    </w:p>
    <w:p>
      <w:pPr>
        <w:spacing w:after="0" w:line="131"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Maximum borrowings under Funding I’s multi-currency Credit Facility with affiliates of Truist Bank (formerly SunTrust Bank), or the Lenders upsized during the year and was $ 636.0 million (increased from $611.0 million in August 2024) as of September 30, 2024, subject to satisfaction of certain conditions and the regulatory restrictions that the 1940 Act imposes on us as a BDC, has an interest rate spread above SOFR (or an alternative risk-free floating interest rate index) of 225 basis points, a maturity date of August 2029 and a revolving period that ends in August 2027. As of September 30, 2024 and 2023, Funding I had $443.9 million and $9.4 million of outstanding borrowings under the Credit Facility, respectively. The Credit Facility had a weighted average interest rate of 7.5% and 7.7%, exclusive of the fee on undrawn commitments as of September 30, 2024 and 2023, respectively. As of September 30, 2024 and 2023, we had $192.1 million and $376.6 million of unused borrowing capacity under the Credit Facility, respectively, subject to leverage and borrowing base restrictions.</w:t>
      </w:r>
    </w:p>
    <w:p>
      <w:pPr>
        <w:spacing w:after="0" w:line="96"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During the revolving period, the Credit Facility bears interest at SOFR (or an alternative risk- free floating interest rate index) plus 225 basis points and, after the revolving period, the rate will reset to Base Rate (or an alternative risk-free floating interest rate index) plus 250 basis points for the remaining two years, maturing in August 2029.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91" w:lineRule="exact"/>
        <w:rPr>
          <w:sz w:val="20"/>
          <w:szCs w:val="20"/>
          <w:color w:val="auto"/>
        </w:rPr>
      </w:pPr>
    </w:p>
    <w:p>
      <w:pPr>
        <w:jc w:val="both"/>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September 30, 2024, we were in compliance with the covenants relating to the Credit Facility.</w:t>
      </w:r>
    </w:p>
    <w:p>
      <w:pPr>
        <w:spacing w:after="0" w:line="91"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spacing w:after="0" w:line="76"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2023 Notes</w:t>
      </w:r>
    </w:p>
    <w:p>
      <w:pPr>
        <w:spacing w:after="0" w:line="16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In November 2017, we issued $138.6 million aggregate principal amount of our 2023 Notes that matured on December 15, 2023. The 2023 Notes were issued pursuant to a deed of trust between the Company and Mishmeret Trust Company, Ltd., as trustee in November 2017. In connection with this offering, we have dual listed our common stock on the TASE. On February 7, 2024, the Company filed a notice with the Israel Securities Authority and the TASE voluntarily requesting to delist the Company's common stock from trading on the TASE. The last day of trading on the TASE was May 6, 2024 and the delisting of the Company's common stock from the TASE took effect on May 8, 2024.</w:t>
      </w:r>
    </w:p>
    <w:p>
      <w:pPr>
        <w:spacing w:after="0" w:line="12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2023 Notes paid interest at a rate of 4.3% per year. Interest on the 2023 Notes was payable semi-annually in arrears on June 15 and December 15 of each year, commencing June 15, 2018. The principal on the 2023 Notes was payable in four annual installments as follows: 15% of the original principal amount on December 15, 2020, 15% of the original principal amount on December 15, 2021, 15% of the original principal amount on December 15, 2022 and 55% of the original principal amount on December 15, 2023. On December 15, 2023, the remaining outstanding 2023 Notes were repaid in full.</w:t>
      </w:r>
    </w:p>
    <w:p>
      <w:pPr>
        <w:spacing w:after="0" w:line="12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The 2023 Notes were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In connection with this offering, we dual listed our common stock on the TASE. On February 7, 2024, the Company filed a notice with the Israel Securities Authority and the TASE voluntarily requesting to de-list the Company's common stock form trading on the TASE. The last day of trading on the TASE was May 6, 2024 and the de-listing of the Company's stock from the TASE took effect on May 8, 2024.</w:t>
      </w:r>
    </w:p>
    <w:p>
      <w:pPr>
        <w:spacing w:after="0" w:line="130" w:lineRule="exact"/>
        <w:rPr>
          <w:sz w:val="20"/>
          <w:szCs w:val="20"/>
          <w:color w:val="auto"/>
        </w:rPr>
      </w:pPr>
    </w:p>
    <w:p>
      <w:pPr>
        <w:ind w:right="580" w:firstLine="420"/>
        <w:spacing w:after="0" w:line="286" w:lineRule="auto"/>
        <w:rPr>
          <w:sz w:val="20"/>
          <w:szCs w:val="20"/>
          <w:color w:val="auto"/>
        </w:rPr>
      </w:pPr>
      <w:r>
        <w:rPr>
          <w:rFonts w:ascii="Times New Roman" w:cs="Times New Roman" w:eastAsia="Times New Roman" w:hAnsi="Times New Roman"/>
          <w:sz w:val="13"/>
          <w:szCs w:val="13"/>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67"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w:t>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assets securing such indebtedness and structurally subordinated to all of our existing and future indebtedness and other obligations of any of our subsidiaries, financing vehicles, or similar facilities.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do not intend to list the 2026 Notes on any securities exchange or automated dealer quotation system.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2031 Asset-Backed Debt / 2036-R Asset-Backed Debt</w:t>
      </w:r>
    </w:p>
    <w:p>
      <w:pPr>
        <w:spacing w:after="0" w:line="167" w:lineRule="exact"/>
        <w:rPr>
          <w:sz w:val="20"/>
          <w:szCs w:val="20"/>
          <w:color w:val="auto"/>
        </w:rPr>
      </w:pPr>
    </w:p>
    <w:p>
      <w:pPr>
        <w:ind w:right="120" w:firstLine="420"/>
        <w:spacing w:after="0" w:line="253" w:lineRule="auto"/>
        <w:rPr>
          <w:sz w:val="20"/>
          <w:szCs w:val="20"/>
          <w:color w:val="auto"/>
        </w:rPr>
      </w:pPr>
      <w:r>
        <w:rPr>
          <w:rFonts w:ascii="Times New Roman" w:cs="Times New Roman" w:eastAsia="Times New Roman" w:hAnsi="Times New Roman"/>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$ 78.5 million Class A-1 Senior Secured Floating Rate Loans maturing 2031, which bear interest at the three-month SOFR plus 1.8%, (ii) $15.0 million Class A-2 Senior Secured Fixed Rate Notes due 2031, which bear interest at 3.7%, (iii) $14.0 million Class B-1 Senior Secured Floating Rate Notes due 2031, which bear interest at the three-month SOFR plus 2.9%,</w:t>
      </w:r>
    </w:p>
    <w:p>
      <w:pPr>
        <w:spacing w:after="0" w:line="1" w:lineRule="exact"/>
        <w:rPr>
          <w:sz w:val="20"/>
          <w:szCs w:val="20"/>
          <w:color w:val="auto"/>
        </w:rPr>
      </w:pPr>
    </w:p>
    <w:p>
      <w:pPr>
        <w:ind w:right="140" w:firstLine="6"/>
        <w:spacing w:after="0" w:line="157" w:lineRule="exact"/>
        <w:tabs>
          <w:tab w:leader="none" w:pos="223"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$16.0 million Class B-2 Senior Secured Fixed Rate Notes due 2031, which bear interest at 4.3%, (v) $19.0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SOFR plus 4.0%, (vi) $8.0 million Class C-2 Secured Deferrable Fixed Rate Notes due 2031, which bear interest at 5.4%, and (vii) $18.0 million Class D Secured Deferrable Floating Rate Loans due 2031, which bear interest at the three-month SOFR plus 4.8% and (B) the borrowing of $77.5 million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Notes due 2031, which bear interest at the three-month SOFR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ended on October 15, 2023 and the 2031 Asset-Backed Debt is scheduled to mature on October 15, 2031.</w:t>
      </w:r>
    </w:p>
    <w:p>
      <w:pPr>
        <w:spacing w:after="0" w:line="141"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2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September 30, 2024 and 2023, the Company had zero and $228.0 million, respectively, 2031 Asset-Backed Debt outstanding with a weighted average interest rate of zero and 7.1%, respectively. As of September 30, 2024 and 2023, the unamortized fees on the 2031 Asset-Backed Debt were zero and $1.2 million, respectively.</w:t>
      </w:r>
    </w:p>
    <w:p>
      <w:pPr>
        <w:spacing w:after="0" w:line="127"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2" w:lineRule="exact"/>
        <w:rPr>
          <w:sz w:val="20"/>
          <w:szCs w:val="20"/>
          <w:color w:val="auto"/>
        </w:rPr>
      </w:pPr>
    </w:p>
    <w:p>
      <w:pPr>
        <w:ind w:right="60" w:firstLine="420"/>
        <w:spacing w:after="0" w:line="258" w:lineRule="auto"/>
        <w:rPr>
          <w:sz w:val="20"/>
          <w:szCs w:val="20"/>
          <w:color w:val="auto"/>
        </w:rPr>
      </w:pPr>
      <w:r>
        <w:rPr>
          <w:rFonts w:ascii="Times New Roman" w:cs="Times New Roman" w:eastAsia="Times New Roman" w:hAnsi="Times New Roman"/>
          <w:sz w:val="13"/>
          <w:szCs w:val="13"/>
          <w:color w:val="auto"/>
        </w:rPr>
        <w:t>On July 25, 2024, the Company closed the refinancing and upsize of a four-year reinvestment period, twelve-year final maturity $351.0 million debt securitization in the form of a collateralized loan obligation (the “2036-R Asset-Backed Debt”). The 2036 -R Asset-Backed Debt was executed through: (A) the issuance by the Issuers of the following classes of notes pursuant that certain indenture, dated September 19, 2019, by and among the Issuers and U.S. Bank Trust Company, National Association, as amended by the second supplemental indenture, dated June 25, 2024):</w:t>
      </w:r>
    </w:p>
    <w:p>
      <w:pPr>
        <w:ind w:right="60" w:firstLine="6"/>
        <w:spacing w:after="0" w:line="252" w:lineRule="auto"/>
        <w:tabs>
          <w:tab w:leader="none" w:pos="15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$203 million of A-1-R Notes, which bear interest at the three-month SOFR plus 1.75%, (ii) $10.5 million of A-2-R Notes, which bear interest at three-month SOFR plus 1.90%, (iii) $12 million of Class B-R Notes, which bear interest at three-month SOFR plus 2.05%, (iv) $28 million of C-R Notes, which bear interest at three-month SOFR plus 2.75% and (v) $21 million of D-R Notes, which bear interest at three-month SOFR plus 4.30%, (B) the issuance by the Issuer of $64 million of subordinated notes pursuant to the Indenture and (C) the borrowing by the Issuer of $12.5 million of Class B-R Loans, which bear interest at three-month SOFR plus 2.05%, pursuant to a credit agreement, dated the closing date, by and among the Issuers, the various financial institutions and other persons party thereto, as lenders and U.S. Bank Trust Company, National Association, as loan agent and as trustee. The Replacement Debt matures in July 2036. The Replacement Debt was 100% funded at closing. The obligations of the Issuers under the Replacement are non-recourse to the Company. The Company will retain the Class D-R Notes and the Subordinated Notes through a consolidated subsidiary. As of September 30, 2024 and 2023, the Company had $266.0 million and zero, respectively, 2036-R Asset-Backed Debt outstanding with a weighted average interest rate of 7.2% and zero, respectively. As of September 30, 2024 and 2023, the unamortized fees on the 2036-R Asset-Backed Debt were $0.8 million and zero,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2036 Asset-Backed Debt</w:t>
      </w:r>
    </w:p>
    <w:p>
      <w:pPr>
        <w:spacing w:after="0" w:line="167" w:lineRule="exact"/>
        <w:rPr>
          <w:sz w:val="20"/>
          <w:szCs w:val="20"/>
          <w:color w:val="auto"/>
        </w:rPr>
      </w:pPr>
    </w:p>
    <w:p>
      <w:pPr>
        <w:ind w:firstLine="33"/>
        <w:spacing w:after="0" w:line="254" w:lineRule="auto"/>
        <w:rPr>
          <w:sz w:val="20"/>
          <w:szCs w:val="20"/>
          <w:color w:val="auto"/>
        </w:rPr>
      </w:pPr>
      <w:r>
        <w:rPr>
          <w:rFonts w:ascii="Times New Roman" w:cs="Times New Roman" w:eastAsia="Times New Roman" w:hAnsi="Times New Roman"/>
          <w:sz w:val="13"/>
          <w:szCs w:val="13"/>
          <w:color w:val="auto"/>
        </w:rPr>
        <w:t>In February 2024, the Company completed the $350.6 million term debt securitization. Term debt securitizations, also known as CLOs, are a form of secured financing incurred by the Company, which is consolidated by the Company and subject to the Company’s asset coverage requirements. The 2036 Asset-Backed Debt was issued by the 2036 Securitization Issuer. The 2036 Asset- 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 three-month SOFR plus 2.30%, (ii) $14 million of AAA(sf) Class A-2 Notes, which bear interest at three-month SOFR plus 2.70%, (iii) $24.5 million of AA(sf) Class B Notes, which bear interest at three -month SOFR plus 2.90%, (iv) $28 million of A(sf) Class C Notes, which bear interest at three-month SOFR plus 3.90%, (v) $ 21 million of BBB-(sf) Class D Notes, which bear interest at three- month SOFR plus 5.90%, (together, the “Secured Notes”), and (vi) $63.6 million of subordinated notes (“Subordinated Notes”) and (B) the borrowing of $60.0 million AAA(sf) Class A- 1 Senior Secured Floating Rate Loans (the “Class A- 1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annualized interest on the 2036 Asset-Backed Debt will be paid, to the extent of funds available. The Debt is scheduled to mature on April 18, 2036.</w:t>
      </w:r>
    </w:p>
    <w:p>
      <w:pPr>
        <w:spacing w:after="0" w:line="13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3"/>
          <w:szCs w:val="13"/>
          <w:color w:val="auto"/>
        </w:rPr>
        <w:t>The 2036 Asset-Backed Debt is included in the Consolidated Statement of Assets and Liabilities as debt of the Company and the Subordinated Notes of the 2036-Securitization Issuer were eliminated in consolidation. As of September 30, 2024, the Company had $287.0 million of 2036 Asset-Backed Debt outstanding with a weighted average interest rate of 8.1%. As of September 30, 2024, the unamortized fees on the 2036 Asset-Backed Debt were $2.9 million.</w:t>
      </w:r>
    </w:p>
    <w:p>
      <w:pPr>
        <w:spacing w:after="0" w:line="12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06" w:name="page107"/>
    <w:bookmarkEnd w:id="106"/>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COMMITMENTS AND CONTINGENCIES</w:t>
      </w:r>
    </w:p>
    <w:p>
      <w:pPr>
        <w:spacing w:after="0" w:line="129"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September 30, 2024 and 2023, we had $632.2 million and $155.5 million, respectively, in commitments to fund investments. Additionally, as described in Note 4, the Company had unfunded commitments of up to zero and $39.4 million to PSSL as of September 30, 2024 and 2023, respectively, that may be contributed primarily for the purpose of funding new investments approved by the PSSL board of directors or investment committee.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UNCONSOLIDATED SIGNIFICANT SUBSIDIARIES</w:t>
      </w:r>
    </w:p>
    <w:p>
      <w:pPr>
        <w:spacing w:after="0" w:line="129" w:lineRule="exact"/>
        <w:rPr>
          <w:sz w:val="20"/>
          <w:szCs w:val="20"/>
          <w:color w:val="auto"/>
        </w:rPr>
      </w:pPr>
    </w:p>
    <w:p>
      <w:pPr>
        <w:jc w:val="both"/>
        <w:ind w:right="160" w:firstLine="420"/>
        <w:spacing w:after="0" w:line="268" w:lineRule="auto"/>
        <w:rPr>
          <w:sz w:val="20"/>
          <w:szCs w:val="20"/>
          <w:color w:val="auto"/>
        </w:rPr>
      </w:pPr>
      <w:r>
        <w:rPr>
          <w:rFonts w:ascii="Times New Roman" w:cs="Times New Roman" w:eastAsia="Times New Roman" w:hAnsi="Times New Roman"/>
          <w:sz w:val="13"/>
          <w:szCs w:val="13"/>
          <w:color w:val="auto"/>
        </w:rPr>
        <w:t>We must determine which, if any, of our unconsolidated controlled portfolio companies is a "significant subsidiary" within the meaning of Regulation S -X. We have determined that, as of September 30, 2024, PennantPark Senior Secured Loan Fund I LLC triggered at least one of the significance tests. As a result and in accordance with Rule 3-09 of Regulation S-X, separate audited financial statements of PennantPark Senior Secured Loan Fund I LLC for the years ended September 30, 2024, 2023, and 2022 are being filed herewith as Exhibit 99.3 and Exhibit 99.4.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32" w:right="72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b w:val="1"/>
          <w:bCs w:val="1"/>
          <w:color w:val="auto"/>
        </w:rPr>
        <w:t>Item 9. Changes in and Disagreements with Accountants on Accounting and Financial Disclosure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9A. Controls and Procedures</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(a) Evaluation of Disclosure Controls and Procedures</w:t>
      </w:r>
    </w:p>
    <w:p>
      <w:pPr>
        <w:spacing w:after="0" w:line="167" w:lineRule="exact"/>
        <w:rPr>
          <w:sz w:val="20"/>
          <w:szCs w:val="20"/>
          <w:color w:val="auto"/>
        </w:rPr>
      </w:pPr>
    </w:p>
    <w:p>
      <w:pPr>
        <w:ind w:left="80" w:right="100" w:firstLine="420"/>
        <w:spacing w:after="0" w:line="256" w:lineRule="auto"/>
        <w:rPr>
          <w:sz w:val="20"/>
          <w:szCs w:val="20"/>
          <w:color w:val="auto"/>
        </w:rPr>
      </w:pPr>
      <w:r>
        <w:rPr>
          <w:rFonts w:ascii="Times New Roman" w:cs="Times New Roman" w:eastAsia="Times New Roman" w:hAnsi="Times New Roman"/>
          <w:sz w:val="13"/>
          <w:szCs w:val="13"/>
          <w:color w:val="auto"/>
        </w:rPr>
        <w:t>As of September 30, 2024, we, including our Chief Executive Officer and Chief Financial Officer, evaluated the effectiveness of the design and operation of our disclosure controls and procedures (as defined in Rule 13a -15(e)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(b) Management’s Report on Internal Control Over Financial Reporting</w:t>
      </w:r>
    </w:p>
    <w:p>
      <w:pPr>
        <w:spacing w:after="0" w:line="167" w:lineRule="exact"/>
        <w:rPr>
          <w:sz w:val="20"/>
          <w:szCs w:val="20"/>
          <w:color w:val="auto"/>
        </w:rPr>
      </w:pPr>
    </w:p>
    <w:p>
      <w:pPr>
        <w:ind w:left="80" w:right="2000" w:firstLine="420"/>
        <w:spacing w:after="0" w:line="472" w:lineRule="auto"/>
        <w:rPr>
          <w:sz w:val="20"/>
          <w:szCs w:val="20"/>
          <w:color w:val="auto"/>
        </w:rPr>
      </w:pPr>
      <w:r>
        <w:rPr>
          <w:rFonts w:ascii="Times New Roman" w:cs="Times New Roman" w:eastAsia="Times New Roman" w:hAnsi="Times New Roman"/>
          <w:sz w:val="13"/>
          <w:szCs w:val="13"/>
          <w:color w:val="auto"/>
        </w:rPr>
        <w:t xml:space="preserve">Management’s Report on Internal Control Over Financial Reporting, which appears on page [60] of this Form 10-K, is incorporated by reference herein. </w:t>
      </w:r>
      <w:r>
        <w:rPr>
          <w:rFonts w:ascii="Times New Roman" w:cs="Times New Roman" w:eastAsia="Times New Roman" w:hAnsi="Times New Roman"/>
          <w:sz w:val="13"/>
          <w:szCs w:val="13"/>
          <w:b w:val="1"/>
          <w:bCs w:val="1"/>
          <w:i w:val="1"/>
          <w:iCs w:val="1"/>
          <w:color w:val="auto"/>
        </w:rPr>
        <w:t>(c) Changes in Internal Controls Over Financial Reporting</w:t>
      </w:r>
    </w:p>
    <w:p>
      <w:pPr>
        <w:ind w:left="80" w:right="4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2024, management remediated the material weakness previously identified as of September 30, 2023 relating to (a) the operation of our internal controls relating to the quarterly cash and investment reconciliations and (b) in the operating of our internal controls over financial reporting relating to our review of interest income and non-accrual classification of investments. Although this material weakness did not result in any material misstatement of our consolidated financial statements, there is a possibility it could have led to a material misstatement of account balances or disclosures that were not prevented or detected.</w:t>
      </w:r>
    </w:p>
    <w:p>
      <w:pPr>
        <w:spacing w:after="0" w:line="127" w:lineRule="exact"/>
        <w:rPr>
          <w:sz w:val="20"/>
          <w:szCs w:val="20"/>
          <w:color w:val="auto"/>
        </w:rPr>
      </w:pPr>
    </w:p>
    <w:p>
      <w:pPr>
        <w:ind w:left="80" w:firstLine="420"/>
        <w:spacing w:after="0" w:line="262" w:lineRule="auto"/>
        <w:rPr>
          <w:sz w:val="20"/>
          <w:szCs w:val="20"/>
          <w:color w:val="auto"/>
        </w:rPr>
      </w:pPr>
      <w:r>
        <w:rPr>
          <w:rFonts w:ascii="Times New Roman" w:cs="Times New Roman" w:eastAsia="Times New Roman" w:hAnsi="Times New Roman"/>
          <w:sz w:val="13"/>
          <w:szCs w:val="13"/>
          <w:color w:val="auto"/>
        </w:rPr>
        <w:t>Management remediated the material weaknesses identified as of September 30, 2023 by enhancing (a) the appropriate review of the quarterly cash and investment reconciliation and that it is adequately documented so as to provide evidence that the controls are operating effectively, (b) existing controls to ensure that our internal controls over financial reporting relating to our analysis of interest income and assessment of investments for classification as non-accrual investments are operating effectively and (c) policies and procedures to demonstrate a commitment to improving our overall control environment.</w:t>
      </w:r>
    </w:p>
    <w:p>
      <w:pPr>
        <w:spacing w:after="0" w:line="127" w:lineRule="exact"/>
        <w:rPr>
          <w:sz w:val="20"/>
          <w:szCs w:val="20"/>
          <w:color w:val="auto"/>
        </w:rPr>
      </w:pPr>
    </w:p>
    <w:p>
      <w:pPr>
        <w:ind w:left="80" w:right="120" w:firstLine="420"/>
        <w:spacing w:after="0" w:line="286" w:lineRule="auto"/>
        <w:rPr>
          <w:sz w:val="20"/>
          <w:szCs w:val="20"/>
          <w:color w:val="auto"/>
        </w:rPr>
      </w:pPr>
      <w:r>
        <w:rPr>
          <w:rFonts w:ascii="Times New Roman" w:cs="Times New Roman" w:eastAsia="Times New Roman" w:hAnsi="Times New Roman"/>
          <w:sz w:val="13"/>
          <w:szCs w:val="13"/>
          <w:color w:val="auto"/>
        </w:rPr>
        <w:t>As a result of the remediation activities, management has determined that management’s controls were designed appropriately and at a sufficient level of precision, and have been operating effectively for a sufficient period of time, such that the material weakness previously identified as of September 30, 2023 has been remediated as of September 30, 2024.</w:t>
      </w:r>
    </w:p>
    <w:p>
      <w:pPr>
        <w:spacing w:after="0" w:line="112" w:lineRule="exact"/>
        <w:rPr>
          <w:sz w:val="20"/>
          <w:szCs w:val="20"/>
          <w:color w:val="auto"/>
        </w:rPr>
      </w:pPr>
    </w:p>
    <w:p>
      <w:pPr>
        <w:ind w:left="80" w:right="20" w:firstLine="420"/>
        <w:spacing w:after="0" w:line="286" w:lineRule="auto"/>
        <w:rPr>
          <w:sz w:val="20"/>
          <w:szCs w:val="20"/>
          <w:color w:val="auto"/>
        </w:rPr>
      </w:pPr>
      <w:r>
        <w:rPr>
          <w:rFonts w:ascii="Times New Roman" w:cs="Times New Roman" w:eastAsia="Times New Roman" w:hAnsi="Times New Roman"/>
          <w:sz w:val="13"/>
          <w:szCs w:val="13"/>
          <w:color w:val="auto"/>
        </w:rPr>
        <w:t>Except as noted above, 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9B. Other Information</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i w:val="1"/>
          <w:iCs w:val="1"/>
          <w:color w:val="auto"/>
        </w:rPr>
        <w:t>10b5-1 Disclosure</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None of the officers or directors of the Company have adopted or terminated any Rule 10b5-1 trading arrangements applicable to them (if any) or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9C. Disclosure Regarding Foreign Jurisdictions that Prevent Inspections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2239645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580" w:top="1288" w:right="760" w:bottom="1440" w:gutter="0" w:footer="0" w:header="0"/>
        </w:sectPr>
      </w:pPr>
    </w:p>
    <w:bookmarkStart w:id="108" w:name="page109"/>
    <w:bookmarkEnd w:id="108"/>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29" w:lineRule="exact"/>
        <w:rPr>
          <w:sz w:val="20"/>
          <w:szCs w:val="20"/>
          <w:color w:val="auto"/>
        </w:rPr>
      </w:pPr>
    </w:p>
    <w:p>
      <w:pPr>
        <w:ind w:left="80" w:firstLine="420"/>
        <w:spacing w:after="0" w:line="268" w:lineRule="auto"/>
        <w:rPr>
          <w:sz w:val="20"/>
          <w:szCs w:val="20"/>
          <w:color w:val="auto"/>
        </w:rPr>
      </w:pPr>
      <w:r>
        <w:rPr>
          <w:rFonts w:ascii="Times New Roman" w:cs="Times New Roman" w:eastAsia="Times New Roman" w:hAnsi="Times New Roman"/>
          <w:sz w:val="13"/>
          <w:szCs w:val="13"/>
          <w:color w:val="auto"/>
        </w:rPr>
        <w:t>We will file a definitive Proxy Statement for our 2025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10. Directors, Executive Officers and Corporate Governance</w:t>
      </w:r>
    </w:p>
    <w:p>
      <w:pPr>
        <w:spacing w:after="0" w:line="129" w:lineRule="exact"/>
        <w:rPr>
          <w:sz w:val="20"/>
          <w:szCs w:val="20"/>
          <w:color w:val="auto"/>
        </w:rPr>
      </w:pPr>
    </w:p>
    <w:p>
      <w:pPr>
        <w:ind w:left="80" w:right="16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10 is hereby incorporated by reference from our definitive Proxy Statement relating to our 2025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11. Executive Compensation</w:t>
      </w:r>
    </w:p>
    <w:p>
      <w:pPr>
        <w:spacing w:after="0" w:line="129" w:lineRule="exact"/>
        <w:rPr>
          <w:sz w:val="20"/>
          <w:szCs w:val="20"/>
          <w:color w:val="auto"/>
        </w:rPr>
      </w:pPr>
    </w:p>
    <w:p>
      <w:pPr>
        <w:ind w:left="80" w:right="16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11 is hereby incorporated by reference from our definitive Proxy Statement relating to our 2025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12. Security Ownership of Certain Beneficial Owners and Management and Related Stockholder Matters</w:t>
      </w:r>
    </w:p>
    <w:p>
      <w:pPr>
        <w:spacing w:after="0" w:line="129" w:lineRule="exact"/>
        <w:rPr>
          <w:sz w:val="20"/>
          <w:szCs w:val="20"/>
          <w:color w:val="auto"/>
        </w:rPr>
      </w:pPr>
    </w:p>
    <w:p>
      <w:pPr>
        <w:ind w:left="80" w:right="16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12 is hereby incorporated by reference from our definitive Proxy Statement relating to our 2025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13. Certain Relationships and Related Transactions, and Director Independence</w:t>
      </w:r>
    </w:p>
    <w:p>
      <w:pPr>
        <w:spacing w:after="0" w:line="129" w:lineRule="exact"/>
        <w:rPr>
          <w:sz w:val="20"/>
          <w:szCs w:val="20"/>
          <w:color w:val="auto"/>
        </w:rPr>
      </w:pPr>
    </w:p>
    <w:p>
      <w:pPr>
        <w:ind w:left="80" w:right="16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13 is hereby incorporated by reference from our definitive Proxy Statement relating to our 2025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14. Principal Accountant Fees and Services</w:t>
      </w:r>
    </w:p>
    <w:p>
      <w:pPr>
        <w:spacing w:after="0" w:line="129" w:lineRule="exact"/>
        <w:rPr>
          <w:sz w:val="20"/>
          <w:szCs w:val="20"/>
          <w:color w:val="auto"/>
        </w:rPr>
      </w:pPr>
    </w:p>
    <w:p>
      <w:pPr>
        <w:ind w:left="80" w:right="16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14 is hereby incorporated by reference from our definitive Proxy Statement relating to our 2025 Annual Meeting of Stockholders, to be filed with the SEC within 120 days following the end of our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508000</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1288" w:right="700" w:bottom="1440" w:gutter="0" w:footer="0" w:header="0"/>
        </w:sectPr>
      </w:pPr>
    </w:p>
    <w:bookmarkStart w:id="109" w:name="page110"/>
    <w:bookmarkEnd w:id="109"/>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 Exhibits and Financial Statement Schedules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following documents are filed as part of this Annual Report:</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10140" w:type="dxa"/>
            <w:vAlign w:val="bottom"/>
            <w:gridSpan w:val="32"/>
          </w:tcPr>
          <w:p>
            <w:pPr>
              <w:ind w:left="120"/>
              <w:spacing w:after="0"/>
              <w:rPr>
                <w:sz w:val="20"/>
                <w:szCs w:val="20"/>
                <w:color w:val="auto"/>
              </w:rPr>
            </w:pPr>
            <w:r>
              <w:rPr>
                <w:rFonts w:ascii="Times New Roman" w:cs="Times New Roman" w:eastAsia="Times New Roman" w:hAnsi="Times New Roman"/>
                <w:sz w:val="13"/>
                <w:szCs w:val="13"/>
                <w:color w:val="auto"/>
              </w:rPr>
              <w:t>(1)Index to Financial Statements — Refer to Item 8 starting on page 52.</w:t>
            </w:r>
          </w:p>
        </w:tc>
      </w:tr>
      <w:tr>
        <w:trPr>
          <w:trHeight w:val="276"/>
        </w:trPr>
        <w:tc>
          <w:tcPr>
            <w:tcW w:w="420" w:type="dxa"/>
            <w:vAlign w:val="bottom"/>
          </w:tcPr>
          <w:p>
            <w:pPr>
              <w:spacing w:after="0"/>
              <w:rPr>
                <w:sz w:val="24"/>
                <w:szCs w:val="24"/>
                <w:color w:val="auto"/>
              </w:rPr>
            </w:pPr>
          </w:p>
        </w:tc>
        <w:tc>
          <w:tcPr>
            <w:tcW w:w="10140" w:type="dxa"/>
            <w:vAlign w:val="bottom"/>
            <w:gridSpan w:val="32"/>
          </w:tcPr>
          <w:p>
            <w:pPr>
              <w:ind w:left="120"/>
              <w:spacing w:after="0"/>
              <w:rPr>
                <w:sz w:val="20"/>
                <w:szCs w:val="20"/>
                <w:color w:val="auto"/>
              </w:rPr>
            </w:pPr>
            <w:r>
              <w:rPr>
                <w:rFonts w:ascii="Times New Roman" w:cs="Times New Roman" w:eastAsia="Times New Roman" w:hAnsi="Times New Roman"/>
                <w:sz w:val="13"/>
                <w:szCs w:val="13"/>
                <w:color w:val="auto"/>
              </w:rPr>
              <w:t>(2)Financial Statement Schedules — None.</w:t>
            </w:r>
          </w:p>
        </w:tc>
      </w:tr>
      <w:tr>
        <w:trPr>
          <w:trHeight w:val="276"/>
        </w:trPr>
        <w:tc>
          <w:tcPr>
            <w:tcW w:w="420" w:type="dxa"/>
            <w:vAlign w:val="bottom"/>
          </w:tcPr>
          <w:p>
            <w:pPr>
              <w:spacing w:after="0"/>
              <w:rPr>
                <w:sz w:val="24"/>
                <w:szCs w:val="24"/>
                <w:color w:val="auto"/>
              </w:rPr>
            </w:pPr>
          </w:p>
        </w:tc>
        <w:tc>
          <w:tcPr>
            <w:tcW w:w="10140" w:type="dxa"/>
            <w:vAlign w:val="bottom"/>
            <w:gridSpan w:val="32"/>
          </w:tcPr>
          <w:p>
            <w:pPr>
              <w:ind w:left="120"/>
              <w:spacing w:after="0"/>
              <w:rPr>
                <w:sz w:val="20"/>
                <w:szCs w:val="20"/>
                <w:color w:val="auto"/>
              </w:rPr>
            </w:pPr>
            <w:r>
              <w:rPr>
                <w:rFonts w:ascii="Times New Roman" w:cs="Times New Roman" w:eastAsia="Times New Roman" w:hAnsi="Times New Roman"/>
                <w:sz w:val="13"/>
                <w:szCs w:val="13"/>
                <w:color w:val="auto"/>
              </w:rPr>
              <w:t>(3)Exhibits</w:t>
            </w:r>
          </w:p>
        </w:tc>
      </w:tr>
      <w:tr>
        <w:trPr>
          <w:trHeight w:val="308"/>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1000" w:type="dxa"/>
            <w:vAlign w:val="bottom"/>
          </w:tcPr>
          <w:p>
            <w:pPr>
              <w:spacing w:after="0"/>
              <w:rPr>
                <w:sz w:val="24"/>
                <w:szCs w:val="24"/>
                <w:color w:val="auto"/>
              </w:rPr>
            </w:pPr>
          </w:p>
        </w:tc>
        <w:tc>
          <w:tcPr>
            <w:tcW w:w="902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Articles of Amendment and Restatement of the Registrant (Incorporated by reference to the Registrant’s Pre-Effective Amendment No. 3 to the Registration Statement on</w:t>
              </w:r>
            </w:hyperlink>
          </w:p>
        </w:tc>
        <w:tc>
          <w:tcPr>
            <w:tcW w:w="120" w:type="dxa"/>
            <w:vAlign w:val="bottom"/>
            <w:gridSpan w:val="6"/>
          </w:tcPr>
          <w:p>
            <w:pPr>
              <w:spacing w:after="0"/>
              <w:rPr>
                <w:sz w:val="24"/>
                <w:szCs w:val="24"/>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Form N-2 (File No. 333-170243), filed on March 29, 2011).</w:t>
              </w:r>
            </w:hyperlink>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1000" w:type="dxa"/>
            <w:vAlign w:val="bottom"/>
          </w:tcPr>
          <w:p>
            <w:pPr>
              <w:spacing w:after="0"/>
              <w:rPr>
                <w:sz w:val="22"/>
                <w:szCs w:val="22"/>
                <w:color w:val="auto"/>
              </w:rPr>
            </w:pPr>
          </w:p>
        </w:tc>
        <w:tc>
          <w:tcPr>
            <w:tcW w:w="9100" w:type="dxa"/>
            <w:vAlign w:val="bottom"/>
            <w:tcBorders>
              <w:bottom w:val="single" w:sz="8" w:color="0000FF"/>
            </w:tcBorders>
            <w:gridSpan w:val="29"/>
          </w:tcPr>
          <w:p>
            <w:pPr>
              <w:spacing w:after="0"/>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 No. 814-00891),</w:t>
              </w:r>
            </w:hyperlink>
          </w:p>
        </w:tc>
        <w:tc>
          <w:tcPr>
            <w:tcW w:w="40" w:type="dxa"/>
            <w:vAlign w:val="bottom"/>
            <w:gridSpan w:val="2"/>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filed on May 11, 2020).</w:t>
              </w:r>
            </w:hyperlink>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4.1</w:t>
            </w:r>
          </w:p>
        </w:tc>
        <w:tc>
          <w:tcPr>
            <w:tcW w:w="1000" w:type="dxa"/>
            <w:vAlign w:val="bottom"/>
          </w:tcPr>
          <w:p>
            <w:pPr>
              <w:spacing w:after="0"/>
              <w:rPr>
                <w:sz w:val="22"/>
                <w:szCs w:val="22"/>
                <w:color w:val="auto"/>
              </w:rPr>
            </w:pPr>
          </w:p>
        </w:tc>
        <w:tc>
          <w:tcPr>
            <w:tcW w:w="9120" w:type="dxa"/>
            <w:vAlign w:val="bottom"/>
            <w:tcBorders>
              <w:bottom w:val="single" w:sz="8" w:color="0000FF"/>
            </w:tcBorders>
            <w:gridSpan w:val="30"/>
          </w:tcPr>
          <w:p>
            <w:pPr>
              <w:spacing w:after="0"/>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Form of Share Certificate (Incorporated by reference to the Registrant’s Pre-Effective Amendment No. 5 to the Registration Statement on Form N-2 (File No. 333-170243),</w:t>
              </w:r>
            </w:hyperlink>
          </w:p>
        </w:tc>
        <w:tc>
          <w:tcPr>
            <w:tcW w:w="20" w:type="dxa"/>
            <w:vAlign w:val="bottom"/>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40" w:type="dxa"/>
            <w:vAlign w:val="bottom"/>
            <w:tcBorders>
              <w:bottom w:val="single" w:sz="8" w:color="0000FF"/>
            </w:tcBorders>
            <w:gridSpan w:val="5"/>
          </w:tcPr>
          <w:p>
            <w:pPr>
              <w:spacing w:after="0" w:line="136" w:lineRule="exact"/>
              <w:rPr>
                <w:rFonts w:ascii="Times New Roman" w:cs="Times New Roman" w:eastAsia="Times New Roman" w:hAnsi="Times New Roman"/>
                <w:sz w:val="13"/>
                <w:szCs w:val="13"/>
                <w:color w:val="0000FF"/>
                <w:w w:val="99"/>
              </w:rPr>
            </w:pPr>
            <w:hyperlink r:id="rId123">
              <w:r>
                <w:rPr>
                  <w:rFonts w:ascii="Times New Roman" w:cs="Times New Roman" w:eastAsia="Times New Roman" w:hAnsi="Times New Roman"/>
                  <w:sz w:val="13"/>
                  <w:szCs w:val="13"/>
                  <w:color w:val="0000FF"/>
                  <w:w w:val="99"/>
                </w:rPr>
                <w:t>filed on April 5, 2011).</w:t>
              </w:r>
            </w:hyperlink>
          </w:p>
        </w:tc>
        <w:tc>
          <w:tcPr>
            <w:tcW w:w="7900" w:type="dxa"/>
            <w:vAlign w:val="bottom"/>
            <w:gridSpan w:val="26"/>
          </w:tcPr>
          <w:p>
            <w:pPr>
              <w:spacing w:after="0"/>
              <w:rPr>
                <w:sz w:val="11"/>
                <w:szCs w:val="1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4.2</w:t>
            </w:r>
          </w:p>
        </w:tc>
        <w:tc>
          <w:tcPr>
            <w:tcW w:w="1000" w:type="dxa"/>
            <w:vAlign w:val="bottom"/>
          </w:tcPr>
          <w:p>
            <w:pPr>
              <w:spacing w:after="0"/>
              <w:rPr>
                <w:sz w:val="22"/>
                <w:szCs w:val="22"/>
                <w:color w:val="auto"/>
              </w:rPr>
            </w:pPr>
          </w:p>
        </w:tc>
        <w:tc>
          <w:tcPr>
            <w:tcW w:w="9060" w:type="dxa"/>
            <w:vAlign w:val="bottom"/>
            <w:tcBorders>
              <w:bottom w:val="single" w:sz="8" w:color="0000FF"/>
            </w:tcBorders>
            <w:gridSpan w:val="27"/>
          </w:tcPr>
          <w:p>
            <w:pPr>
              <w:spacing w:after="0"/>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Indenture, dated as of September 19, 2019, by and among PennantPark CLO I, Ltd., as issuer, PennantPark CLO I, LLC, as co-issuer, and U.S. Bank National Association,</w:t>
              </w:r>
            </w:hyperlink>
          </w:p>
        </w:tc>
        <w:tc>
          <w:tcPr>
            <w:tcW w:w="80" w:type="dxa"/>
            <w:vAlign w:val="bottom"/>
            <w:gridSpan w:val="4"/>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960" w:type="dxa"/>
            <w:vAlign w:val="bottom"/>
            <w:tcBorders>
              <w:bottom w:val="single" w:sz="8" w:color="0000FF"/>
            </w:tcBorders>
            <w:gridSpan w:val="22"/>
          </w:tcPr>
          <w:p>
            <w:pPr>
              <w:spacing w:after="0" w:line="136"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as trustee and as collateral agent (Incorporated by reference to Exhibit 99.2 to the Registrant’s Current Report on Form 8-K (File No. 814-00891), filed on September 20,</w:t>
              </w:r>
            </w:hyperlink>
          </w:p>
        </w:tc>
        <w:tc>
          <w:tcPr>
            <w:tcW w:w="180" w:type="dxa"/>
            <w:vAlign w:val="bottom"/>
            <w:gridSpan w:val="9"/>
          </w:tcPr>
          <w:p>
            <w:pPr>
              <w:spacing w:after="0"/>
              <w:rPr>
                <w:sz w:val="11"/>
                <w:szCs w:val="11"/>
                <w:color w:val="auto"/>
              </w:rPr>
            </w:pPr>
          </w:p>
        </w:tc>
      </w:tr>
      <w:tr>
        <w:trPr>
          <w:trHeight w:val="136"/>
        </w:trPr>
        <w:tc>
          <w:tcPr>
            <w:tcW w:w="420" w:type="dxa"/>
            <w:vAlign w:val="bottom"/>
          </w:tcPr>
          <w:p>
            <w:pPr>
              <w:spacing w:after="0"/>
              <w:rPr>
                <w:sz w:val="11"/>
                <w:szCs w:val="11"/>
                <w:color w:val="auto"/>
              </w:rPr>
            </w:pPr>
          </w:p>
        </w:tc>
        <w:tc>
          <w:tcPr>
            <w:tcW w:w="1340" w:type="dxa"/>
            <w:vAlign w:val="bottom"/>
            <w:gridSpan w:val="2"/>
          </w:tcPr>
          <w:p>
            <w:pPr>
              <w:ind w:left="1000"/>
              <w:spacing w:after="0" w:line="136" w:lineRule="exact"/>
              <w:rPr>
                <w:rFonts w:ascii="Times New Roman" w:cs="Times New Roman" w:eastAsia="Times New Roman" w:hAnsi="Times New Roman"/>
                <w:sz w:val="13"/>
                <w:szCs w:val="13"/>
                <w:color w:val="0000FF"/>
                <w:w w:val="95"/>
              </w:rPr>
            </w:pPr>
            <w:hyperlink r:id="rId124">
              <w:r>
                <w:rPr>
                  <w:rFonts w:ascii="Times New Roman" w:cs="Times New Roman" w:eastAsia="Times New Roman" w:hAnsi="Times New Roman"/>
                  <w:sz w:val="13"/>
                  <w:szCs w:val="13"/>
                  <w:color w:val="0000FF"/>
                  <w:w w:val="95"/>
                </w:rPr>
                <w:t>2019).</w:t>
              </w:r>
            </w:hyperlink>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4.3</w:t>
            </w:r>
          </w:p>
        </w:tc>
        <w:tc>
          <w:tcPr>
            <w:tcW w:w="1000" w:type="dxa"/>
            <w:vAlign w:val="bottom"/>
          </w:tcPr>
          <w:p>
            <w:pPr>
              <w:spacing w:after="0"/>
              <w:rPr>
                <w:sz w:val="22"/>
                <w:szCs w:val="22"/>
                <w:color w:val="auto"/>
              </w:rPr>
            </w:pPr>
          </w:p>
        </w:tc>
        <w:tc>
          <w:tcPr>
            <w:tcW w:w="9120" w:type="dxa"/>
            <w:vAlign w:val="bottom"/>
            <w:tcBorders>
              <w:bottom w:val="single" w:sz="8" w:color="0000FF"/>
            </w:tcBorders>
            <w:gridSpan w:val="30"/>
          </w:tcPr>
          <w:p>
            <w:pPr>
              <w:spacing w:after="0"/>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Indenture, dated as of March 23, 2021, by and between the Company and American Stock Transfer &amp; Trust Company, LLC, as trustee (Incorporated by reference to Exhibit</w:t>
              </w:r>
            </w:hyperlink>
          </w:p>
        </w:tc>
        <w:tc>
          <w:tcPr>
            <w:tcW w:w="20" w:type="dxa"/>
            <w:vAlign w:val="bottom"/>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4.</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Registrant’s Current Report on Form 8-K (File No. 814-00891), filed on March 23, 2021).</w:t>
              </w:r>
            </w:hyperlink>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6"/>
        </w:trPr>
        <w:tc>
          <w:tcPr>
            <w:tcW w:w="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4.4</w:t>
            </w:r>
          </w:p>
        </w:tc>
        <w:tc>
          <w:tcPr>
            <w:tcW w:w="1000" w:type="dxa"/>
            <w:vAlign w:val="bottom"/>
          </w:tcPr>
          <w:p>
            <w:pPr>
              <w:spacing w:after="0"/>
              <w:rPr>
                <w:sz w:val="22"/>
                <w:szCs w:val="22"/>
                <w:color w:val="auto"/>
              </w:rPr>
            </w:pPr>
          </w:p>
        </w:tc>
        <w:tc>
          <w:tcPr>
            <w:tcW w:w="9080" w:type="dxa"/>
            <w:vAlign w:val="bottom"/>
            <w:tcBorders>
              <w:bottom w:val="single" w:sz="8" w:color="0000FF"/>
            </w:tcBorders>
            <w:gridSpan w:val="28"/>
          </w:tcPr>
          <w:p>
            <w:pPr>
              <w:spacing w:after="0"/>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First Supplemental Indenture, dated as of March 23, 2021, by and between the Company and American Stock Transfer &amp; Trust Company, LLC, as trustee (Incorporated by</w:t>
              </w:r>
            </w:hyperlink>
          </w:p>
        </w:tc>
        <w:tc>
          <w:tcPr>
            <w:tcW w:w="60" w:type="dxa"/>
            <w:vAlign w:val="bottom"/>
            <w:gridSpan w:val="3"/>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reference to Exhibit 4.2 to the Registrant’s Current Report on Form 8-K (File No. 814-00891), filed on March 23, 2021.</w:t>
              </w:r>
            </w:hyperlink>
          </w:p>
        </w:tc>
      </w:tr>
      <w:tr>
        <w:trPr>
          <w:trHeight w:val="256"/>
        </w:trPr>
        <w:tc>
          <w:tcPr>
            <w:tcW w:w="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4.5</w:t>
            </w:r>
          </w:p>
        </w:tc>
        <w:tc>
          <w:tcPr>
            <w:tcW w:w="1000" w:type="dxa"/>
            <w:vAlign w:val="bottom"/>
          </w:tcPr>
          <w:p>
            <w:pPr>
              <w:spacing w:after="0"/>
              <w:rPr>
                <w:sz w:val="22"/>
                <w:szCs w:val="22"/>
                <w:color w:val="auto"/>
              </w:rPr>
            </w:pPr>
          </w:p>
        </w:tc>
        <w:tc>
          <w:tcPr>
            <w:tcW w:w="6320" w:type="dxa"/>
            <w:vAlign w:val="bottom"/>
            <w:tcBorders>
              <w:top w:val="single" w:sz="8" w:color="0000FF"/>
            </w:tcBorders>
            <w:gridSpan w:val="12"/>
          </w:tcPr>
          <w:p>
            <w:pPr>
              <w:spacing w:after="0"/>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Form of 4.25% Notes due 2026 (Incorporated by reference to Exhibit 4.5 hereto).</w:t>
              </w:r>
            </w:hyperlink>
          </w:p>
        </w:tc>
        <w:tc>
          <w:tcPr>
            <w:tcW w:w="2820" w:type="dxa"/>
            <w:vAlign w:val="bottom"/>
            <w:gridSpan w:val="19"/>
          </w:tcPr>
          <w:p>
            <w:pPr>
              <w:spacing w:after="0"/>
              <w:rPr>
                <w:sz w:val="22"/>
                <w:szCs w:val="22"/>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4.6</w:t>
            </w:r>
          </w:p>
        </w:tc>
        <w:tc>
          <w:tcPr>
            <w:tcW w:w="1000" w:type="dxa"/>
            <w:vAlign w:val="bottom"/>
          </w:tcPr>
          <w:p>
            <w:pPr>
              <w:spacing w:after="0"/>
              <w:rPr>
                <w:sz w:val="22"/>
                <w:szCs w:val="22"/>
                <w:color w:val="auto"/>
              </w:rPr>
            </w:pPr>
          </w:p>
        </w:tc>
        <w:tc>
          <w:tcPr>
            <w:tcW w:w="886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Description of Securities (Incorporated by reference to Exhibit 4.4 to the Registrant’s Annual Report on Form 10-K (File No. 814-00891) filed on November 20, 2019).</w:t>
              </w:r>
            </w:hyperlink>
          </w:p>
        </w:tc>
        <w:tc>
          <w:tcPr>
            <w:tcW w:w="280" w:type="dxa"/>
            <w:vAlign w:val="bottom"/>
            <w:gridSpan w:val="13"/>
          </w:tcPr>
          <w:p>
            <w:pPr>
              <w:spacing w:after="0"/>
              <w:rPr>
                <w:sz w:val="22"/>
                <w:szCs w:val="22"/>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0" w:type="dxa"/>
            <w:vAlign w:val="bottom"/>
          </w:tcPr>
          <w:p>
            <w:pPr>
              <w:spacing w:after="0"/>
              <w:rPr>
                <w:sz w:val="22"/>
                <w:szCs w:val="22"/>
                <w:color w:val="auto"/>
              </w:rPr>
            </w:pPr>
          </w:p>
        </w:tc>
        <w:tc>
          <w:tcPr>
            <w:tcW w:w="8980" w:type="dxa"/>
            <w:vAlign w:val="bottom"/>
            <w:tcBorders>
              <w:bottom w:val="single" w:sz="8" w:color="0000FF"/>
            </w:tcBorders>
            <w:gridSpan w:val="23"/>
          </w:tcPr>
          <w:p>
            <w:pPr>
              <w:spacing w:after="0"/>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Amended and Restated Administration Agreement, dated as of May 20, 2024, between the Registrant and PennantPark Investment Administration, LLC (Incorporated by</w:t>
              </w:r>
            </w:hyperlink>
          </w:p>
        </w:tc>
        <w:tc>
          <w:tcPr>
            <w:tcW w:w="160" w:type="dxa"/>
            <w:vAlign w:val="bottom"/>
            <w:gridSpan w:val="8"/>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reference to Exhibit 2(k)(2) to the Registrant’s Registration on Form N-2 (File No. 333-279726), filed on May 24, 2024).</w:t>
              </w:r>
            </w:hyperlink>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w:t>
            </w:r>
          </w:p>
        </w:tc>
        <w:tc>
          <w:tcPr>
            <w:tcW w:w="1000" w:type="dxa"/>
            <w:vAlign w:val="bottom"/>
          </w:tcPr>
          <w:p>
            <w:pPr>
              <w:spacing w:after="0"/>
              <w:rPr>
                <w:sz w:val="22"/>
                <w:szCs w:val="22"/>
                <w:color w:val="auto"/>
              </w:rPr>
            </w:pPr>
          </w:p>
        </w:tc>
        <w:tc>
          <w:tcPr>
            <w:tcW w:w="9140" w:type="dxa"/>
            <w:vAlign w:val="bottom"/>
            <w:tcBorders>
              <w:bottom w:val="single" w:sz="8" w:color="0000FF"/>
            </w:tcBorders>
            <w:gridSpan w:val="31"/>
          </w:tcPr>
          <w:p>
            <w:pPr>
              <w:spacing w:after="0"/>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Dividend Reinvestment Plan (Incorporated by reference to Exhibit 99(e) to the Registrant’s Pre-Effective Amendment No. 3 to the Registration Statement on Form N-2 (File</w:t>
              </w:r>
            </w:hyperlink>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No. 333-170243), filed on March 29, 2011).</w:t>
              </w:r>
            </w:hyperlink>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8"/>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w:t>
            </w:r>
          </w:p>
        </w:tc>
        <w:tc>
          <w:tcPr>
            <w:tcW w:w="1000" w:type="dxa"/>
            <w:vAlign w:val="bottom"/>
          </w:tcPr>
          <w:p>
            <w:pPr>
              <w:spacing w:after="0"/>
              <w:rPr>
                <w:sz w:val="23"/>
                <w:szCs w:val="23"/>
                <w:color w:val="auto"/>
              </w:rPr>
            </w:pPr>
          </w:p>
        </w:tc>
        <w:tc>
          <w:tcPr>
            <w:tcW w:w="902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Third Amended and Restated Investment Advisory Management Agreement, dated as of May 20, 2024, between PennantPark Floating Rate Capital Ltd. and PennantPark</w:t>
              </w:r>
            </w:hyperlink>
          </w:p>
        </w:tc>
        <w:tc>
          <w:tcPr>
            <w:tcW w:w="120" w:type="dxa"/>
            <w:vAlign w:val="bottom"/>
            <w:gridSpan w:val="6"/>
          </w:tcPr>
          <w:p>
            <w:pPr>
              <w:spacing w:after="0"/>
              <w:rPr>
                <w:sz w:val="23"/>
                <w:szCs w:val="23"/>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80" w:type="dxa"/>
            <w:vAlign w:val="bottom"/>
            <w:tcBorders>
              <w:bottom w:val="single" w:sz="8" w:color="0000FF"/>
            </w:tcBorders>
            <w:gridSpan w:val="28"/>
          </w:tcPr>
          <w:p>
            <w:pPr>
              <w:spacing w:after="0" w:line="136"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Investment Advisers, LLC (Incorporated by reference to Exhibit (g) to the Registrant’s Registration Statement on Form N-2 (File No. 333-279726), filed on June 21, 2024)</w:t>
              </w:r>
            </w:hyperlink>
            <w:r>
              <w:rPr>
                <w:rFonts w:ascii="Times New Roman" w:cs="Times New Roman" w:eastAsia="Times New Roman" w:hAnsi="Times New Roman"/>
                <w:sz w:val="13"/>
                <w:szCs w:val="13"/>
                <w:color w:val="0000FF"/>
              </w:rPr>
              <w:t>.</w:t>
            </w:r>
          </w:p>
        </w:tc>
        <w:tc>
          <w:tcPr>
            <w:tcW w:w="60" w:type="dxa"/>
            <w:vAlign w:val="bottom"/>
            <w:gridSpan w:val="3"/>
          </w:tcPr>
          <w:p>
            <w:pPr>
              <w:spacing w:after="0"/>
              <w:rPr>
                <w:sz w:val="11"/>
                <w:szCs w:val="1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000" w:type="dxa"/>
            <w:vAlign w:val="bottom"/>
          </w:tcPr>
          <w:p>
            <w:pPr>
              <w:spacing w:after="0"/>
              <w:rPr>
                <w:sz w:val="22"/>
                <w:szCs w:val="22"/>
                <w:color w:val="auto"/>
              </w:rPr>
            </w:pPr>
          </w:p>
        </w:tc>
        <w:tc>
          <w:tcPr>
            <w:tcW w:w="9100" w:type="dxa"/>
            <w:vAlign w:val="bottom"/>
            <w:tcBorders>
              <w:bottom w:val="single" w:sz="8" w:color="0000FF"/>
            </w:tcBorders>
            <w:gridSpan w:val="29"/>
          </w:tcPr>
          <w:p>
            <w:pPr>
              <w:spacing w:after="0"/>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Limited Liability Company Agreement of PennantPark Senior Secured Loan Fund I LLC, dated as of May 4, 2017, by and between PennantPark Floating Rate Capital Ltd.</w:t>
              </w:r>
            </w:hyperlink>
          </w:p>
        </w:tc>
        <w:tc>
          <w:tcPr>
            <w:tcW w:w="40" w:type="dxa"/>
            <w:vAlign w:val="bottom"/>
            <w:gridSpan w:val="2"/>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60" w:type="dxa"/>
            <w:vAlign w:val="bottom"/>
            <w:tcBorders>
              <w:bottom w:val="single" w:sz="8" w:color="0000FF"/>
            </w:tcBorders>
            <w:gridSpan w:val="18"/>
          </w:tcPr>
          <w:p>
            <w:pPr>
              <w:spacing w:after="0" w:line="136"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and Trinity Universal Insurance Company (Incorporated by reference to Exhibit 10.1 to the Registrant’s Quarterly Report on Form 10-Q (File No. 814-00891), filed on</w:t>
              </w:r>
            </w:hyperlink>
          </w:p>
        </w:tc>
        <w:tc>
          <w:tcPr>
            <w:tcW w:w="280" w:type="dxa"/>
            <w:vAlign w:val="bottom"/>
            <w:gridSpan w:val="13"/>
          </w:tcPr>
          <w:p>
            <w:pPr>
              <w:spacing w:after="0"/>
              <w:rPr>
                <w:sz w:val="11"/>
                <w:szCs w:val="11"/>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Borders>
              <w:bottom w:val="single" w:sz="8" w:color="0000FF"/>
            </w:tcBorders>
            <w:gridSpan w:val="2"/>
          </w:tcPr>
          <w:p>
            <w:pPr>
              <w:spacing w:after="0" w:line="136" w:lineRule="exact"/>
              <w:rPr>
                <w:rFonts w:ascii="Times New Roman" w:cs="Times New Roman" w:eastAsia="Times New Roman" w:hAnsi="Times New Roman"/>
                <w:sz w:val="13"/>
                <w:szCs w:val="13"/>
                <w:color w:val="0000FF"/>
                <w:w w:val="98"/>
              </w:rPr>
            </w:pPr>
            <w:hyperlink r:id="rId131">
              <w:r>
                <w:rPr>
                  <w:rFonts w:ascii="Times New Roman" w:cs="Times New Roman" w:eastAsia="Times New Roman" w:hAnsi="Times New Roman"/>
                  <w:sz w:val="13"/>
                  <w:szCs w:val="13"/>
                  <w:color w:val="0000FF"/>
                  <w:w w:val="98"/>
                </w:rPr>
                <w:t>August 8, 2017).</w:t>
              </w:r>
            </w:hyperlink>
          </w:p>
        </w:tc>
        <w:tc>
          <w:tcPr>
            <w:tcW w:w="8260" w:type="dxa"/>
            <w:vAlign w:val="bottom"/>
            <w:gridSpan w:val="29"/>
          </w:tcPr>
          <w:p>
            <w:pPr>
              <w:spacing w:after="0"/>
              <w:rPr>
                <w:sz w:val="11"/>
                <w:szCs w:val="1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w:t>
            </w:r>
          </w:p>
        </w:tc>
        <w:tc>
          <w:tcPr>
            <w:tcW w:w="1000" w:type="dxa"/>
            <w:vAlign w:val="bottom"/>
          </w:tcPr>
          <w:p>
            <w:pPr>
              <w:spacing w:after="0"/>
              <w:rPr>
                <w:sz w:val="22"/>
                <w:szCs w:val="22"/>
                <w:color w:val="auto"/>
              </w:rPr>
            </w:pPr>
          </w:p>
        </w:tc>
        <w:tc>
          <w:tcPr>
            <w:tcW w:w="894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Indemnification Agreement, dated as of November 15, 2016, between PennantPark Floating Rate Capital Ltd. and each of the directors and officers listed on Schedule A</w:t>
              </w:r>
            </w:hyperlink>
          </w:p>
        </w:tc>
        <w:tc>
          <w:tcPr>
            <w:tcW w:w="200" w:type="dxa"/>
            <w:vAlign w:val="bottom"/>
            <w:gridSpan w:val="10"/>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60" w:type="dxa"/>
            <w:vAlign w:val="bottom"/>
            <w:tcBorders>
              <w:bottom w:val="single" w:sz="8" w:color="0000FF"/>
            </w:tcBorders>
            <w:gridSpan w:val="15"/>
          </w:tcPr>
          <w:p>
            <w:pPr>
              <w:spacing w:after="0" w:line="136"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attached thereto (Incorporated by reference to Exhibit 10.6 to the Registrant’s Annual Report on Form 10-K (File No. 814-00891) filed on November 22, 2016).</w:t>
              </w:r>
            </w:hyperlink>
          </w:p>
        </w:tc>
        <w:tc>
          <w:tcPr>
            <w:tcW w:w="680" w:type="dxa"/>
            <w:vAlign w:val="bottom"/>
            <w:gridSpan w:val="16"/>
          </w:tcPr>
          <w:p>
            <w:pPr>
              <w:spacing w:after="0"/>
              <w:rPr>
                <w:sz w:val="11"/>
                <w:szCs w:val="1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10.6</w:t>
            </w:r>
          </w:p>
        </w:tc>
        <w:tc>
          <w:tcPr>
            <w:tcW w:w="1000" w:type="dxa"/>
            <w:vAlign w:val="bottom"/>
          </w:tcPr>
          <w:p>
            <w:pPr>
              <w:spacing w:after="0"/>
              <w:rPr>
                <w:sz w:val="22"/>
                <w:szCs w:val="22"/>
                <w:color w:val="auto"/>
              </w:rPr>
            </w:pPr>
          </w:p>
        </w:tc>
        <w:tc>
          <w:tcPr>
            <w:tcW w:w="900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Credit Agreement, dated as of September 19, 2019, by and among PennantPark CLO I, Ltd., as borrower, PennantPark CLO I, LLC, as co-borrower, the various financial</w:t>
              </w:r>
            </w:hyperlink>
          </w:p>
        </w:tc>
        <w:tc>
          <w:tcPr>
            <w:tcW w:w="140" w:type="dxa"/>
            <w:vAlign w:val="bottom"/>
            <w:gridSpan w:val="7"/>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60" w:type="dxa"/>
            <w:vAlign w:val="bottom"/>
            <w:tcBorders>
              <w:bottom w:val="single" w:sz="8" w:color="0000FF"/>
            </w:tcBorders>
            <w:gridSpan w:val="27"/>
          </w:tcPr>
          <w:p>
            <w:pPr>
              <w:spacing w:after="0" w:line="136"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institutions party thereto from time to time, as lenders, and U.S. Bank National Association, as collateral agent and as loan agent (Incorporated by reference to Exhibit 99.3</w:t>
              </w:r>
            </w:hyperlink>
          </w:p>
        </w:tc>
        <w:tc>
          <w:tcPr>
            <w:tcW w:w="80" w:type="dxa"/>
            <w:vAlign w:val="bottom"/>
            <w:gridSpan w:val="4"/>
          </w:tcPr>
          <w:p>
            <w:pPr>
              <w:spacing w:after="0"/>
              <w:rPr>
                <w:sz w:val="11"/>
                <w:szCs w:val="11"/>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to the Registrant’s Current Report on Form 8-K (File No. 814-00891), filed on September 20, 2019).</w:t>
              </w:r>
            </w:hyperlink>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10.7</w:t>
            </w:r>
          </w:p>
        </w:tc>
        <w:tc>
          <w:tcPr>
            <w:tcW w:w="1000" w:type="dxa"/>
            <w:vAlign w:val="bottom"/>
          </w:tcPr>
          <w:p>
            <w:pPr>
              <w:spacing w:after="0"/>
              <w:rPr>
                <w:sz w:val="22"/>
                <w:szCs w:val="22"/>
                <w:color w:val="auto"/>
              </w:rPr>
            </w:pPr>
          </w:p>
        </w:tc>
        <w:tc>
          <w:tcPr>
            <w:tcW w:w="884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Master Participation Agreement, dated as of September 19, 2019, between PennantPark Floating Rate Funding I, LLC, as seller and PennantPark CLO I, Ltd., as buyer</w:t>
              </w:r>
            </w:hyperlink>
          </w:p>
        </w:tc>
        <w:tc>
          <w:tcPr>
            <w:tcW w:w="300" w:type="dxa"/>
            <w:vAlign w:val="bottom"/>
            <w:gridSpan w:val="14"/>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(Incorporated by reference to Exhibit 99.6 to the Registrant’s Current Report on Form 8-K (File No. 814-00891), filed on September 20, 2019).</w:t>
              </w:r>
            </w:hyperlink>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10.8</w:t>
            </w:r>
          </w:p>
        </w:tc>
        <w:tc>
          <w:tcPr>
            <w:tcW w:w="1000" w:type="dxa"/>
            <w:vAlign w:val="bottom"/>
          </w:tcPr>
          <w:p>
            <w:pPr>
              <w:spacing w:after="0"/>
              <w:rPr>
                <w:sz w:val="22"/>
                <w:szCs w:val="22"/>
                <w:color w:val="auto"/>
              </w:rPr>
            </w:pPr>
          </w:p>
        </w:tc>
        <w:tc>
          <w:tcPr>
            <w:tcW w:w="878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Revolving Credit and Security Agreement, dated as of August 12, 2021, among PennantPark Floating Rate Funding I, LLC, as the borrower, PennantPark Investment</w:t>
              </w:r>
            </w:hyperlink>
          </w:p>
        </w:tc>
        <w:tc>
          <w:tcPr>
            <w:tcW w:w="360" w:type="dxa"/>
            <w:vAlign w:val="bottom"/>
            <w:gridSpan w:val="15"/>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900" w:type="dxa"/>
            <w:vAlign w:val="bottom"/>
            <w:tcBorders>
              <w:bottom w:val="single" w:sz="8" w:color="0000FF"/>
            </w:tcBorders>
            <w:gridSpan w:val="20"/>
          </w:tcPr>
          <w:p>
            <w:pPr>
              <w:spacing w:after="0" w:line="136"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Advisers, LLC, as the collateral manager, the lenders from time to time party thereto, Truist Bank., as administrative agent, Truist Securities, Inc., as lead arranger, U.S.</w:t>
              </w:r>
            </w:hyperlink>
          </w:p>
        </w:tc>
        <w:tc>
          <w:tcPr>
            <w:tcW w:w="240" w:type="dxa"/>
            <w:vAlign w:val="bottom"/>
            <w:gridSpan w:val="11"/>
          </w:tcPr>
          <w:p>
            <w:pPr>
              <w:spacing w:after="0"/>
              <w:rPr>
                <w:sz w:val="11"/>
                <w:szCs w:val="11"/>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40" w:type="dxa"/>
            <w:vAlign w:val="bottom"/>
            <w:tcBorders>
              <w:bottom w:val="single" w:sz="8" w:color="0000FF"/>
            </w:tcBorders>
            <w:gridSpan w:val="26"/>
          </w:tcPr>
          <w:p>
            <w:pPr>
              <w:spacing w:after="0" w:line="136"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Bank National Association, as collateral agent, U.S. Bank National Association, as collateral administrator, U.S. Bank National Association, as backup collateral manager,</w:t>
              </w:r>
            </w:hyperlink>
          </w:p>
        </w:tc>
        <w:tc>
          <w:tcPr>
            <w:tcW w:w="100" w:type="dxa"/>
            <w:vAlign w:val="bottom"/>
            <w:gridSpan w:val="5"/>
          </w:tcPr>
          <w:p>
            <w:pPr>
              <w:spacing w:after="0"/>
              <w:rPr>
                <w:sz w:val="11"/>
                <w:szCs w:val="11"/>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00" w:type="dxa"/>
            <w:vAlign w:val="bottom"/>
            <w:tcBorders>
              <w:bottom w:val="single" w:sz="8" w:color="0000FF"/>
            </w:tcBorders>
            <w:gridSpan w:val="29"/>
          </w:tcPr>
          <w:p>
            <w:pPr>
              <w:spacing w:after="0" w:line="136"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and U.S. Bank National Association, as custodian (Incorporated by reference to Exhibit 10.1 to the Registrant’s Current Report on Form 8-K (File No. 814-00891), filed on</w:t>
              </w:r>
            </w:hyperlink>
          </w:p>
        </w:tc>
        <w:tc>
          <w:tcPr>
            <w:tcW w:w="40" w:type="dxa"/>
            <w:vAlign w:val="bottom"/>
            <w:gridSpan w:val="2"/>
          </w:tcPr>
          <w:p>
            <w:pPr>
              <w:spacing w:after="0"/>
              <w:rPr>
                <w:sz w:val="11"/>
                <w:szCs w:val="11"/>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Borders>
              <w:bottom w:val="single" w:sz="8" w:color="0000FF"/>
            </w:tcBorders>
            <w:gridSpan w:val="4"/>
          </w:tcPr>
          <w:p>
            <w:pPr>
              <w:spacing w:after="0" w:line="136"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August 18, 2021).</w:t>
              </w:r>
            </w:hyperlink>
          </w:p>
        </w:tc>
        <w:tc>
          <w:tcPr>
            <w:tcW w:w="8180" w:type="dxa"/>
            <w:vAlign w:val="bottom"/>
            <w:gridSpan w:val="27"/>
          </w:tcPr>
          <w:p>
            <w:pPr>
              <w:spacing w:after="0"/>
              <w:rPr>
                <w:sz w:val="11"/>
                <w:szCs w:val="11"/>
                <w:color w:val="auto"/>
              </w:rPr>
            </w:pP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10.9</w:t>
            </w:r>
          </w:p>
        </w:tc>
        <w:tc>
          <w:tcPr>
            <w:tcW w:w="1000" w:type="dxa"/>
            <w:vAlign w:val="bottom"/>
          </w:tcPr>
          <w:p>
            <w:pPr>
              <w:spacing w:after="0"/>
              <w:rPr>
                <w:sz w:val="22"/>
                <w:szCs w:val="22"/>
                <w:color w:val="auto"/>
              </w:rPr>
            </w:pPr>
          </w:p>
        </w:tc>
        <w:tc>
          <w:tcPr>
            <w:tcW w:w="902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Amended and Restated Purchase and Contribution Agreement, dated as of August 12, 2021, among PennantPark Floating Rate Capital Ltd., as the seller, and PennantPark</w:t>
              </w:r>
            </w:hyperlink>
          </w:p>
        </w:tc>
        <w:tc>
          <w:tcPr>
            <w:tcW w:w="120" w:type="dxa"/>
            <w:vAlign w:val="bottom"/>
            <w:gridSpan w:val="6"/>
          </w:tcPr>
          <w:p>
            <w:pPr>
              <w:spacing w:after="0"/>
              <w:rPr>
                <w:sz w:val="22"/>
                <w:szCs w:val="22"/>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780" w:type="dxa"/>
            <w:vAlign w:val="bottom"/>
            <w:tcBorders>
              <w:bottom w:val="single" w:sz="8" w:color="0000FF"/>
            </w:tcBorders>
            <w:gridSpan w:val="16"/>
          </w:tcPr>
          <w:p>
            <w:pPr>
              <w:spacing w:after="0" w:line="136"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Floating Rate Funding I, LLC, as the buyer. (Incorporated by reference to Exhibit 10.2 to the Registrant’s Current Report on Form 8-K (File No. 814-00891), filed on</w:t>
              </w:r>
            </w:hyperlink>
          </w:p>
        </w:tc>
        <w:tc>
          <w:tcPr>
            <w:tcW w:w="360" w:type="dxa"/>
            <w:vAlign w:val="bottom"/>
            <w:gridSpan w:val="15"/>
          </w:tcPr>
          <w:p>
            <w:pPr>
              <w:spacing w:after="0"/>
              <w:rPr>
                <w:sz w:val="11"/>
                <w:szCs w:val="11"/>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sz w:val="20"/>
                <w:szCs w:val="20"/>
                <w:color w:val="auto"/>
              </w:rPr>
            </w:pPr>
            <w:r>
              <w:rPr>
                <w:rFonts w:ascii="Times New Roman" w:cs="Times New Roman" w:eastAsia="Times New Roman" w:hAnsi="Times New Roman"/>
                <w:sz w:val="13"/>
                <w:szCs w:val="13"/>
                <w:color w:val="0000FF"/>
              </w:rPr>
              <w:t>August 18, 2021).</w:t>
            </w: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260" w:type="dxa"/>
            <w:vAlign w:val="bottom"/>
            <w:gridSpan w:val="12"/>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r>
      <w:tr>
        <w:trPr>
          <w:trHeight w:val="292"/>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10.10</w:t>
            </w:r>
          </w:p>
        </w:tc>
        <w:tc>
          <w:tcPr>
            <w:tcW w:w="1000" w:type="dxa"/>
            <w:vAlign w:val="bottom"/>
          </w:tcPr>
          <w:p>
            <w:pPr>
              <w:spacing w:after="0"/>
              <w:rPr>
                <w:sz w:val="24"/>
                <w:szCs w:val="24"/>
                <w:color w:val="auto"/>
              </w:rPr>
            </w:pPr>
          </w:p>
        </w:tc>
        <w:tc>
          <w:tcPr>
            <w:tcW w:w="888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Equity Distribution Agreement, dated as of July 17, 2024, by and among PennantPark Floating Rate Capital Ltd., PennantPark Investment Advisers, LLC, PennantPark</w:t>
              </w:r>
            </w:hyperlink>
          </w:p>
        </w:tc>
        <w:tc>
          <w:tcPr>
            <w:tcW w:w="260" w:type="dxa"/>
            <w:vAlign w:val="bottom"/>
            <w:gridSpan w:val="12"/>
          </w:tcPr>
          <w:p>
            <w:pPr>
              <w:spacing w:after="0"/>
              <w:rPr>
                <w:sz w:val="24"/>
                <w:szCs w:val="24"/>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20" w:type="dxa"/>
            <w:vAlign w:val="bottom"/>
            <w:tcBorders>
              <w:bottom w:val="single" w:sz="8" w:color="0000FF"/>
            </w:tcBorders>
            <w:gridSpan w:val="25"/>
          </w:tcPr>
          <w:p>
            <w:pPr>
              <w:spacing w:after="0" w:line="136"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Investment Administration, LLC and Citizens JMP Securities, LLC, as the sales agent (Incorporated by reference to Exhibit 1.1 to the Registrants Current Report on Form</w:t>
              </w:r>
            </w:hyperlink>
          </w:p>
        </w:tc>
        <w:tc>
          <w:tcPr>
            <w:tcW w:w="120" w:type="dxa"/>
            <w:vAlign w:val="bottom"/>
            <w:gridSpan w:val="6"/>
          </w:tcPr>
          <w:p>
            <w:pPr>
              <w:spacing w:after="0"/>
              <w:rPr>
                <w:sz w:val="11"/>
                <w:szCs w:val="11"/>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20" w:type="dxa"/>
            <w:vAlign w:val="bottom"/>
            <w:tcBorders>
              <w:bottom w:val="single" w:sz="8" w:color="0000FF"/>
            </w:tcBorders>
            <w:gridSpan w:val="7"/>
          </w:tcPr>
          <w:p>
            <w:pPr>
              <w:spacing w:after="0" w:line="136"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8-K (File No, 814-00891) filed on July 18, 2024).</w:t>
              </w:r>
            </w:hyperlink>
          </w:p>
        </w:tc>
        <w:tc>
          <w:tcPr>
            <w:tcW w:w="6520" w:type="dxa"/>
            <w:vAlign w:val="bottom"/>
            <w:gridSpan w:val="24"/>
          </w:tcPr>
          <w:p>
            <w:pPr>
              <w:spacing w:after="0"/>
              <w:rPr>
                <w:sz w:val="11"/>
                <w:szCs w:val="11"/>
                <w:color w:val="auto"/>
              </w:rPr>
            </w:pPr>
          </w:p>
        </w:tc>
      </w:tr>
      <w:tr>
        <w:trPr>
          <w:trHeight w:val="292"/>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10.11</w:t>
            </w:r>
          </w:p>
        </w:tc>
        <w:tc>
          <w:tcPr>
            <w:tcW w:w="1000" w:type="dxa"/>
            <w:vAlign w:val="bottom"/>
          </w:tcPr>
          <w:p>
            <w:pPr>
              <w:spacing w:after="0"/>
              <w:rPr>
                <w:sz w:val="24"/>
                <w:szCs w:val="24"/>
                <w:color w:val="auto"/>
              </w:rPr>
            </w:pPr>
          </w:p>
        </w:tc>
        <w:tc>
          <w:tcPr>
            <w:tcW w:w="888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Equity Distribution Agreement, dated as of July 17, 2024, by and among PennantPark Floating Rate Capital Ltd., PennantPark Investment Advisers, LLC, PennantPark</w:t>
              </w:r>
            </w:hyperlink>
          </w:p>
        </w:tc>
        <w:tc>
          <w:tcPr>
            <w:tcW w:w="260" w:type="dxa"/>
            <w:vAlign w:val="bottom"/>
            <w:gridSpan w:val="12"/>
          </w:tcPr>
          <w:p>
            <w:pPr>
              <w:spacing w:after="0"/>
              <w:rPr>
                <w:sz w:val="24"/>
                <w:szCs w:val="24"/>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20" w:type="dxa"/>
            <w:vAlign w:val="bottom"/>
            <w:tcBorders>
              <w:bottom w:val="single" w:sz="8" w:color="0000FF"/>
            </w:tcBorders>
            <w:gridSpan w:val="25"/>
          </w:tcPr>
          <w:p>
            <w:pPr>
              <w:spacing w:after="0" w:line="136"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Investment Administration, LLC and Citizens JMP Securities, LLC, as the sales agent (Incorporated by reference to Exhibit 1.2 to the Registrants Current Report on Form</w:t>
              </w:r>
            </w:hyperlink>
          </w:p>
        </w:tc>
        <w:tc>
          <w:tcPr>
            <w:tcW w:w="120" w:type="dxa"/>
            <w:vAlign w:val="bottom"/>
            <w:gridSpan w:val="6"/>
          </w:tcPr>
          <w:p>
            <w:pPr>
              <w:spacing w:after="0"/>
              <w:rPr>
                <w:sz w:val="11"/>
                <w:szCs w:val="11"/>
                <w:color w:val="auto"/>
              </w:rPr>
            </w:pPr>
          </w:p>
        </w:tc>
      </w:tr>
      <w:tr>
        <w:trPr>
          <w:trHeight w:val="136"/>
        </w:trPr>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140" w:type="dxa"/>
            <w:vAlign w:val="bottom"/>
            <w:gridSpan w:val="31"/>
          </w:tcPr>
          <w:p>
            <w:pPr>
              <w:spacing w:after="0" w:line="136"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8-K (File No, 814-00891) filed on July 18, 2024).</w:t>
              </w:r>
            </w:hyperlink>
          </w:p>
        </w:tc>
      </w:tr>
      <w:tr>
        <w:trPr>
          <w:trHeight w:val="1024"/>
        </w:trPr>
        <w:tc>
          <w:tcPr>
            <w:tcW w:w="42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340" w:type="dxa"/>
            <w:vAlign w:val="bottom"/>
            <w:tcBorders>
              <w:top w:val="single" w:sz="8" w:color="0000FF"/>
              <w:bottom w:val="single" w:sz="8" w:color="EEEEEE"/>
            </w:tcBorders>
          </w:tcPr>
          <w:p>
            <w:pPr>
              <w:spacing w:after="0"/>
              <w:rPr>
                <w:sz w:val="24"/>
                <w:szCs w:val="24"/>
                <w:color w:val="auto"/>
              </w:rPr>
            </w:pPr>
          </w:p>
        </w:tc>
        <w:tc>
          <w:tcPr>
            <w:tcW w:w="540" w:type="dxa"/>
            <w:vAlign w:val="bottom"/>
            <w:tcBorders>
              <w:top w:val="single" w:sz="8" w:color="0000FF"/>
              <w:bottom w:val="single" w:sz="8" w:color="EEEEEE"/>
            </w:tcBorders>
          </w:tcPr>
          <w:p>
            <w:pPr>
              <w:spacing w:after="0"/>
              <w:rPr>
                <w:sz w:val="24"/>
                <w:szCs w:val="24"/>
                <w:color w:val="auto"/>
              </w:rPr>
            </w:pPr>
          </w:p>
        </w:tc>
        <w:tc>
          <w:tcPr>
            <w:tcW w:w="60" w:type="dxa"/>
            <w:vAlign w:val="bottom"/>
            <w:tcBorders>
              <w:top w:val="single" w:sz="8" w:color="0000FF"/>
              <w:bottom w:val="single" w:sz="8" w:color="EEEEEE"/>
            </w:tcBorders>
          </w:tcPr>
          <w:p>
            <w:pPr>
              <w:spacing w:after="0"/>
              <w:rPr>
                <w:sz w:val="24"/>
                <w:szCs w:val="24"/>
                <w:color w:val="auto"/>
              </w:rPr>
            </w:pPr>
          </w:p>
        </w:tc>
        <w:tc>
          <w:tcPr>
            <w:tcW w:w="20" w:type="dxa"/>
            <w:vAlign w:val="bottom"/>
            <w:tcBorders>
              <w:top w:val="single" w:sz="8" w:color="0000FF"/>
              <w:bottom w:val="single" w:sz="8" w:color="EEEEEE"/>
            </w:tcBorders>
          </w:tcPr>
          <w:p>
            <w:pPr>
              <w:spacing w:after="0"/>
              <w:rPr>
                <w:sz w:val="24"/>
                <w:szCs w:val="24"/>
                <w:color w:val="auto"/>
              </w:rPr>
            </w:pPr>
          </w:p>
        </w:tc>
        <w:tc>
          <w:tcPr>
            <w:tcW w:w="280" w:type="dxa"/>
            <w:vAlign w:val="bottom"/>
            <w:tcBorders>
              <w:top w:val="single" w:sz="8" w:color="0000FF"/>
              <w:bottom w:val="single" w:sz="8" w:color="EEEEEE"/>
            </w:tcBorders>
          </w:tcPr>
          <w:p>
            <w:pPr>
              <w:spacing w:after="0"/>
              <w:rPr>
                <w:sz w:val="24"/>
                <w:szCs w:val="24"/>
                <w:color w:val="auto"/>
              </w:rPr>
            </w:pPr>
          </w:p>
        </w:tc>
        <w:tc>
          <w:tcPr>
            <w:tcW w:w="1080" w:type="dxa"/>
            <w:vAlign w:val="bottom"/>
            <w:tcBorders>
              <w:top w:val="single" w:sz="8" w:color="0000FF"/>
              <w:bottom w:val="single" w:sz="8" w:color="EEEEEE"/>
            </w:tcBorders>
          </w:tcPr>
          <w:p>
            <w:pPr>
              <w:spacing w:after="0"/>
              <w:rPr>
                <w:sz w:val="24"/>
                <w:szCs w:val="24"/>
                <w:color w:val="auto"/>
              </w:rPr>
            </w:pPr>
          </w:p>
        </w:tc>
        <w:tc>
          <w:tcPr>
            <w:tcW w:w="300" w:type="dxa"/>
            <w:vAlign w:val="bottom"/>
            <w:tcBorders>
              <w:top w:val="single" w:sz="8" w:color="0000FF"/>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-27305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288" w:right="68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49"/>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10.12</w:t>
            </w:r>
          </w:p>
        </w:tc>
        <w:tc>
          <w:tcPr>
            <w:tcW w:w="8880" w:type="dxa"/>
            <w:vAlign w:val="bottom"/>
            <w:tcBorders>
              <w:bottom w:val="single" w:sz="8" w:color="0000FF"/>
            </w:tcBorders>
            <w:gridSpan w:val="30"/>
          </w:tcPr>
          <w:p>
            <w:pPr>
              <w:spacing w:after="0"/>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Equity Distribution Agreement, dated as of July 17, 2024, by and among PennantPark Floating Rate Capital Ltd., PennantPark Investment Advisers, LLC, PennantPark</w:t>
              </w:r>
            </w:hyperlink>
          </w:p>
        </w:tc>
        <w:tc>
          <w:tcPr>
            <w:tcW w:w="260" w:type="dxa"/>
            <w:vAlign w:val="bottom"/>
            <w:gridSpan w:val="9"/>
          </w:tcPr>
          <w:p>
            <w:pPr>
              <w:spacing w:after="0"/>
              <w:rPr>
                <w:sz w:val="12"/>
                <w:szCs w:val="12"/>
                <w:color w:val="auto"/>
              </w:rPr>
            </w:pPr>
          </w:p>
        </w:tc>
      </w:tr>
      <w:tr>
        <w:trPr>
          <w:trHeight w:val="136"/>
        </w:trPr>
        <w:tc>
          <w:tcPr>
            <w:tcW w:w="1420" w:type="dxa"/>
            <w:vAlign w:val="bottom"/>
          </w:tcPr>
          <w:p>
            <w:pPr>
              <w:spacing w:after="0"/>
              <w:rPr>
                <w:sz w:val="11"/>
                <w:szCs w:val="11"/>
                <w:color w:val="auto"/>
              </w:rPr>
            </w:pPr>
          </w:p>
        </w:tc>
        <w:tc>
          <w:tcPr>
            <w:tcW w:w="9040" w:type="dxa"/>
            <w:vAlign w:val="bottom"/>
            <w:tcBorders>
              <w:bottom w:val="single" w:sz="8" w:color="0000FF"/>
            </w:tcBorders>
            <w:gridSpan w:val="35"/>
          </w:tcPr>
          <w:p>
            <w:pPr>
              <w:spacing w:after="0" w:line="136"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Investment Administration, LLC and Citizens JMP Securities, LLC, as the sales agent (Incorporated by reference to Exhibit 1.3 to the Registrants Current Report on Form</w:t>
              </w:r>
            </w:hyperlink>
          </w:p>
        </w:tc>
        <w:tc>
          <w:tcPr>
            <w:tcW w:w="100" w:type="dxa"/>
            <w:vAlign w:val="bottom"/>
            <w:gridSpan w:val="4"/>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2620" w:type="dxa"/>
            <w:vAlign w:val="bottom"/>
            <w:tcBorders>
              <w:bottom w:val="single" w:sz="8" w:color="0000FF"/>
            </w:tcBorders>
            <w:gridSpan w:val="9"/>
          </w:tcPr>
          <w:p>
            <w:pPr>
              <w:spacing w:after="0" w:line="136"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8-K (File No, 814-00891) filed on July 18, 2024).</w:t>
              </w:r>
            </w:hyperlink>
          </w:p>
        </w:tc>
        <w:tc>
          <w:tcPr>
            <w:tcW w:w="6520" w:type="dxa"/>
            <w:vAlign w:val="bottom"/>
            <w:gridSpan w:val="30"/>
          </w:tcPr>
          <w:p>
            <w:pPr>
              <w:spacing w:after="0"/>
              <w:rPr>
                <w:sz w:val="11"/>
                <w:szCs w:val="1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10.13</w:t>
            </w:r>
          </w:p>
        </w:tc>
        <w:tc>
          <w:tcPr>
            <w:tcW w:w="8600" w:type="dxa"/>
            <w:vAlign w:val="bottom"/>
            <w:tcBorders>
              <w:bottom w:val="single" w:sz="8" w:color="0000FF"/>
            </w:tcBorders>
            <w:gridSpan w:val="23"/>
          </w:tcPr>
          <w:p>
            <w:pPr>
              <w:spacing w:after="0"/>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Underwriting Agreement, dated August 8, 2022, among PennantPark Floating Rate Capital Ltd., PennantPark Investment Advisers, LLC, PennantPark Investment</w:t>
              </w:r>
            </w:hyperlink>
          </w:p>
        </w:tc>
        <w:tc>
          <w:tcPr>
            <w:tcW w:w="540" w:type="dxa"/>
            <w:vAlign w:val="bottom"/>
            <w:gridSpan w:val="16"/>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8940" w:type="dxa"/>
            <w:vAlign w:val="bottom"/>
            <w:tcBorders>
              <w:bottom w:val="single" w:sz="8" w:color="0000FF"/>
            </w:tcBorders>
            <w:gridSpan w:val="32"/>
          </w:tcPr>
          <w:p>
            <w:pPr>
              <w:spacing w:after="0" w:line="136"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Administration, LLC, and Morgan Stanley &amp; Co. LLC, Goldman Sachs &amp; Co. LLC, J.P. Morgan Securities LLC, Keefe, Bruyette &amp; Woods, Inc., RBC Capital Markets,</w:t>
              </w:r>
            </w:hyperlink>
          </w:p>
        </w:tc>
        <w:tc>
          <w:tcPr>
            <w:tcW w:w="200" w:type="dxa"/>
            <w:vAlign w:val="bottom"/>
            <w:gridSpan w:val="7"/>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8880" w:type="dxa"/>
            <w:vAlign w:val="bottom"/>
            <w:tcBorders>
              <w:bottom w:val="single" w:sz="8" w:color="0000FF"/>
            </w:tcBorders>
            <w:gridSpan w:val="30"/>
          </w:tcPr>
          <w:p>
            <w:pPr>
              <w:spacing w:after="0" w:line="136"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LLC and Truist Securities, Inc., as representatives of the several underwriters named on Schedule A thereto (Incorporated by reference to Exhibit 1.1 to the Registrant's</w:t>
              </w:r>
            </w:hyperlink>
          </w:p>
        </w:tc>
        <w:tc>
          <w:tcPr>
            <w:tcW w:w="260" w:type="dxa"/>
            <w:vAlign w:val="bottom"/>
            <w:gridSpan w:val="9"/>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9140" w:type="dxa"/>
            <w:vAlign w:val="bottom"/>
            <w:gridSpan w:val="39"/>
          </w:tcPr>
          <w:p>
            <w:pPr>
              <w:spacing w:after="0" w:line="136"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Current Report on Form 8-K (File No. 814-00891), filed on August 11, 2022).</w:t>
              </w:r>
            </w:hyperlink>
          </w:p>
        </w:tc>
      </w:tr>
      <w:tr>
        <w:trPr>
          <w:trHeight w:val="20"/>
        </w:trPr>
        <w:tc>
          <w:tcPr>
            <w:tcW w:w="14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10.14</w:t>
            </w:r>
          </w:p>
        </w:tc>
        <w:tc>
          <w:tcPr>
            <w:tcW w:w="872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Underwriting Agreement, dated January 23, 2023, among PennantPark Floating Rate Capital Ltd., PennantPark Investment Advisers, LLC, PennantPark Investment</w:t>
              </w:r>
            </w:hyperlink>
          </w:p>
        </w:tc>
        <w:tc>
          <w:tcPr>
            <w:tcW w:w="420" w:type="dxa"/>
            <w:vAlign w:val="bottom"/>
            <w:gridSpan w:val="13"/>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9080" w:type="dxa"/>
            <w:vAlign w:val="bottom"/>
            <w:tcBorders>
              <w:bottom w:val="single" w:sz="8" w:color="0000FF"/>
            </w:tcBorders>
            <w:gridSpan w:val="37"/>
          </w:tcPr>
          <w:p>
            <w:pPr>
              <w:spacing w:after="0" w:line="136"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Administration, LLC, and Morgan Stanley &amp; Co. LLC, UBS Securities LLC, Goldman Sachs &amp; Co. LLC, J.P. Morgan Securities LLC and Keefe, Bruyette &amp; Woods, Inc.,</w:t>
              </w:r>
            </w:hyperlink>
          </w:p>
        </w:tc>
        <w:tc>
          <w:tcPr>
            <w:tcW w:w="60" w:type="dxa"/>
            <w:vAlign w:val="bottom"/>
            <w:gridSpan w:val="2"/>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8920" w:type="dxa"/>
            <w:vAlign w:val="bottom"/>
            <w:tcBorders>
              <w:bottom w:val="single" w:sz="8" w:color="0000FF"/>
            </w:tcBorders>
            <w:gridSpan w:val="31"/>
          </w:tcPr>
          <w:p>
            <w:pPr>
              <w:spacing w:after="0" w:line="136"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as representatives of the several underwriters named on Schedule A thereto (Incorporated by reference to Exhibit 1.1 to the Registrant's Form 8-K (File No. 814-00891),</w:t>
              </w:r>
            </w:hyperlink>
          </w:p>
        </w:tc>
        <w:tc>
          <w:tcPr>
            <w:tcW w:w="220" w:type="dxa"/>
            <w:vAlign w:val="bottom"/>
            <w:gridSpan w:val="8"/>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1420" w:type="dxa"/>
            <w:vAlign w:val="bottom"/>
            <w:tcBorders>
              <w:bottom w:val="single" w:sz="8" w:color="0000FF"/>
            </w:tcBorders>
            <w:gridSpan w:val="4"/>
          </w:tcPr>
          <w:p>
            <w:pPr>
              <w:spacing w:after="0" w:line="136" w:lineRule="exact"/>
              <w:rPr>
                <w:rFonts w:ascii="Times New Roman" w:cs="Times New Roman" w:eastAsia="Times New Roman" w:hAnsi="Times New Roman"/>
                <w:sz w:val="13"/>
                <w:szCs w:val="13"/>
                <w:color w:val="0000FF"/>
                <w:w w:val="99"/>
              </w:rPr>
            </w:pPr>
            <w:hyperlink r:id="rId141">
              <w:r>
                <w:rPr>
                  <w:rFonts w:ascii="Times New Roman" w:cs="Times New Roman" w:eastAsia="Times New Roman" w:hAnsi="Times New Roman"/>
                  <w:sz w:val="13"/>
                  <w:szCs w:val="13"/>
                  <w:color w:val="0000FF"/>
                  <w:w w:val="99"/>
                </w:rPr>
                <w:t>filed on January 26, 2023).</w:t>
              </w:r>
            </w:hyperlink>
          </w:p>
        </w:tc>
        <w:tc>
          <w:tcPr>
            <w:tcW w:w="7720" w:type="dxa"/>
            <w:vAlign w:val="bottom"/>
            <w:gridSpan w:val="35"/>
          </w:tcPr>
          <w:p>
            <w:pPr>
              <w:spacing w:after="0"/>
              <w:rPr>
                <w:sz w:val="11"/>
                <w:szCs w:val="1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10.15</w:t>
            </w:r>
          </w:p>
        </w:tc>
        <w:tc>
          <w:tcPr>
            <w:tcW w:w="8880" w:type="dxa"/>
            <w:vAlign w:val="bottom"/>
            <w:tcBorders>
              <w:bottom w:val="single" w:sz="8" w:color="0000FF"/>
            </w:tcBorders>
            <w:gridSpan w:val="30"/>
          </w:tcPr>
          <w:p>
            <w:pPr>
              <w:spacing w:after="0"/>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First Amendment to Revolving Credit and Security Agreement, dated September 15, 2022, among PennantPark Floating Rate Funding I, LLC, PennantPark Investment</w:t>
              </w:r>
            </w:hyperlink>
          </w:p>
        </w:tc>
        <w:tc>
          <w:tcPr>
            <w:tcW w:w="260" w:type="dxa"/>
            <w:vAlign w:val="bottom"/>
            <w:gridSpan w:val="9"/>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9040" w:type="dxa"/>
            <w:vAlign w:val="bottom"/>
            <w:tcBorders>
              <w:bottom w:val="single" w:sz="8" w:color="0000FF"/>
            </w:tcBorders>
            <w:gridSpan w:val="35"/>
          </w:tcPr>
          <w:p>
            <w:pPr>
              <w:spacing w:after="0" w:line="136"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Advisers, LLC, the lenders from time to time party thereto, Truist Bank, as administrative agent and swingline lender, U.S. Bank National Association, as collateral agent,</w:t>
              </w:r>
            </w:hyperlink>
          </w:p>
        </w:tc>
        <w:tc>
          <w:tcPr>
            <w:tcW w:w="100" w:type="dxa"/>
            <w:vAlign w:val="bottom"/>
            <w:gridSpan w:val="4"/>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9020" w:type="dxa"/>
            <w:vAlign w:val="bottom"/>
            <w:tcBorders>
              <w:bottom w:val="single" w:sz="8" w:color="0000FF"/>
            </w:tcBorders>
            <w:gridSpan w:val="34"/>
          </w:tcPr>
          <w:p>
            <w:pPr>
              <w:spacing w:after="0" w:line="136"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custodian, collateral administrator and backup collateral manager (Incorporated by reference to Exhibit 10.1 to the Registrant's Current Report on Form 8-K (File No. 814-</w:t>
              </w:r>
            </w:hyperlink>
          </w:p>
        </w:tc>
        <w:tc>
          <w:tcPr>
            <w:tcW w:w="120" w:type="dxa"/>
            <w:vAlign w:val="bottom"/>
            <w:gridSpan w:val="5"/>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9140" w:type="dxa"/>
            <w:vAlign w:val="bottom"/>
            <w:gridSpan w:val="39"/>
          </w:tcPr>
          <w:p>
            <w:pPr>
              <w:spacing w:after="0" w:line="136"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00891)</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0000FF"/>
                </w:rPr>
                <w:t xml:space="preserve"> filed on September 21, 2022).</w:t>
              </w:r>
            </w:hyperlink>
          </w:p>
        </w:tc>
      </w:tr>
      <w:tr>
        <w:trPr>
          <w:trHeight w:val="20"/>
        </w:trPr>
        <w:tc>
          <w:tcPr>
            <w:tcW w:w="14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10.16</w:t>
            </w:r>
          </w:p>
        </w:tc>
        <w:tc>
          <w:tcPr>
            <w:tcW w:w="9020" w:type="dxa"/>
            <w:vAlign w:val="bottom"/>
            <w:tcBorders>
              <w:bottom w:val="single" w:sz="8" w:color="0000FF"/>
            </w:tcBorders>
            <w:gridSpan w:val="34"/>
          </w:tcPr>
          <w:p>
            <w:pPr>
              <w:spacing w:after="0"/>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Indenture, dated as of February 22, 2024, by and between PennantPark CLO VIII, LLC, as issuer, and Wilmington Trust, National Association, as trustee and as collateral</w:t>
              </w:r>
            </w:hyperlink>
          </w:p>
        </w:tc>
        <w:tc>
          <w:tcPr>
            <w:tcW w:w="120" w:type="dxa"/>
            <w:vAlign w:val="bottom"/>
            <w:gridSpan w:val="5"/>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9140" w:type="dxa"/>
            <w:vAlign w:val="bottom"/>
            <w:gridSpan w:val="39"/>
          </w:tcPr>
          <w:p>
            <w:pPr>
              <w:spacing w:after="0" w:line="136"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agent (Incorporated by reference to Exhibit 10.1 to the Registrant's Current Report on Form 8-K (File No. 814-00891) filed on February 27, 2024)</w:t>
              </w:r>
              <w:r>
                <w:rPr>
                  <w:rFonts w:ascii="Times New Roman" w:cs="Times New Roman" w:eastAsia="Times New Roman" w:hAnsi="Times New Roman"/>
                  <w:sz w:val="13"/>
                  <w:szCs w:val="13"/>
                  <w:color w:val="000000"/>
                </w:rPr>
                <w:t>.</w:t>
              </w:r>
            </w:hyperlink>
          </w:p>
        </w:tc>
      </w:tr>
      <w:tr>
        <w:trPr>
          <w:trHeight w:val="20"/>
        </w:trPr>
        <w:tc>
          <w:tcPr>
            <w:tcW w:w="14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10.17</w:t>
            </w:r>
          </w:p>
        </w:tc>
        <w:tc>
          <w:tcPr>
            <w:tcW w:w="9140" w:type="dxa"/>
            <w:vAlign w:val="bottom"/>
            <w:tcBorders>
              <w:bottom w:val="single" w:sz="8" w:color="0000FF"/>
            </w:tcBorders>
            <w:gridSpan w:val="39"/>
          </w:tcPr>
          <w:p>
            <w:pPr>
              <w:spacing w:after="0"/>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Credit Agreement, dated as of February 22, 2024, by and among PennantPark CLO VIII, LLC, as borrower, the various financial institutions party thereto from time to time,</w:t>
              </w:r>
            </w:hyperlink>
          </w:p>
        </w:tc>
      </w:tr>
      <w:tr>
        <w:trPr>
          <w:trHeight w:val="136"/>
        </w:trPr>
        <w:tc>
          <w:tcPr>
            <w:tcW w:w="1420" w:type="dxa"/>
            <w:vAlign w:val="bottom"/>
          </w:tcPr>
          <w:p>
            <w:pPr>
              <w:spacing w:after="0"/>
              <w:rPr>
                <w:sz w:val="11"/>
                <w:szCs w:val="11"/>
                <w:color w:val="auto"/>
              </w:rPr>
            </w:pPr>
          </w:p>
        </w:tc>
        <w:tc>
          <w:tcPr>
            <w:tcW w:w="9000" w:type="dxa"/>
            <w:vAlign w:val="bottom"/>
            <w:tcBorders>
              <w:bottom w:val="single" w:sz="8" w:color="0000FF"/>
            </w:tcBorders>
            <w:gridSpan w:val="33"/>
          </w:tcPr>
          <w:p>
            <w:pPr>
              <w:spacing w:after="0" w:line="136"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as lenders, and Wilmington Trust, National Association, as collateral agent and as loan agent (Incorporated by reference to Exhibit 10.2 to the Registrant's Current Report</w:t>
              </w:r>
            </w:hyperlink>
          </w:p>
        </w:tc>
        <w:tc>
          <w:tcPr>
            <w:tcW w:w="140" w:type="dxa"/>
            <w:vAlign w:val="bottom"/>
            <w:gridSpan w:val="6"/>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3360" w:type="dxa"/>
            <w:vAlign w:val="bottom"/>
            <w:tcBorders>
              <w:bottom w:val="single" w:sz="8" w:color="0000FF"/>
            </w:tcBorders>
            <w:gridSpan w:val="11"/>
          </w:tcPr>
          <w:p>
            <w:pPr>
              <w:spacing w:after="0" w:line="136"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on Form 8-K (File No. 814-00891) filed on February 27, 2024).</w:t>
              </w:r>
            </w:hyperlink>
          </w:p>
        </w:tc>
        <w:tc>
          <w:tcPr>
            <w:tcW w:w="5780" w:type="dxa"/>
            <w:vAlign w:val="bottom"/>
            <w:gridSpan w:val="28"/>
          </w:tcPr>
          <w:p>
            <w:pPr>
              <w:spacing w:after="0"/>
              <w:rPr>
                <w:sz w:val="11"/>
                <w:szCs w:val="1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10.18</w:t>
            </w:r>
          </w:p>
        </w:tc>
        <w:tc>
          <w:tcPr>
            <w:tcW w:w="870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Collateral Management Agreement, dated as of February 22, 2024, between PennantPark CLO VIII, LLC, as issuer, and PennantPark Investment Advisers, LLC, as</w:t>
              </w:r>
            </w:hyperlink>
          </w:p>
        </w:tc>
        <w:tc>
          <w:tcPr>
            <w:tcW w:w="440" w:type="dxa"/>
            <w:vAlign w:val="bottom"/>
            <w:gridSpan w:val="14"/>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8440" w:type="dxa"/>
            <w:vAlign w:val="bottom"/>
            <w:tcBorders>
              <w:bottom w:val="single" w:sz="8" w:color="0000FF"/>
            </w:tcBorders>
            <w:gridSpan w:val="21"/>
          </w:tcPr>
          <w:p>
            <w:pPr>
              <w:spacing w:after="0" w:line="136"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collateral manager (Incorporated by reference to Exhibit 10.3 to the Registrant's Current Report on Form 8-K (File No. 814-00891) filed on February 27, 2024).</w:t>
              </w:r>
            </w:hyperlink>
          </w:p>
        </w:tc>
        <w:tc>
          <w:tcPr>
            <w:tcW w:w="700" w:type="dxa"/>
            <w:vAlign w:val="bottom"/>
            <w:gridSpan w:val="18"/>
          </w:tcPr>
          <w:p>
            <w:pPr>
              <w:spacing w:after="0"/>
              <w:rPr>
                <w:sz w:val="11"/>
                <w:szCs w:val="1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10.19</w:t>
            </w:r>
          </w:p>
        </w:tc>
        <w:tc>
          <w:tcPr>
            <w:tcW w:w="862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Master Loan Sale Agreement, dated as of February 22, 2024, among PennantPark Floating Rate Capital Ltd., as seller, PennantPark CLO VIII, LLC, as buyer, and</w:t>
              </w:r>
            </w:hyperlink>
          </w:p>
        </w:tc>
        <w:tc>
          <w:tcPr>
            <w:tcW w:w="520" w:type="dxa"/>
            <w:vAlign w:val="bottom"/>
            <w:gridSpan w:val="15"/>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9060" w:type="dxa"/>
            <w:vAlign w:val="bottom"/>
            <w:tcBorders>
              <w:bottom w:val="single" w:sz="8" w:color="0000FF"/>
            </w:tcBorders>
            <w:gridSpan w:val="36"/>
          </w:tcPr>
          <w:p>
            <w:pPr>
              <w:spacing w:after="0" w:line="136"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PennantPark Floating Rate Funding I, LLC as the financing subsidiary (Incorporated by reference to Exhibit 10.4 to the Registrant's Current Report on Form 8-K (File No.</w:t>
              </w:r>
            </w:hyperlink>
          </w:p>
        </w:tc>
        <w:tc>
          <w:tcPr>
            <w:tcW w:w="80" w:type="dxa"/>
            <w:vAlign w:val="bottom"/>
            <w:gridSpan w:val="3"/>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9140" w:type="dxa"/>
            <w:vAlign w:val="bottom"/>
            <w:gridSpan w:val="39"/>
          </w:tcPr>
          <w:p>
            <w:pPr>
              <w:spacing w:after="0" w:line="136"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814-00891) filed on February 27, 2024).</w:t>
              </w:r>
            </w:hyperlink>
          </w:p>
        </w:tc>
      </w:tr>
      <w:tr>
        <w:trPr>
          <w:trHeight w:val="20"/>
        </w:trPr>
        <w:tc>
          <w:tcPr>
            <w:tcW w:w="14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10.20</w:t>
            </w:r>
          </w:p>
        </w:tc>
        <w:tc>
          <w:tcPr>
            <w:tcW w:w="8860" w:type="dxa"/>
            <w:vAlign w:val="bottom"/>
            <w:tcBorders>
              <w:bottom w:val="single" w:sz="8" w:color="0000FF"/>
            </w:tcBorders>
            <w:gridSpan w:val="29"/>
          </w:tcPr>
          <w:p>
            <w:pPr>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Credit Agreement, dated July 25, 2024, by and among the PennantPark CLO I, Ltd, PennantPark CLO I, LLC, the various financial institutions and other persons party</w:t>
              </w:r>
            </w:hyperlink>
          </w:p>
        </w:tc>
        <w:tc>
          <w:tcPr>
            <w:tcW w:w="280" w:type="dxa"/>
            <w:vAlign w:val="bottom"/>
            <w:gridSpan w:val="10"/>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8820" w:type="dxa"/>
            <w:vAlign w:val="bottom"/>
            <w:tcBorders>
              <w:bottom w:val="single" w:sz="8" w:color="0000FF"/>
            </w:tcBorders>
            <w:gridSpan w:val="27"/>
          </w:tcPr>
          <w:p>
            <w:pPr>
              <w:spacing w:after="0" w:line="136"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thereto, and U.S. Bank Trust Company, National Association (Incorporated by reference to Exhibit 10.2 to the Registrant’s Current Report on Form 8-K (File No. 814-</w:t>
              </w:r>
            </w:hyperlink>
          </w:p>
        </w:tc>
        <w:tc>
          <w:tcPr>
            <w:tcW w:w="320" w:type="dxa"/>
            <w:vAlign w:val="bottom"/>
            <w:gridSpan w:val="12"/>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9140" w:type="dxa"/>
            <w:vAlign w:val="bottom"/>
            <w:gridSpan w:val="39"/>
          </w:tcPr>
          <w:p>
            <w:pPr>
              <w:spacing w:after="0" w:line="136"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00891)</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0000FF"/>
                </w:rPr>
                <w:t xml:space="preserve"> filed on July 29, 2024).</w:t>
              </w:r>
            </w:hyperlink>
          </w:p>
        </w:tc>
      </w:tr>
      <w:tr>
        <w:trPr>
          <w:trHeight w:val="20"/>
        </w:trPr>
        <w:tc>
          <w:tcPr>
            <w:tcW w:w="14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10.21</w:t>
            </w:r>
          </w:p>
        </w:tc>
        <w:tc>
          <w:tcPr>
            <w:tcW w:w="9060" w:type="dxa"/>
            <w:vAlign w:val="bottom"/>
            <w:tcBorders>
              <w:bottom w:val="single" w:sz="8" w:color="0000FF"/>
            </w:tcBorders>
            <w:gridSpan w:val="36"/>
          </w:tcPr>
          <w:p>
            <w:pPr>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Amended and Restated Master Loan Sale Agreement, dated July 25, 2024, by and between PennantPark Floating Rate Capital Ltd., PennantPark CLO Depositor, LLC and</w:t>
              </w:r>
            </w:hyperlink>
          </w:p>
        </w:tc>
        <w:tc>
          <w:tcPr>
            <w:tcW w:w="80" w:type="dxa"/>
            <w:vAlign w:val="bottom"/>
            <w:gridSpan w:val="3"/>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8580" w:type="dxa"/>
            <w:vAlign w:val="bottom"/>
            <w:tcBorders>
              <w:bottom w:val="single" w:sz="8" w:color="0000FF"/>
            </w:tcBorders>
            <w:gridSpan w:val="22"/>
          </w:tcPr>
          <w:p>
            <w:pPr>
              <w:spacing w:after="0" w:line="136"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PennantPark CLO I, Ltd. (Incorporated by reference to Exhibit 10.3 to the Registrant’s Current Report on Form 8-K (File No. 814-00891), filed on July 29, 2024).</w:t>
              </w:r>
            </w:hyperlink>
          </w:p>
        </w:tc>
        <w:tc>
          <w:tcPr>
            <w:tcW w:w="560" w:type="dxa"/>
            <w:vAlign w:val="bottom"/>
            <w:gridSpan w:val="17"/>
          </w:tcPr>
          <w:p>
            <w:pPr>
              <w:spacing w:after="0"/>
              <w:rPr>
                <w:sz w:val="11"/>
                <w:szCs w:val="1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10.22</w:t>
            </w:r>
          </w:p>
        </w:tc>
        <w:tc>
          <w:tcPr>
            <w:tcW w:w="8840" w:type="dxa"/>
            <w:vAlign w:val="bottom"/>
            <w:tcBorders>
              <w:bottom w:val="single" w:sz="8" w:color="0000FF"/>
            </w:tcBorders>
            <w:gridSpan w:val="28"/>
          </w:tcPr>
          <w:p>
            <w:pPr>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Amended and Restated Collateral Management Agreement, dated July 25, 2024, by and between PennantPark CLO I, Ltd. and PennantPark Investment Advisers, LLC</w:t>
              </w:r>
            </w:hyperlink>
          </w:p>
        </w:tc>
        <w:tc>
          <w:tcPr>
            <w:tcW w:w="300" w:type="dxa"/>
            <w:vAlign w:val="bottom"/>
            <w:gridSpan w:val="11"/>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9140" w:type="dxa"/>
            <w:vAlign w:val="bottom"/>
            <w:gridSpan w:val="39"/>
          </w:tcPr>
          <w:p>
            <w:pPr>
              <w:spacing w:after="0" w:line="136"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(Incorporated by reference to Exhibit 10.4 to the Registrant’s Current Report on Form 8-K (File No. 814-00891), filed on July 29, 2024).</w:t>
              </w:r>
            </w:hyperlink>
          </w:p>
        </w:tc>
      </w:tr>
      <w:tr>
        <w:trPr>
          <w:trHeight w:val="20"/>
        </w:trPr>
        <w:tc>
          <w:tcPr>
            <w:tcW w:w="14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10.23</w:t>
            </w:r>
          </w:p>
        </w:tc>
        <w:tc>
          <w:tcPr>
            <w:tcW w:w="9120" w:type="dxa"/>
            <w:vAlign w:val="bottom"/>
            <w:tcBorders>
              <w:bottom w:val="single" w:sz="8" w:color="0000FF"/>
            </w:tcBorders>
            <w:gridSpan w:val="38"/>
          </w:tcPr>
          <w:p>
            <w:pPr>
              <w:spacing w:after="0"/>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Third Amendment to Revolving Credit and Security Agreement, dated August 8, 2024, by and among PennantPark Floating Rate Funding I, LLC as borrower, PennantPark</w:t>
              </w:r>
            </w:hyperlink>
          </w:p>
        </w:tc>
        <w:tc>
          <w:tcPr>
            <w:tcW w:w="20" w:type="dxa"/>
            <w:vAlign w:val="bottom"/>
          </w:tcPr>
          <w:p>
            <w:pPr>
              <w:spacing w:after="0"/>
              <w:rPr>
                <w:sz w:val="24"/>
                <w:szCs w:val="24"/>
                <w:color w:val="auto"/>
              </w:rPr>
            </w:pPr>
          </w:p>
        </w:tc>
      </w:tr>
      <w:tr>
        <w:trPr>
          <w:trHeight w:val="136"/>
        </w:trPr>
        <w:tc>
          <w:tcPr>
            <w:tcW w:w="1420" w:type="dxa"/>
            <w:vAlign w:val="bottom"/>
          </w:tcPr>
          <w:p>
            <w:pPr>
              <w:spacing w:after="0"/>
              <w:rPr>
                <w:sz w:val="11"/>
                <w:szCs w:val="11"/>
                <w:color w:val="auto"/>
              </w:rPr>
            </w:pPr>
          </w:p>
        </w:tc>
        <w:tc>
          <w:tcPr>
            <w:tcW w:w="8820" w:type="dxa"/>
            <w:vAlign w:val="bottom"/>
            <w:tcBorders>
              <w:bottom w:val="single" w:sz="8" w:color="0000FF"/>
            </w:tcBorders>
            <w:gridSpan w:val="27"/>
          </w:tcPr>
          <w:p>
            <w:pPr>
              <w:spacing w:after="0" w:line="136"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Investment Advisers, LLC as collateral manager, the lenders from time to time party thereto, Truist Bank, as administrative agent for the secured parties and swingline</w:t>
              </w:r>
            </w:hyperlink>
          </w:p>
        </w:tc>
        <w:tc>
          <w:tcPr>
            <w:tcW w:w="320" w:type="dxa"/>
            <w:vAlign w:val="bottom"/>
            <w:gridSpan w:val="12"/>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9060" w:type="dxa"/>
            <w:vAlign w:val="bottom"/>
            <w:tcBorders>
              <w:bottom w:val="single" w:sz="8" w:color="0000FF"/>
            </w:tcBorders>
            <w:gridSpan w:val="36"/>
          </w:tcPr>
          <w:p>
            <w:pPr>
              <w:spacing w:after="0" w:line="136"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lender, and U.S. Bank Trust Company, National Association, as collateral agent, collateral administrator and back-up collateral administrator (Incorporated by reference to</w:t>
              </w:r>
            </w:hyperlink>
          </w:p>
        </w:tc>
        <w:tc>
          <w:tcPr>
            <w:tcW w:w="80" w:type="dxa"/>
            <w:vAlign w:val="bottom"/>
            <w:gridSpan w:val="3"/>
          </w:tcPr>
          <w:p>
            <w:pPr>
              <w:spacing w:after="0"/>
              <w:rPr>
                <w:sz w:val="11"/>
                <w:szCs w:val="11"/>
                <w:color w:val="auto"/>
              </w:rPr>
            </w:pPr>
          </w:p>
        </w:tc>
      </w:tr>
      <w:tr>
        <w:trPr>
          <w:trHeight w:val="136"/>
        </w:trPr>
        <w:tc>
          <w:tcPr>
            <w:tcW w:w="1420" w:type="dxa"/>
            <w:vAlign w:val="bottom"/>
          </w:tcPr>
          <w:p>
            <w:pPr>
              <w:spacing w:after="0"/>
              <w:rPr>
                <w:sz w:val="11"/>
                <w:szCs w:val="11"/>
                <w:color w:val="auto"/>
              </w:rPr>
            </w:pPr>
          </w:p>
        </w:tc>
        <w:tc>
          <w:tcPr>
            <w:tcW w:w="9140" w:type="dxa"/>
            <w:vAlign w:val="bottom"/>
            <w:gridSpan w:val="39"/>
          </w:tcPr>
          <w:p>
            <w:pPr>
              <w:spacing w:after="0" w:line="136"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Exhibit 10.1 to the Registrant’s Current Report on Form 8-K (File No. 814-00891), filed on August 9, 2024).</w:t>
              </w:r>
            </w:hyperlink>
          </w:p>
        </w:tc>
      </w:tr>
      <w:tr>
        <w:trPr>
          <w:trHeight w:val="20"/>
        </w:trPr>
        <w:tc>
          <w:tcPr>
            <w:tcW w:w="14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gridSpan w:val="19"/>
          </w:tcPr>
          <w:p>
            <w:pPr>
              <w:spacing w:after="0" w:line="20" w:lineRule="exact"/>
              <w:rPr>
                <w:sz w:val="1"/>
                <w:szCs w:val="1"/>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14.1</w:t>
            </w:r>
          </w:p>
        </w:tc>
        <w:tc>
          <w:tcPr>
            <w:tcW w:w="9140" w:type="dxa"/>
            <w:vAlign w:val="bottom"/>
            <w:gridSpan w:val="39"/>
          </w:tcPr>
          <w:p>
            <w:pPr>
              <w:spacing w:after="0"/>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Joint Code of Ethics of the Registrant (Incorporated by reference to Exhibit 14.1 to the Registrant's Annual Report on Form 10-K (File No. 814-00891), filed on December</w:t>
              </w:r>
            </w:hyperlink>
          </w:p>
        </w:tc>
      </w:tr>
      <w:tr>
        <w:trPr>
          <w:trHeight w:val="136"/>
        </w:trPr>
        <w:tc>
          <w:tcPr>
            <w:tcW w:w="1420" w:type="dxa"/>
            <w:vAlign w:val="bottom"/>
          </w:tcPr>
          <w:p>
            <w:pPr>
              <w:spacing w:after="0"/>
              <w:rPr>
                <w:sz w:val="11"/>
                <w:szCs w:val="11"/>
                <w:color w:val="auto"/>
              </w:rPr>
            </w:pPr>
          </w:p>
        </w:tc>
        <w:tc>
          <w:tcPr>
            <w:tcW w:w="420" w:type="dxa"/>
            <w:vAlign w:val="bottom"/>
            <w:tcBorders>
              <w:top w:val="single" w:sz="8" w:color="0000FF"/>
              <w:bottom w:val="single" w:sz="8" w:color="0000FF"/>
            </w:tcBorders>
            <w:gridSpan w:val="2"/>
          </w:tcPr>
          <w:p>
            <w:pPr>
              <w:spacing w:after="0" w:line="136" w:lineRule="exact"/>
              <w:rPr>
                <w:rFonts w:ascii="Times New Roman" w:cs="Times New Roman" w:eastAsia="Times New Roman" w:hAnsi="Times New Roman"/>
                <w:sz w:val="13"/>
                <w:szCs w:val="13"/>
                <w:color w:val="0000FF"/>
                <w:w w:val="94"/>
              </w:rPr>
            </w:pPr>
            <w:hyperlink r:id="rId146">
              <w:r>
                <w:rPr>
                  <w:rFonts w:ascii="Times New Roman" w:cs="Times New Roman" w:eastAsia="Times New Roman" w:hAnsi="Times New Roman"/>
                  <w:sz w:val="13"/>
                  <w:szCs w:val="13"/>
                  <w:color w:val="0000FF"/>
                  <w:w w:val="94"/>
                </w:rPr>
                <w:t>8, 2023.</w:t>
              </w:r>
            </w:hyperlink>
          </w:p>
        </w:tc>
        <w:tc>
          <w:tcPr>
            <w:tcW w:w="9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19.1</w:t>
            </w:r>
          </w:p>
        </w:tc>
        <w:tc>
          <w:tcPr>
            <w:tcW w:w="840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Insider Trading Policy (included in the Joint Code of Ethics of the Registrant) (Incorporated by reference to Exhibit 14.1 to this Annual Report on Form 10-K).</w:t>
              </w:r>
            </w:hyperlink>
          </w:p>
        </w:tc>
        <w:tc>
          <w:tcPr>
            <w:tcW w:w="740" w:type="dxa"/>
            <w:vAlign w:val="bottom"/>
            <w:gridSpan w:val="19"/>
          </w:tcPr>
          <w:p>
            <w:pPr>
              <w:spacing w:after="0"/>
              <w:rPr>
                <w:sz w:val="22"/>
                <w:szCs w:val="22"/>
                <w:color w:val="auto"/>
              </w:rPr>
            </w:pPr>
          </w:p>
        </w:tc>
      </w:tr>
      <w:tr>
        <w:trPr>
          <w:trHeight w:val="29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21.1*</w:t>
            </w:r>
          </w:p>
        </w:tc>
        <w:tc>
          <w:tcPr>
            <w:tcW w:w="158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w w:val="99"/>
              </w:rPr>
            </w:pPr>
            <w:hyperlink w:anchor="page1">
              <w:r>
                <w:rPr>
                  <w:rFonts w:ascii="Times New Roman" w:cs="Times New Roman" w:eastAsia="Times New Roman" w:hAnsi="Times New Roman"/>
                  <w:sz w:val="13"/>
                  <w:szCs w:val="13"/>
                  <w:color w:val="0000FF"/>
                  <w:w w:val="99"/>
                </w:rPr>
                <w:t>Subsidiaries of the Registrant.</w:t>
              </w:r>
            </w:hyperlink>
          </w:p>
        </w:tc>
        <w:tc>
          <w:tcPr>
            <w:tcW w:w="7560" w:type="dxa"/>
            <w:vAlign w:val="bottom"/>
            <w:gridSpan w:val="34"/>
          </w:tcPr>
          <w:p>
            <w:pPr>
              <w:spacing w:after="0"/>
              <w:rPr>
                <w:sz w:val="24"/>
                <w:szCs w:val="24"/>
                <w:color w:val="auto"/>
              </w:rPr>
            </w:pPr>
          </w:p>
        </w:tc>
      </w:tr>
      <w:tr>
        <w:trPr>
          <w:trHeight w:val="25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23.1*</w:t>
            </w:r>
          </w:p>
        </w:tc>
        <w:tc>
          <w:tcPr>
            <w:tcW w:w="138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9"/>
              </w:rPr>
            </w:pPr>
            <w:hyperlink w:anchor="page1">
              <w:r>
                <w:rPr>
                  <w:rFonts w:ascii="Times New Roman" w:cs="Times New Roman" w:eastAsia="Times New Roman" w:hAnsi="Times New Roman"/>
                  <w:sz w:val="13"/>
                  <w:szCs w:val="13"/>
                  <w:color w:val="0000FF"/>
                  <w:w w:val="99"/>
                </w:rPr>
                <w:t>Consent of RSM US LLP.</w:t>
              </w:r>
            </w:hyperlink>
          </w:p>
        </w:tc>
        <w:tc>
          <w:tcPr>
            <w:tcW w:w="7760" w:type="dxa"/>
            <w:vAlign w:val="bottom"/>
            <w:gridSpan w:val="36"/>
          </w:tcPr>
          <w:p>
            <w:pPr>
              <w:spacing w:after="0"/>
              <w:rPr>
                <w:sz w:val="22"/>
                <w:szCs w:val="22"/>
                <w:color w:val="auto"/>
              </w:rPr>
            </w:pPr>
          </w:p>
        </w:tc>
      </w:tr>
      <w:tr>
        <w:trPr>
          <w:trHeight w:val="25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624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tc>
        <w:tc>
          <w:tcPr>
            <w:tcW w:w="2900" w:type="dxa"/>
            <w:vAlign w:val="bottom"/>
            <w:gridSpan w:val="22"/>
          </w:tcPr>
          <w:p>
            <w:pPr>
              <w:spacing w:after="0"/>
              <w:rPr>
                <w:sz w:val="22"/>
                <w:szCs w:val="22"/>
                <w:color w:val="auto"/>
              </w:rPr>
            </w:pPr>
          </w:p>
        </w:tc>
      </w:tr>
      <w:tr>
        <w:trPr>
          <w:trHeight w:val="25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620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tc>
        <w:tc>
          <w:tcPr>
            <w:tcW w:w="2940" w:type="dxa"/>
            <w:vAlign w:val="bottom"/>
            <w:gridSpan w:val="23"/>
          </w:tcPr>
          <w:p>
            <w:pPr>
              <w:spacing w:after="0"/>
              <w:rPr>
                <w:sz w:val="22"/>
                <w:szCs w:val="22"/>
                <w:color w:val="auto"/>
              </w:rPr>
            </w:pPr>
          </w:p>
        </w:tc>
      </w:tr>
      <w:tr>
        <w:trPr>
          <w:trHeight w:val="25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528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3860" w:type="dxa"/>
            <w:vAlign w:val="bottom"/>
            <w:gridSpan w:val="25"/>
          </w:tcPr>
          <w:p>
            <w:pPr>
              <w:spacing w:after="0"/>
              <w:rPr>
                <w:sz w:val="22"/>
                <w:szCs w:val="22"/>
                <w:color w:val="auto"/>
              </w:rPr>
            </w:pPr>
          </w:p>
        </w:tc>
      </w:tr>
      <w:tr>
        <w:trPr>
          <w:trHeight w:val="25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524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c>
          <w:tcPr>
            <w:tcW w:w="3900" w:type="dxa"/>
            <w:vAlign w:val="bottom"/>
            <w:gridSpan w:val="26"/>
          </w:tcPr>
          <w:p>
            <w:pPr>
              <w:spacing w:after="0"/>
              <w:rPr>
                <w:sz w:val="22"/>
                <w:szCs w:val="22"/>
                <w:color w:val="auto"/>
              </w:rPr>
            </w:pPr>
          </w:p>
        </w:tc>
      </w:tr>
      <w:tr>
        <w:trPr>
          <w:trHeight w:val="25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99.1</w:t>
            </w:r>
          </w:p>
        </w:tc>
        <w:tc>
          <w:tcPr>
            <w:tcW w:w="9140" w:type="dxa"/>
            <w:vAlign w:val="bottom"/>
            <w:gridSpan w:val="39"/>
          </w:tcPr>
          <w:p>
            <w:pPr>
              <w:spacing w:after="0"/>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Privacy Policy of the Registrant (Incorporated by reference to Exhibit 99.1 to the Registrant's Annual Report on Form 10-K (File No. 814-00891), filed on December 8,</w:t>
              </w:r>
            </w:hyperlink>
          </w:p>
        </w:tc>
      </w:tr>
      <w:tr>
        <w:trPr>
          <w:trHeight w:val="136"/>
        </w:trPr>
        <w:tc>
          <w:tcPr>
            <w:tcW w:w="1420" w:type="dxa"/>
            <w:vAlign w:val="bottom"/>
          </w:tcPr>
          <w:p>
            <w:pPr>
              <w:spacing w:after="0"/>
              <w:rPr>
                <w:sz w:val="11"/>
                <w:szCs w:val="11"/>
                <w:color w:val="auto"/>
              </w:rPr>
            </w:pPr>
          </w:p>
        </w:tc>
        <w:tc>
          <w:tcPr>
            <w:tcW w:w="300" w:type="dxa"/>
            <w:vAlign w:val="bottom"/>
            <w:tcBorders>
              <w:top w:val="single" w:sz="8" w:color="0000FF"/>
              <w:bottom w:val="single" w:sz="8" w:color="0000FF"/>
            </w:tcBorders>
          </w:tcPr>
          <w:p>
            <w:pPr>
              <w:spacing w:after="0" w:line="136" w:lineRule="exact"/>
              <w:rPr>
                <w:rFonts w:ascii="Times New Roman" w:cs="Times New Roman" w:eastAsia="Times New Roman" w:hAnsi="Times New Roman"/>
                <w:sz w:val="13"/>
                <w:szCs w:val="13"/>
                <w:color w:val="0000FF"/>
                <w:w w:val="95"/>
              </w:rPr>
            </w:pPr>
            <w:hyperlink r:id="rId147">
              <w:r>
                <w:rPr>
                  <w:rFonts w:ascii="Times New Roman" w:cs="Times New Roman" w:eastAsia="Times New Roman" w:hAnsi="Times New Roman"/>
                  <w:sz w:val="13"/>
                  <w:szCs w:val="13"/>
                  <w:color w:val="0000FF"/>
                  <w:w w:val="95"/>
                </w:rPr>
                <w:t>2023.</w:t>
              </w:r>
            </w:hyperlink>
          </w:p>
        </w:tc>
        <w:tc>
          <w:tcPr>
            <w:tcW w:w="120" w:type="dxa"/>
            <w:vAlign w:val="bottom"/>
            <w:tcBorders>
              <w:top w:val="single" w:sz="8" w:color="0000FF"/>
            </w:tcBorders>
          </w:tcPr>
          <w:p>
            <w:pPr>
              <w:spacing w:after="0"/>
              <w:rPr>
                <w:sz w:val="11"/>
                <w:szCs w:val="11"/>
                <w:color w:val="auto"/>
              </w:rPr>
            </w:pPr>
          </w:p>
        </w:tc>
        <w:tc>
          <w:tcPr>
            <w:tcW w:w="9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99.2*</w:t>
            </w:r>
          </w:p>
        </w:tc>
        <w:tc>
          <w:tcPr>
            <w:tcW w:w="9140" w:type="dxa"/>
            <w:vAlign w:val="bottom"/>
            <w:gridSpan w:val="3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Report of RSM US LLP on Senior Securities Table</w:t>
              </w:r>
            </w:hyperlink>
          </w:p>
        </w:tc>
      </w:tr>
      <w:tr>
        <w:trPr>
          <w:trHeight w:val="20"/>
        </w:trPr>
        <w:tc>
          <w:tcPr>
            <w:tcW w:w="1420" w:type="dxa"/>
            <w:vAlign w:val="bottom"/>
          </w:tcPr>
          <w:p>
            <w:pPr>
              <w:spacing w:after="0" w:line="20" w:lineRule="exact"/>
              <w:rPr>
                <w:sz w:val="1"/>
                <w:szCs w:val="1"/>
                <w:color w:val="auto"/>
              </w:rPr>
            </w:pPr>
          </w:p>
        </w:tc>
        <w:tc>
          <w:tcPr>
            <w:tcW w:w="2700" w:type="dxa"/>
            <w:vAlign w:val="bottom"/>
            <w:gridSpan w:val="10"/>
            <w:shd w:val="clear" w:color="auto" w:fill="0000FF"/>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1420" w:type="dxa"/>
            <w:vAlign w:val="bottom"/>
            <w:gridSpan w:val="20"/>
          </w:tcPr>
          <w:p>
            <w:pPr>
              <w:spacing w:after="0" w:line="20" w:lineRule="exact"/>
              <w:rPr>
                <w:sz w:val="1"/>
                <w:szCs w:val="1"/>
                <w:color w:val="auto"/>
              </w:rPr>
            </w:pPr>
          </w:p>
        </w:tc>
      </w:tr>
      <w:tr>
        <w:trPr>
          <w:trHeight w:val="25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99.3*</w:t>
            </w:r>
          </w:p>
        </w:tc>
        <w:tc>
          <w:tcPr>
            <w:tcW w:w="9140" w:type="dxa"/>
            <w:vAlign w:val="bottom"/>
            <w:gridSpan w:val="3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Audited Consolidated Financial Statements of PennantPark Senior Secured Loan Fund I LLC for the Years Ended September 30, 2024 and 2023.</w:t>
              </w:r>
            </w:hyperlink>
          </w:p>
        </w:tc>
      </w:tr>
      <w:tr>
        <w:trPr>
          <w:trHeight w:val="988"/>
        </w:trPr>
        <w:tc>
          <w:tcPr>
            <w:tcW w:w="1420" w:type="dxa"/>
            <w:vAlign w:val="bottom"/>
            <w:tcBorders>
              <w:bottom w:val="single" w:sz="8" w:color="EEEEEE"/>
            </w:tcBorders>
          </w:tcPr>
          <w:p>
            <w:pPr>
              <w:spacing w:after="0"/>
              <w:rPr>
                <w:sz w:val="24"/>
                <w:szCs w:val="24"/>
                <w:color w:val="auto"/>
              </w:rPr>
            </w:pPr>
          </w:p>
        </w:tc>
        <w:tc>
          <w:tcPr>
            <w:tcW w:w="300" w:type="dxa"/>
            <w:vAlign w:val="bottom"/>
            <w:tcBorders>
              <w:top w:val="single" w:sz="8" w:color="0000FF"/>
              <w:bottom w:val="single" w:sz="8" w:color="EEEEEE"/>
            </w:tcBorders>
          </w:tcPr>
          <w:p>
            <w:pPr>
              <w:spacing w:after="0"/>
              <w:rPr>
                <w:sz w:val="24"/>
                <w:szCs w:val="24"/>
                <w:color w:val="auto"/>
              </w:rPr>
            </w:pPr>
          </w:p>
        </w:tc>
        <w:tc>
          <w:tcPr>
            <w:tcW w:w="120" w:type="dxa"/>
            <w:vAlign w:val="bottom"/>
            <w:tcBorders>
              <w:top w:val="single" w:sz="8" w:color="0000FF"/>
              <w:bottom w:val="single" w:sz="8" w:color="EEEEEE"/>
            </w:tcBorders>
          </w:tcPr>
          <w:p>
            <w:pPr>
              <w:spacing w:after="0"/>
              <w:rPr>
                <w:sz w:val="24"/>
                <w:szCs w:val="24"/>
                <w:color w:val="auto"/>
              </w:rPr>
            </w:pPr>
          </w:p>
        </w:tc>
        <w:tc>
          <w:tcPr>
            <w:tcW w:w="960" w:type="dxa"/>
            <w:vAlign w:val="bottom"/>
            <w:tcBorders>
              <w:top w:val="single" w:sz="8" w:color="0000FF"/>
              <w:bottom w:val="single" w:sz="8" w:color="EEEEEE"/>
            </w:tcBorders>
          </w:tcPr>
          <w:p>
            <w:pPr>
              <w:spacing w:after="0"/>
              <w:rPr>
                <w:sz w:val="24"/>
                <w:szCs w:val="24"/>
                <w:color w:val="auto"/>
              </w:rPr>
            </w:pPr>
          </w:p>
        </w:tc>
        <w:tc>
          <w:tcPr>
            <w:tcW w:w="40" w:type="dxa"/>
            <w:vAlign w:val="bottom"/>
            <w:tcBorders>
              <w:top w:val="single" w:sz="8" w:color="0000FF"/>
              <w:bottom w:val="single" w:sz="8" w:color="EEEEEE"/>
            </w:tcBorders>
          </w:tcPr>
          <w:p>
            <w:pPr>
              <w:spacing w:after="0"/>
              <w:rPr>
                <w:sz w:val="24"/>
                <w:szCs w:val="24"/>
                <w:color w:val="auto"/>
              </w:rPr>
            </w:pPr>
          </w:p>
        </w:tc>
        <w:tc>
          <w:tcPr>
            <w:tcW w:w="160" w:type="dxa"/>
            <w:vAlign w:val="bottom"/>
            <w:tcBorders>
              <w:top w:val="single" w:sz="8" w:color="0000FF"/>
              <w:bottom w:val="single" w:sz="8" w:color="EEEEEE"/>
            </w:tcBorders>
          </w:tcPr>
          <w:p>
            <w:pPr>
              <w:spacing w:after="0"/>
              <w:rPr>
                <w:sz w:val="24"/>
                <w:szCs w:val="24"/>
                <w:color w:val="auto"/>
              </w:rPr>
            </w:pPr>
          </w:p>
        </w:tc>
        <w:tc>
          <w:tcPr>
            <w:tcW w:w="80" w:type="dxa"/>
            <w:vAlign w:val="bottom"/>
            <w:tcBorders>
              <w:top w:val="single" w:sz="8" w:color="0000FF"/>
              <w:bottom w:val="single" w:sz="8" w:color="EEEEEE"/>
            </w:tcBorders>
          </w:tcPr>
          <w:p>
            <w:pPr>
              <w:spacing w:after="0"/>
              <w:rPr>
                <w:sz w:val="24"/>
                <w:szCs w:val="24"/>
                <w:color w:val="auto"/>
              </w:rPr>
            </w:pPr>
          </w:p>
        </w:tc>
        <w:tc>
          <w:tcPr>
            <w:tcW w:w="340" w:type="dxa"/>
            <w:vAlign w:val="bottom"/>
            <w:tcBorders>
              <w:top w:val="single" w:sz="8" w:color="0000FF"/>
              <w:bottom w:val="single" w:sz="8" w:color="EEEEEE"/>
            </w:tcBorders>
          </w:tcPr>
          <w:p>
            <w:pPr>
              <w:spacing w:after="0"/>
              <w:rPr>
                <w:sz w:val="24"/>
                <w:szCs w:val="24"/>
                <w:color w:val="auto"/>
              </w:rPr>
            </w:pPr>
          </w:p>
        </w:tc>
        <w:tc>
          <w:tcPr>
            <w:tcW w:w="120" w:type="dxa"/>
            <w:vAlign w:val="bottom"/>
            <w:tcBorders>
              <w:top w:val="single" w:sz="8" w:color="0000FF"/>
              <w:bottom w:val="single" w:sz="8" w:color="EEEEEE"/>
            </w:tcBorders>
          </w:tcPr>
          <w:p>
            <w:pPr>
              <w:spacing w:after="0"/>
              <w:rPr>
                <w:sz w:val="24"/>
                <w:szCs w:val="24"/>
                <w:color w:val="auto"/>
              </w:rPr>
            </w:pPr>
          </w:p>
        </w:tc>
        <w:tc>
          <w:tcPr>
            <w:tcW w:w="500" w:type="dxa"/>
            <w:vAlign w:val="bottom"/>
            <w:tcBorders>
              <w:top w:val="single" w:sz="8" w:color="0000FF"/>
              <w:bottom w:val="single" w:sz="8" w:color="EEEEEE"/>
            </w:tcBorders>
          </w:tcPr>
          <w:p>
            <w:pPr>
              <w:spacing w:after="0"/>
              <w:rPr>
                <w:sz w:val="24"/>
                <w:szCs w:val="24"/>
                <w:color w:val="auto"/>
              </w:rPr>
            </w:pPr>
          </w:p>
        </w:tc>
        <w:tc>
          <w:tcPr>
            <w:tcW w:w="80" w:type="dxa"/>
            <w:vAlign w:val="bottom"/>
            <w:tcBorders>
              <w:top w:val="single" w:sz="8" w:color="0000FF"/>
              <w:bottom w:val="single" w:sz="8" w:color="EEEEEE"/>
            </w:tcBorders>
          </w:tcPr>
          <w:p>
            <w:pPr>
              <w:spacing w:after="0"/>
              <w:rPr>
                <w:sz w:val="24"/>
                <w:szCs w:val="24"/>
                <w:color w:val="auto"/>
              </w:rPr>
            </w:pPr>
          </w:p>
        </w:tc>
        <w:tc>
          <w:tcPr>
            <w:tcW w:w="660" w:type="dxa"/>
            <w:vAlign w:val="bottom"/>
            <w:tcBorders>
              <w:top w:val="single" w:sz="8" w:color="0000FF"/>
              <w:bottom w:val="single" w:sz="8" w:color="EEEEEE"/>
            </w:tcBorders>
          </w:tcPr>
          <w:p>
            <w:pPr>
              <w:spacing w:after="0"/>
              <w:rPr>
                <w:sz w:val="24"/>
                <w:szCs w:val="24"/>
                <w:color w:val="auto"/>
              </w:rPr>
            </w:pPr>
          </w:p>
        </w:tc>
        <w:tc>
          <w:tcPr>
            <w:tcW w:w="760" w:type="dxa"/>
            <w:vAlign w:val="bottom"/>
            <w:tcBorders>
              <w:top w:val="single" w:sz="8" w:color="0000FF"/>
              <w:bottom w:val="single" w:sz="8" w:color="EEEEEE"/>
            </w:tcBorders>
          </w:tcPr>
          <w:p>
            <w:pPr>
              <w:spacing w:after="0"/>
              <w:rPr>
                <w:sz w:val="24"/>
                <w:szCs w:val="24"/>
                <w:color w:val="auto"/>
              </w:rPr>
            </w:pPr>
          </w:p>
        </w:tc>
        <w:tc>
          <w:tcPr>
            <w:tcW w:w="1120" w:type="dxa"/>
            <w:vAlign w:val="bottom"/>
            <w:tcBorders>
              <w:top w:val="single" w:sz="8" w:color="0000FF"/>
              <w:bottom w:val="single" w:sz="8" w:color="EEEEEE"/>
            </w:tcBorders>
          </w:tcPr>
          <w:p>
            <w:pPr>
              <w:spacing w:after="0"/>
              <w:rPr>
                <w:sz w:val="24"/>
                <w:szCs w:val="24"/>
                <w:color w:val="auto"/>
              </w:rPr>
            </w:pPr>
          </w:p>
        </w:tc>
        <w:tc>
          <w:tcPr>
            <w:tcW w:w="40" w:type="dxa"/>
            <w:vAlign w:val="bottom"/>
            <w:tcBorders>
              <w:top w:val="single" w:sz="8" w:color="0000FF"/>
              <w:bottom w:val="single" w:sz="8" w:color="EEEEEE"/>
            </w:tcBorders>
          </w:tcPr>
          <w:p>
            <w:pPr>
              <w:spacing w:after="0"/>
              <w:rPr>
                <w:sz w:val="24"/>
                <w:szCs w:val="24"/>
                <w:color w:val="auto"/>
              </w:rPr>
            </w:pPr>
          </w:p>
        </w:tc>
        <w:tc>
          <w:tcPr>
            <w:tcW w:w="460" w:type="dxa"/>
            <w:vAlign w:val="bottom"/>
            <w:tcBorders>
              <w:top w:val="single" w:sz="8" w:color="0000FF"/>
              <w:bottom w:val="single" w:sz="8" w:color="EEEEEE"/>
            </w:tcBorders>
          </w:tcPr>
          <w:p>
            <w:pPr>
              <w:spacing w:after="0"/>
              <w:rPr>
                <w:sz w:val="24"/>
                <w:szCs w:val="24"/>
                <w:color w:val="auto"/>
              </w:rPr>
            </w:pPr>
          </w:p>
        </w:tc>
        <w:tc>
          <w:tcPr>
            <w:tcW w:w="460" w:type="dxa"/>
            <w:vAlign w:val="bottom"/>
            <w:tcBorders>
              <w:top w:val="single" w:sz="8" w:color="0000FF"/>
              <w:bottom w:val="single" w:sz="8" w:color="EEEEEE"/>
            </w:tcBorders>
          </w:tcPr>
          <w:p>
            <w:pPr>
              <w:spacing w:after="0"/>
              <w:rPr>
                <w:sz w:val="24"/>
                <w:szCs w:val="24"/>
                <w:color w:val="auto"/>
              </w:rPr>
            </w:pPr>
          </w:p>
        </w:tc>
        <w:tc>
          <w:tcPr>
            <w:tcW w:w="40" w:type="dxa"/>
            <w:vAlign w:val="bottom"/>
            <w:tcBorders>
              <w:top w:val="single" w:sz="8" w:color="0000FF"/>
              <w:bottom w:val="single" w:sz="8" w:color="EEEEEE"/>
            </w:tcBorders>
          </w:tcPr>
          <w:p>
            <w:pPr>
              <w:spacing w:after="0"/>
              <w:rPr>
                <w:sz w:val="24"/>
                <w:szCs w:val="24"/>
                <w:color w:val="auto"/>
              </w:rPr>
            </w:pPr>
          </w:p>
        </w:tc>
        <w:tc>
          <w:tcPr>
            <w:tcW w:w="980" w:type="dxa"/>
            <w:vAlign w:val="bottom"/>
            <w:tcBorders>
              <w:top w:val="single" w:sz="8" w:color="0000FF"/>
              <w:bottom w:val="single" w:sz="8" w:color="EEEEEE"/>
            </w:tcBorders>
          </w:tcPr>
          <w:p>
            <w:pPr>
              <w:spacing w:after="0"/>
              <w:rPr>
                <w:sz w:val="24"/>
                <w:szCs w:val="24"/>
                <w:color w:val="auto"/>
              </w:rPr>
            </w:pPr>
          </w:p>
        </w:tc>
        <w:tc>
          <w:tcPr>
            <w:tcW w:w="500" w:type="dxa"/>
            <w:vAlign w:val="bottom"/>
            <w:tcBorders>
              <w:top w:val="single" w:sz="8" w:color="0000FF"/>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-6691630</wp:posOffset>
            </wp:positionV>
            <wp:extent cx="2286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-5692775</wp:posOffset>
            </wp:positionV>
            <wp:extent cx="228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1308" w:right="680" w:bottom="1440" w:gutter="0" w:footer="0" w:header="0"/>
        </w:sectPr>
      </w:pPr>
    </w:p>
    <w:bookmarkStart w:id="111" w:name="page112"/>
    <w:bookmarkEnd w:id="111"/>
    <w:tbl>
      <w:tblPr>
        <w:tblLayout w:type="fixed"/>
        <w:tblInd w:w="20" w:type="dxa"/>
        <w:tblCellMar>
          <w:top w:w="0" w:type="dxa"/>
          <w:left w:w="0" w:type="dxa"/>
          <w:bottom w:w="0" w:type="dxa"/>
          <w:right w:w="0" w:type="dxa"/>
        </w:tblCellMar>
      </w:tblPr>
      <w:tr>
        <w:trPr>
          <w:trHeight w:val="149"/>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99.4*</w:t>
            </w:r>
          </w:p>
        </w:tc>
        <w:tc>
          <w:tcPr>
            <w:tcW w:w="8400" w:type="dxa"/>
            <w:vAlign w:val="bottom"/>
            <w:gridSpan w:val="2"/>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Audited Consolidated Financial Statements of PennantPark Senior Secured Loan Fund I LLC for the Years Ended September 30, 2023 and 2022.</w:t>
              </w:r>
            </w:hyperlink>
          </w:p>
        </w:tc>
      </w:tr>
      <w:tr>
        <w:trPr>
          <w:trHeight w:val="20"/>
        </w:trPr>
        <w:tc>
          <w:tcPr>
            <w:tcW w:w="1400" w:type="dxa"/>
            <w:vAlign w:val="bottom"/>
          </w:tcPr>
          <w:p>
            <w:pPr>
              <w:spacing w:after="0" w:line="20" w:lineRule="exact"/>
              <w:rPr>
                <w:sz w:val="1"/>
                <w:szCs w:val="1"/>
                <w:color w:val="auto"/>
              </w:rPr>
            </w:pPr>
          </w:p>
        </w:tc>
        <w:tc>
          <w:tcPr>
            <w:tcW w:w="76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97.1</w:t>
            </w:r>
          </w:p>
        </w:tc>
        <w:tc>
          <w:tcPr>
            <w:tcW w:w="840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Clawback Policy (Incorporated by reference to Exhibit 97.1 to the Registrant's Annual Report on Form 10-K (File No. 814-00891), filed on December 8, 2023.</w:t>
              </w:r>
            </w:hyperlink>
          </w:p>
        </w:tc>
      </w:tr>
      <w:tr>
        <w:trPr>
          <w:trHeight w:val="320"/>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bl>
    <w:p>
      <w:pPr>
        <w:spacing w:after="0" w:line="140" w:lineRule="exact"/>
        <w:rPr>
          <w:sz w:val="20"/>
          <w:szCs w:val="20"/>
          <w:color w:val="auto"/>
        </w:rPr>
      </w:pPr>
    </w:p>
    <w:p>
      <w:pPr>
        <w:ind w:left="1420" w:hanging="1402"/>
        <w:spacing w:after="0"/>
        <w:tabs>
          <w:tab w:leader="none" w:pos="14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(formatted as inline XBRL and contained in Exhibit 101)</w:t>
      </w:r>
    </w:p>
    <w:p>
      <w:pPr>
        <w:spacing w:after="0" w:line="330"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20"/>
          </w:cols>
          <w:pgMar w:left="660" w:top="1308" w:right="142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9"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 on November 25, 2024.</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20" w:type="dxa"/>
            <w:vAlign w:val="bottom"/>
          </w:tcPr>
          <w:p>
            <w:pPr>
              <w:jc w:val="center"/>
              <w:ind w:left="214"/>
              <w:spacing w:after="0"/>
              <w:rPr>
                <w:sz w:val="20"/>
                <w:szCs w:val="20"/>
                <w:color w:val="auto"/>
              </w:rPr>
            </w:pPr>
            <w:r>
              <w:rPr>
                <w:rFonts w:ascii="Times New Roman" w:cs="Times New Roman" w:eastAsia="Times New Roman" w:hAnsi="Times New Roman"/>
                <w:sz w:val="13"/>
                <w:szCs w:val="13"/>
                <w:color w:val="auto"/>
              </w:rPr>
              <w:t>/s/  ARTHUR H. PENN</w:t>
            </w:r>
          </w:p>
        </w:tc>
      </w:tr>
      <w:tr>
        <w:trPr>
          <w:trHeight w:val="15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3320" w:type="dxa"/>
            <w:vAlign w:val="bottom"/>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rPr>
              <w:t>Arthur H. Penn</w:t>
            </w:r>
          </w:p>
        </w:tc>
      </w:tr>
      <w:tr>
        <w:trPr>
          <w:trHeight w:val="15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320" w:type="dxa"/>
            <w:vAlign w:val="bottom"/>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w:t>
            </w:r>
          </w:p>
        </w:tc>
      </w:tr>
      <w:tr>
        <w:trPr>
          <w:trHeight w:val="174"/>
        </w:trPr>
        <w:tc>
          <w:tcPr>
            <w:tcW w:w="620" w:type="dxa"/>
            <w:vAlign w:val="bottom"/>
          </w:tcPr>
          <w:p>
            <w:pPr>
              <w:spacing w:after="0"/>
              <w:rPr>
                <w:sz w:val="15"/>
                <w:szCs w:val="15"/>
                <w:color w:val="auto"/>
              </w:rPr>
            </w:pPr>
          </w:p>
        </w:tc>
        <w:tc>
          <w:tcPr>
            <w:tcW w:w="3320" w:type="dxa"/>
            <w:vAlign w:val="bottom"/>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w w:val="99"/>
              </w:rPr>
              <w:t>Directors</w:t>
            </w:r>
          </w:p>
        </w:tc>
      </w:tr>
    </w:tbl>
    <w:p>
      <w:pPr>
        <w:spacing w:after="0" w:line="140"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4920" w:type="dxa"/>
            <w:vAlign w:val="bottom"/>
          </w:tcPr>
          <w:p>
            <w:pPr>
              <w:jc w:val="center"/>
              <w:ind w:left="434"/>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236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58"/>
        </w:trPr>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c>
          <w:tcPr>
            <w:tcW w:w="492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Chief Executive Officer and Chairman of the Board of Directors</w:t>
            </w:r>
          </w:p>
        </w:tc>
        <w:tc>
          <w:tcPr>
            <w:tcW w:w="236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17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Arthur H. Penn</w:t>
            </w:r>
          </w:p>
        </w:tc>
        <w:tc>
          <w:tcPr>
            <w:tcW w:w="49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2360" w:type="dxa"/>
            <w:vAlign w:val="bottom"/>
          </w:tcPr>
          <w:p>
            <w:pPr>
              <w:spacing w:after="0"/>
              <w:rPr>
                <w:sz w:val="15"/>
                <w:szCs w:val="15"/>
                <w:color w:val="auto"/>
              </w:rPr>
            </w:pPr>
          </w:p>
        </w:tc>
      </w:tr>
      <w:tr>
        <w:trPr>
          <w:trHeight w:val="258"/>
        </w:trPr>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c>
          <w:tcPr>
            <w:tcW w:w="492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Chief Financial Officer and Treasurer</w:t>
            </w:r>
          </w:p>
        </w:tc>
        <w:tc>
          <w:tcPr>
            <w:tcW w:w="236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17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Richard T. Allorto, Jr.</w:t>
            </w:r>
          </w:p>
        </w:tc>
        <w:tc>
          <w:tcPr>
            <w:tcW w:w="492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c>
          <w:tcPr>
            <w:tcW w:w="2360" w:type="dxa"/>
            <w:vAlign w:val="bottom"/>
          </w:tcPr>
          <w:p>
            <w:pPr>
              <w:spacing w:after="0"/>
              <w:rPr>
                <w:sz w:val="15"/>
                <w:szCs w:val="15"/>
                <w:color w:val="auto"/>
              </w:rPr>
            </w:pPr>
          </w:p>
        </w:tc>
      </w:tr>
      <w:tr>
        <w:trPr>
          <w:trHeight w:val="258"/>
        </w:trPr>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ADAM K. BERNSTEIN</w:t>
            </w:r>
          </w:p>
        </w:tc>
        <w:tc>
          <w:tcPr>
            <w:tcW w:w="492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Director</w:t>
            </w:r>
          </w:p>
        </w:tc>
        <w:tc>
          <w:tcPr>
            <w:tcW w:w="236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17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Adam K. Bernstein</w:t>
            </w:r>
          </w:p>
        </w:tc>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18"/>
        </w:trPr>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JEFFREY FLUG</w:t>
            </w:r>
          </w:p>
        </w:tc>
        <w:tc>
          <w:tcPr>
            <w:tcW w:w="492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Director</w:t>
            </w:r>
          </w:p>
        </w:tc>
        <w:tc>
          <w:tcPr>
            <w:tcW w:w="236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17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Jeffrey Flug</w:t>
            </w:r>
          </w:p>
        </w:tc>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58"/>
        </w:trPr>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MARSHALL BROZOST</w:t>
            </w:r>
          </w:p>
        </w:tc>
        <w:tc>
          <w:tcPr>
            <w:tcW w:w="492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Director</w:t>
            </w:r>
          </w:p>
        </w:tc>
        <w:tc>
          <w:tcPr>
            <w:tcW w:w="236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17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Marshall Brozost</w:t>
            </w:r>
          </w:p>
        </w:tc>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58"/>
        </w:trPr>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SAMUEL L. KATZ</w:t>
            </w:r>
          </w:p>
        </w:tc>
        <w:tc>
          <w:tcPr>
            <w:tcW w:w="492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Director</w:t>
            </w:r>
          </w:p>
        </w:tc>
        <w:tc>
          <w:tcPr>
            <w:tcW w:w="236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17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Samuel L. Katz</w:t>
            </w:r>
          </w:p>
        </w:tc>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94"/>
        </w:trPr>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JOSÉ A. BRIONES, JR.</w:t>
            </w:r>
          </w:p>
        </w:tc>
        <w:tc>
          <w:tcPr>
            <w:tcW w:w="492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Director</w:t>
            </w:r>
          </w:p>
        </w:tc>
        <w:tc>
          <w:tcPr>
            <w:tcW w:w="236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17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José A. Briones</w:t>
            </w:r>
          </w:p>
        </w:tc>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196"/>
        </w:trPr>
        <w:tc>
          <w:tcPr>
            <w:tcW w:w="200" w:type="dxa"/>
            <w:vAlign w:val="bottom"/>
            <w:tcBorders>
              <w:bottom w:val="single" w:sz="8" w:color="EEEEEE"/>
            </w:tcBorders>
          </w:tcPr>
          <w:p>
            <w:pPr>
              <w:spacing w:after="0"/>
              <w:rPr>
                <w:sz w:val="24"/>
                <w:szCs w:val="24"/>
                <w:color w:val="auto"/>
              </w:rPr>
            </w:pPr>
          </w:p>
        </w:tc>
        <w:tc>
          <w:tcPr>
            <w:tcW w:w="3080" w:type="dxa"/>
            <w:vAlign w:val="bottom"/>
            <w:tcBorders>
              <w:bottom w:val="single" w:sz="8" w:color="EEEEEE"/>
            </w:tcBorders>
          </w:tcPr>
          <w:p>
            <w:pPr>
              <w:spacing w:after="0"/>
              <w:rPr>
                <w:sz w:val="24"/>
                <w:szCs w:val="24"/>
                <w:color w:val="auto"/>
              </w:rPr>
            </w:pPr>
          </w:p>
        </w:tc>
        <w:tc>
          <w:tcPr>
            <w:tcW w:w="4920" w:type="dxa"/>
            <w:vAlign w:val="bottom"/>
            <w:tcBorders>
              <w:bottom w:val="single" w:sz="8" w:color="EEEEEE"/>
            </w:tcBorders>
          </w:tcPr>
          <w:p>
            <w:pPr>
              <w:spacing w:after="0"/>
              <w:rPr>
                <w:sz w:val="24"/>
                <w:szCs w:val="24"/>
                <w:color w:val="auto"/>
              </w:rPr>
            </w:pPr>
          </w:p>
        </w:tc>
        <w:tc>
          <w:tcPr>
            <w:tcW w:w="23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113" w:name="page114"/>
    <w:bookmarkEnd w:id="113"/>
    <w:tbl>
      <w:tblPr>
        <w:tblLayout w:type="fixed"/>
        <w:tblInd w:w="6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6820" w:type="dxa"/>
            <w:vAlign w:val="bottom"/>
            <w:gridSpan w:val="2"/>
          </w:tcPr>
          <w:p>
            <w:pPr>
              <w:ind w:left="6000"/>
              <w:spacing w:after="0"/>
              <w:rPr>
                <w:sz w:val="20"/>
                <w:szCs w:val="20"/>
                <w:color w:val="auto"/>
              </w:rPr>
            </w:pPr>
            <w:r>
              <w:rPr>
                <w:rFonts w:ascii="Times New Roman" w:cs="Times New Roman" w:eastAsia="Times New Roman" w:hAnsi="Times New Roman"/>
                <w:sz w:val="13"/>
                <w:szCs w:val="13"/>
                <w:b w:val="1"/>
                <w:bCs w:val="1"/>
                <w:color w:val="auto"/>
                <w:w w:val="97"/>
              </w:rPr>
              <w:t>EXHIBIT 21.1</w:t>
            </w:r>
          </w:p>
        </w:tc>
      </w:tr>
      <w:tr>
        <w:trPr>
          <w:trHeight w:val="276"/>
        </w:trPr>
        <w:tc>
          <w:tcPr>
            <w:tcW w:w="3680" w:type="dxa"/>
            <w:vAlign w:val="bottom"/>
          </w:tcPr>
          <w:p>
            <w:pPr>
              <w:spacing w:after="0"/>
              <w:rPr>
                <w:sz w:val="24"/>
                <w:szCs w:val="24"/>
                <w:color w:val="auto"/>
              </w:rPr>
            </w:pPr>
          </w:p>
        </w:tc>
        <w:tc>
          <w:tcPr>
            <w:tcW w:w="682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Subsidiaries of the Registrant</w:t>
            </w:r>
          </w:p>
        </w:tc>
      </w:tr>
      <w:tr>
        <w:trPr>
          <w:trHeight w:val="318"/>
        </w:trPr>
        <w:tc>
          <w:tcPr>
            <w:tcW w:w="3680" w:type="dxa"/>
            <w:vAlign w:val="bottom"/>
          </w:tcPr>
          <w:p>
            <w:pPr>
              <w:spacing w:after="0"/>
              <w:rPr>
                <w:sz w:val="24"/>
                <w:szCs w:val="24"/>
                <w:color w:val="auto"/>
              </w:rPr>
            </w:pPr>
          </w:p>
        </w:tc>
        <w:tc>
          <w:tcPr>
            <w:tcW w:w="6820" w:type="dxa"/>
            <w:vAlign w:val="bottom"/>
            <w:gridSpan w:val="2"/>
          </w:tcPr>
          <w:p>
            <w:pPr>
              <w:ind w:left="5180"/>
              <w:spacing w:after="0"/>
              <w:rPr>
                <w:sz w:val="20"/>
                <w:szCs w:val="20"/>
                <w:color w:val="auto"/>
              </w:rPr>
            </w:pPr>
            <w:r>
              <w:rPr>
                <w:rFonts w:ascii="Times New Roman" w:cs="Times New Roman" w:eastAsia="Times New Roman" w:hAnsi="Times New Roman"/>
                <w:sz w:val="13"/>
                <w:szCs w:val="13"/>
                <w:b w:val="1"/>
                <w:bCs w:val="1"/>
                <w:color w:val="auto"/>
              </w:rPr>
              <w:t>Voting Securities</w:t>
            </w:r>
          </w:p>
        </w:tc>
      </w:tr>
      <w:tr>
        <w:trPr>
          <w:trHeight w:val="170"/>
        </w:trPr>
        <w:tc>
          <w:tcPr>
            <w:tcW w:w="3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entity and place of jurisdiction</w:t>
            </w:r>
          </w:p>
        </w:tc>
        <w:tc>
          <w:tcPr>
            <w:tcW w:w="6820" w:type="dxa"/>
            <w:vAlign w:val="bottom"/>
            <w:gridSpan w:val="2"/>
          </w:tcPr>
          <w:p>
            <w:pPr>
              <w:ind w:left="5140"/>
              <w:spacing w:after="0"/>
              <w:rPr>
                <w:sz w:val="20"/>
                <w:szCs w:val="20"/>
                <w:color w:val="auto"/>
              </w:rPr>
            </w:pPr>
            <w:r>
              <w:rPr>
                <w:rFonts w:ascii="Times New Roman" w:cs="Times New Roman" w:eastAsia="Times New Roman" w:hAnsi="Times New Roman"/>
                <w:sz w:val="13"/>
                <w:szCs w:val="13"/>
                <w:b w:val="1"/>
                <w:bCs w:val="1"/>
                <w:color w:val="auto"/>
              </w:rPr>
              <w:t>Owned Percentage</w:t>
            </w:r>
          </w:p>
        </w:tc>
      </w:tr>
      <w:tr>
        <w:trPr>
          <w:trHeight w:val="156"/>
        </w:trPr>
        <w:tc>
          <w:tcPr>
            <w:tcW w:w="36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PennantPark Floating Rate Funding I, LLC (Delaware)</w:t>
            </w:r>
          </w:p>
        </w:tc>
        <w:tc>
          <w:tcPr>
            <w:tcW w:w="6760" w:type="dxa"/>
            <w:vAlign w:val="bottom"/>
            <w:shd w:val="clear" w:color="auto" w:fill="CCECFF"/>
          </w:tcPr>
          <w:p>
            <w:pPr>
              <w:ind w:left="6240"/>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Pr>
          <w:p>
            <w:pPr>
              <w:spacing w:after="0"/>
              <w:rPr>
                <w:sz w:val="13"/>
                <w:szCs w:val="13"/>
                <w:color w:val="auto"/>
              </w:rPr>
            </w:pPr>
          </w:p>
        </w:tc>
      </w:tr>
      <w:tr>
        <w:trPr>
          <w:trHeight w:val="156"/>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PennantPark Floating Rate Funding II, LLC (Delaware)</w:t>
            </w:r>
          </w:p>
        </w:tc>
        <w:tc>
          <w:tcPr>
            <w:tcW w:w="6760" w:type="dxa"/>
            <w:vAlign w:val="bottom"/>
          </w:tcPr>
          <w:p>
            <w:pPr>
              <w:ind w:left="6240"/>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Pr>
          <w:p>
            <w:pPr>
              <w:spacing w:after="0"/>
              <w:rPr>
                <w:sz w:val="13"/>
                <w:szCs w:val="13"/>
                <w:color w:val="auto"/>
              </w:rPr>
            </w:pPr>
          </w:p>
        </w:tc>
      </w:tr>
      <w:tr>
        <w:trPr>
          <w:trHeight w:val="156"/>
        </w:trPr>
        <w:tc>
          <w:tcPr>
            <w:tcW w:w="36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PennantPark CLO I, LLC (Delaware)</w:t>
            </w:r>
          </w:p>
        </w:tc>
        <w:tc>
          <w:tcPr>
            <w:tcW w:w="6760" w:type="dxa"/>
            <w:vAlign w:val="bottom"/>
            <w:shd w:val="clear" w:color="auto" w:fill="CCECFF"/>
          </w:tcPr>
          <w:p>
            <w:pPr>
              <w:ind w:left="6240"/>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Pr>
          <w:p>
            <w:pPr>
              <w:spacing w:after="0"/>
              <w:rPr>
                <w:sz w:val="13"/>
                <w:szCs w:val="13"/>
                <w:color w:val="auto"/>
              </w:rPr>
            </w:pPr>
          </w:p>
        </w:tc>
      </w:tr>
      <w:tr>
        <w:trPr>
          <w:trHeight w:val="156"/>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PennantPark CLO I, Ltd. (Cayman Islands)</w:t>
            </w:r>
          </w:p>
        </w:tc>
        <w:tc>
          <w:tcPr>
            <w:tcW w:w="6760" w:type="dxa"/>
            <w:vAlign w:val="bottom"/>
          </w:tcPr>
          <w:p>
            <w:pPr>
              <w:ind w:left="6240"/>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Pr>
          <w:p>
            <w:pPr>
              <w:spacing w:after="0"/>
              <w:rPr>
                <w:sz w:val="13"/>
                <w:szCs w:val="13"/>
                <w:color w:val="auto"/>
              </w:rPr>
            </w:pPr>
          </w:p>
        </w:tc>
      </w:tr>
      <w:tr>
        <w:trPr>
          <w:trHeight w:val="156"/>
        </w:trPr>
        <w:tc>
          <w:tcPr>
            <w:tcW w:w="36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PennantPark CLO I Depositor, LLC (Delaware)</w:t>
            </w:r>
          </w:p>
        </w:tc>
        <w:tc>
          <w:tcPr>
            <w:tcW w:w="6760" w:type="dxa"/>
            <w:vAlign w:val="bottom"/>
            <w:shd w:val="clear" w:color="auto" w:fill="CCECFF"/>
          </w:tcPr>
          <w:p>
            <w:pPr>
              <w:ind w:left="6240"/>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Pr>
          <w:p>
            <w:pPr>
              <w:spacing w:after="0"/>
              <w:rPr>
                <w:sz w:val="13"/>
                <w:szCs w:val="13"/>
                <w:color w:val="auto"/>
              </w:rPr>
            </w:pPr>
          </w:p>
        </w:tc>
      </w:tr>
      <w:tr>
        <w:trPr>
          <w:trHeight w:val="156"/>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PennantPark CLO VIII, LLC (Delaware)</w:t>
            </w:r>
          </w:p>
        </w:tc>
        <w:tc>
          <w:tcPr>
            <w:tcW w:w="6760" w:type="dxa"/>
            <w:vAlign w:val="bottom"/>
          </w:tcPr>
          <w:p>
            <w:pPr>
              <w:ind w:left="6240"/>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Pr>
          <w:p>
            <w:pPr>
              <w:spacing w:after="0"/>
              <w:rPr>
                <w:sz w:val="13"/>
                <w:szCs w:val="13"/>
                <w:color w:val="auto"/>
              </w:rPr>
            </w:pPr>
          </w:p>
        </w:tc>
      </w:tr>
      <w:tr>
        <w:trPr>
          <w:trHeight w:val="156"/>
        </w:trPr>
        <w:tc>
          <w:tcPr>
            <w:tcW w:w="36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PFLT Investment Holdings, LLC (Delaware)</w:t>
            </w:r>
          </w:p>
        </w:tc>
        <w:tc>
          <w:tcPr>
            <w:tcW w:w="6760" w:type="dxa"/>
            <w:vAlign w:val="bottom"/>
            <w:shd w:val="clear" w:color="auto" w:fill="CCECFF"/>
          </w:tcPr>
          <w:p>
            <w:pPr>
              <w:ind w:left="6240"/>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Pr>
          <w:p>
            <w:pPr>
              <w:spacing w:after="0"/>
              <w:rPr>
                <w:sz w:val="13"/>
                <w:szCs w:val="13"/>
                <w:color w:val="auto"/>
              </w:rPr>
            </w:pPr>
          </w:p>
        </w:tc>
      </w:tr>
      <w:tr>
        <w:trPr>
          <w:trHeight w:val="156"/>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PFLT Investment Holdings II, LLC (Delaware)</w:t>
            </w:r>
          </w:p>
        </w:tc>
        <w:tc>
          <w:tcPr>
            <w:tcW w:w="6760" w:type="dxa"/>
            <w:vAlign w:val="bottom"/>
          </w:tcPr>
          <w:p>
            <w:pPr>
              <w:ind w:left="6240"/>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Pr>
          <w:p>
            <w:pPr>
              <w:spacing w:after="0"/>
              <w:rPr>
                <w:sz w:val="13"/>
                <w:szCs w:val="13"/>
                <w:color w:val="auto"/>
              </w:rPr>
            </w:pPr>
          </w:p>
        </w:tc>
      </w:tr>
      <w:tr>
        <w:trPr>
          <w:trHeight w:val="156"/>
        </w:trPr>
        <w:tc>
          <w:tcPr>
            <w:tcW w:w="36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PennantPark Senior Secured Loan Fund I LLC</w:t>
            </w:r>
          </w:p>
        </w:tc>
        <w:tc>
          <w:tcPr>
            <w:tcW w:w="6760" w:type="dxa"/>
            <w:vAlign w:val="bottom"/>
            <w:shd w:val="clear" w:color="auto" w:fill="CCECFF"/>
          </w:tcPr>
          <w:p>
            <w:pPr>
              <w:ind w:left="6240"/>
              <w:spacing w:after="0" w:line="156" w:lineRule="exact"/>
              <w:rPr>
                <w:sz w:val="20"/>
                <w:szCs w:val="20"/>
                <w:color w:val="auto"/>
              </w:rPr>
            </w:pPr>
            <w:r>
              <w:rPr>
                <w:rFonts w:ascii="Times New Roman" w:cs="Times New Roman" w:eastAsia="Times New Roman" w:hAnsi="Times New Roman"/>
                <w:sz w:val="13"/>
                <w:szCs w:val="13"/>
                <w:color w:val="auto"/>
              </w:rPr>
              <w:t xml:space="preserve">100 % </w:t>
            </w:r>
            <w:r>
              <w:rPr>
                <w:rFonts w:ascii="Times New Roman" w:cs="Times New Roman" w:eastAsia="Times New Roman" w:hAnsi="Times New Roman"/>
                <w:sz w:val="16"/>
                <w:szCs w:val="16"/>
                <w:color w:val="auto"/>
                <w:vertAlign w:val="superscript"/>
              </w:rPr>
              <w:t>(1)</w:t>
            </w:r>
          </w:p>
        </w:tc>
        <w:tc>
          <w:tcPr>
            <w:tcW w:w="60" w:type="dxa"/>
            <w:vAlign w:val="bottom"/>
          </w:tcPr>
          <w:p>
            <w:pPr>
              <w:spacing w:after="0"/>
              <w:rPr>
                <w:sz w:val="13"/>
                <w:szCs w:val="13"/>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This is a controlled affiliated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414655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6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3"/>
          <w:szCs w:val="13"/>
          <w:color w:val="auto"/>
        </w:rPr>
        <w:t>We consent to the incorporation by reference in the Registration Statement on Form N-2 of PennantPark Floating Rate Capital Ltd. and Subsidiaries (the Company) of our reports dated November 25, 2024, relating to the consolidated financial statements and the effectiveness of internal control over financial reporting of the Company, appearing in the Annual Report on Form 10-K of the Company for the year ended September 30, 2024. We also consent to the use in such Registration Statement of our report dated November 25, 2024, relating to the senior securities table appearing as Exhibit 99.2 in the accompanying Form 10-K of the Company for the year ended September 30, 2024.</w:t>
      </w:r>
    </w:p>
    <w:p>
      <w:pPr>
        <w:spacing w:after="0" w:line="12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3"/>
          <w:szCs w:val="13"/>
          <w:color w:val="auto"/>
        </w:rPr>
        <w:t>We also consent to the use in such Registration Statement of our report dated November 25, 2024, relating to the consolidated financial statements of PennantPark Senior Secured Loan Fund I LLC as of and for the years ended September 30, 2024 and 2023, appearing as Exhibit 99.3 and our report dated December 7, 2023, relating to the consolidated financial statements of PennantPark Senior Secured Loan Fund I LLC as of and for the years ended September 30, 2023 and 2022, appearing as Exhibit 99.4 in the accompanying Form 10-K of the Company for the year ended September 30, 2024.</w:t>
      </w:r>
    </w:p>
    <w:p>
      <w:pPr>
        <w:spacing w:after="0" w:line="2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3"/>
          <w:szCs w:val="13"/>
          <w:color w:val="auto"/>
        </w:rPr>
        <w:t>We also consent to the reference to our firm under the headings “Senior Securities” in the accompanying Form 10-K and “Independent Registered Public Accounting Firm” in such Registration Statement on Form N-2.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340360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of PennantPark Floating Rate Capital Ltd., certify that:</w:t>
      </w:r>
    </w:p>
    <w:p>
      <w:pPr>
        <w:spacing w:after="0" w:line="127" w:lineRule="exact"/>
        <w:rPr>
          <w:sz w:val="20"/>
          <w:szCs w:val="20"/>
          <w:color w:val="auto"/>
        </w:rPr>
      </w:pPr>
    </w:p>
    <w:p>
      <w:pPr>
        <w:ind w:left="360" w:hanging="126"/>
        <w:spacing w:after="0"/>
        <w:tabs>
          <w:tab w:leader="none" w:pos="3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PennantPark Floating Rate Capital Ltd.;</w:t>
      </w:r>
    </w:p>
    <w:p>
      <w:pPr>
        <w:spacing w:after="0" w:line="126" w:lineRule="exact"/>
        <w:rPr>
          <w:rFonts w:ascii="Times New Roman" w:cs="Times New Roman" w:eastAsia="Times New Roman" w:hAnsi="Times New Roman"/>
          <w:sz w:val="13"/>
          <w:szCs w:val="13"/>
          <w:color w:val="auto"/>
        </w:rPr>
      </w:pPr>
    </w:p>
    <w:p>
      <w:pPr>
        <w:ind w:left="240" w:right="60" w:hanging="6"/>
        <w:spacing w:after="0" w:line="286" w:lineRule="auto"/>
        <w:tabs>
          <w:tab w:leader="none" w:pos="372"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3"/>
          <w:szCs w:val="13"/>
          <w:color w:val="auto"/>
        </w:rPr>
      </w:pPr>
    </w:p>
    <w:p>
      <w:pPr>
        <w:ind w:left="240" w:right="120" w:hanging="6"/>
        <w:spacing w:after="0" w:line="286" w:lineRule="auto"/>
        <w:tabs>
          <w:tab w:leader="none" w:pos="372"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3"/>
          <w:szCs w:val="13"/>
          <w:color w:val="auto"/>
        </w:rPr>
      </w:pPr>
    </w:p>
    <w:p>
      <w:pPr>
        <w:ind w:left="240" w:right="180" w:hanging="6"/>
        <w:spacing w:after="0" w:line="286" w:lineRule="auto"/>
        <w:tabs>
          <w:tab w:leader="none" w:pos="372"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3"/>
          <w:szCs w:val="13"/>
          <w:color w:val="auto"/>
        </w:rPr>
      </w:pPr>
    </w:p>
    <w:p>
      <w:pPr>
        <w:ind w:left="480" w:right="160" w:hanging="6"/>
        <w:spacing w:after="0" w:line="286" w:lineRule="auto"/>
        <w:tabs>
          <w:tab w:leader="none" w:pos="615"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75" w:lineRule="exact"/>
        <w:rPr>
          <w:rFonts w:ascii="Times New Roman" w:cs="Times New Roman" w:eastAsia="Times New Roman" w:hAnsi="Times New Roman"/>
          <w:sz w:val="13"/>
          <w:szCs w:val="13"/>
          <w:color w:val="auto"/>
        </w:rPr>
      </w:pPr>
    </w:p>
    <w:p>
      <w:pPr>
        <w:ind w:left="480" w:right="360" w:hanging="6"/>
        <w:spacing w:after="0" w:line="286" w:lineRule="auto"/>
        <w:tabs>
          <w:tab w:leader="none" w:pos="623"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Times New Roman" w:cs="Times New Roman" w:eastAsia="Times New Roman" w:hAnsi="Times New Roman"/>
          <w:sz w:val="13"/>
          <w:szCs w:val="13"/>
          <w:color w:val="auto"/>
        </w:rPr>
      </w:pPr>
    </w:p>
    <w:p>
      <w:pPr>
        <w:ind w:left="480" w:right="520" w:hanging="6"/>
        <w:spacing w:after="0" w:line="286" w:lineRule="auto"/>
        <w:tabs>
          <w:tab w:leader="none" w:pos="615"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13"/>
          <w:szCs w:val="13"/>
          <w:color w:val="auto"/>
        </w:rPr>
      </w:pPr>
    </w:p>
    <w:p>
      <w:pPr>
        <w:ind w:left="480" w:right="180" w:hanging="6"/>
        <w:spacing w:after="0" w:line="286" w:lineRule="auto"/>
        <w:tabs>
          <w:tab w:leader="none" w:pos="623"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3"/>
          <w:szCs w:val="13"/>
          <w:color w:val="auto"/>
        </w:rPr>
      </w:pPr>
    </w:p>
    <w:p>
      <w:pPr>
        <w:ind w:left="240" w:right="40" w:hanging="6"/>
        <w:spacing w:after="0" w:line="286" w:lineRule="auto"/>
        <w:tabs>
          <w:tab w:leader="none" w:pos="372"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13"/>
          <w:szCs w:val="13"/>
          <w:color w:val="auto"/>
        </w:rPr>
      </w:pPr>
    </w:p>
    <w:p>
      <w:pPr>
        <w:ind w:left="480" w:right="240" w:hanging="6"/>
        <w:spacing w:after="0" w:line="286" w:lineRule="auto"/>
        <w:tabs>
          <w:tab w:leader="none" w:pos="615"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13"/>
          <w:szCs w:val="13"/>
          <w:color w:val="auto"/>
        </w:rPr>
      </w:pPr>
    </w:p>
    <w:p>
      <w:pPr>
        <w:ind w:left="620" w:hanging="146"/>
        <w:spacing w:after="0"/>
        <w:tabs>
          <w:tab w:leader="none" w:pos="620"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25, 2024</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21"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3"/>
          <w:szCs w:val="13"/>
          <w:color w:val="auto"/>
        </w:rPr>
        <w:t>Name:</w:t>
        <w:tab/>
        <w:t>Arthur H. Penn</w:t>
      </w:r>
    </w:p>
    <w:p>
      <w:pPr>
        <w:spacing w:after="0" w:line="7"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454660</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Floating Rate Capital Ltd., certify that:</w:t>
      </w:r>
    </w:p>
    <w:p>
      <w:pPr>
        <w:spacing w:after="0" w:line="127" w:lineRule="exact"/>
        <w:rPr>
          <w:sz w:val="20"/>
          <w:szCs w:val="20"/>
          <w:color w:val="auto"/>
        </w:rPr>
      </w:pPr>
    </w:p>
    <w:p>
      <w:pPr>
        <w:ind w:left="360" w:hanging="126"/>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PennantPark Floating Rate Capital Ltd.;</w:t>
      </w:r>
    </w:p>
    <w:p>
      <w:pPr>
        <w:spacing w:after="0" w:line="126" w:lineRule="exact"/>
        <w:rPr>
          <w:rFonts w:ascii="Times New Roman" w:cs="Times New Roman" w:eastAsia="Times New Roman" w:hAnsi="Times New Roman"/>
          <w:sz w:val="13"/>
          <w:szCs w:val="13"/>
          <w:color w:val="auto"/>
        </w:rPr>
      </w:pPr>
    </w:p>
    <w:p>
      <w:pPr>
        <w:ind w:left="240" w:right="60" w:hanging="6"/>
        <w:spacing w:after="0" w:line="286" w:lineRule="auto"/>
        <w:tabs>
          <w:tab w:leader="none" w:pos="37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3"/>
          <w:szCs w:val="13"/>
          <w:color w:val="auto"/>
        </w:rPr>
      </w:pPr>
    </w:p>
    <w:p>
      <w:pPr>
        <w:ind w:left="240" w:right="120" w:hanging="6"/>
        <w:spacing w:after="0" w:line="286" w:lineRule="auto"/>
        <w:tabs>
          <w:tab w:leader="none" w:pos="37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3"/>
          <w:szCs w:val="13"/>
          <w:color w:val="auto"/>
        </w:rPr>
      </w:pPr>
    </w:p>
    <w:p>
      <w:pPr>
        <w:ind w:left="240" w:right="180" w:hanging="6"/>
        <w:spacing w:after="0" w:line="286" w:lineRule="auto"/>
        <w:tabs>
          <w:tab w:leader="none" w:pos="37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3"/>
          <w:szCs w:val="13"/>
          <w:color w:val="auto"/>
        </w:rPr>
      </w:pPr>
    </w:p>
    <w:p>
      <w:pPr>
        <w:ind w:left="480" w:right="160" w:hanging="6"/>
        <w:spacing w:after="0" w:line="286" w:lineRule="auto"/>
        <w:tabs>
          <w:tab w:leader="none" w:pos="615"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75" w:lineRule="exact"/>
        <w:rPr>
          <w:rFonts w:ascii="Times New Roman" w:cs="Times New Roman" w:eastAsia="Times New Roman" w:hAnsi="Times New Roman"/>
          <w:sz w:val="13"/>
          <w:szCs w:val="13"/>
          <w:color w:val="auto"/>
        </w:rPr>
      </w:pPr>
    </w:p>
    <w:p>
      <w:pPr>
        <w:ind w:left="480" w:right="360" w:hanging="6"/>
        <w:spacing w:after="0" w:line="286" w:lineRule="auto"/>
        <w:tabs>
          <w:tab w:leader="none" w:pos="623"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Times New Roman" w:cs="Times New Roman" w:eastAsia="Times New Roman" w:hAnsi="Times New Roman"/>
          <w:sz w:val="13"/>
          <w:szCs w:val="13"/>
          <w:color w:val="auto"/>
        </w:rPr>
      </w:pPr>
    </w:p>
    <w:p>
      <w:pPr>
        <w:ind w:left="480" w:right="520" w:hanging="6"/>
        <w:spacing w:after="0" w:line="286" w:lineRule="auto"/>
        <w:tabs>
          <w:tab w:leader="none" w:pos="615"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13"/>
          <w:szCs w:val="13"/>
          <w:color w:val="auto"/>
        </w:rPr>
      </w:pPr>
    </w:p>
    <w:p>
      <w:pPr>
        <w:ind w:left="480" w:right="180" w:hanging="6"/>
        <w:spacing w:after="0" w:line="286" w:lineRule="auto"/>
        <w:tabs>
          <w:tab w:leader="none" w:pos="623"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3"/>
          <w:szCs w:val="13"/>
          <w:color w:val="auto"/>
        </w:rPr>
      </w:pPr>
    </w:p>
    <w:p>
      <w:pPr>
        <w:ind w:left="240" w:right="40" w:hanging="6"/>
        <w:spacing w:after="0" w:line="286" w:lineRule="auto"/>
        <w:tabs>
          <w:tab w:leader="none" w:pos="37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13"/>
          <w:szCs w:val="13"/>
          <w:color w:val="auto"/>
        </w:rPr>
      </w:pPr>
    </w:p>
    <w:p>
      <w:pPr>
        <w:ind w:left="480" w:right="240" w:hanging="6"/>
        <w:spacing w:after="0" w:line="286" w:lineRule="auto"/>
        <w:tabs>
          <w:tab w:leader="none" w:pos="615"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13"/>
          <w:szCs w:val="13"/>
          <w:color w:val="auto"/>
        </w:rPr>
      </w:pPr>
    </w:p>
    <w:p>
      <w:pPr>
        <w:ind w:left="620" w:hanging="146"/>
        <w:spacing w:after="0"/>
        <w:tabs>
          <w:tab w:leader="none" w:pos="62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25, 2024</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740"/>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7" w:name="page118"/>
    <w:bookmarkEnd w:id="117"/>
    <w:p>
      <w:pPr>
        <w:ind w:left="974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13" w:lineRule="exact"/>
        <w:rPr>
          <w:sz w:val="20"/>
          <w:szCs w:val="20"/>
          <w:color w:val="auto"/>
        </w:rPr>
      </w:pPr>
    </w:p>
    <w:p>
      <w:pPr>
        <w:ind w:right="10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Annual Report on Form 10-K of PennantPark Floating Rate Capital Ltd. (the “Company”) for the annual period ended September 30, 2024 as filed with the Securities and Exchange Commission on the date hereof (the “Report”), I, Arthur H. Penn, as Chief Executive Officer of the Registrant hereby certify, to the best of my knowledge that:</w:t>
      </w:r>
    </w:p>
    <w:p>
      <w:pPr>
        <w:spacing w:after="0" w:line="76" w:lineRule="exact"/>
        <w:rPr>
          <w:sz w:val="20"/>
          <w:szCs w:val="20"/>
          <w:color w:val="auto"/>
        </w:rPr>
      </w:pPr>
    </w:p>
    <w:p>
      <w:pPr>
        <w:ind w:left="420" w:hanging="186"/>
        <w:spacing w:after="0"/>
        <w:tabs>
          <w:tab w:leader="none" w:pos="4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56"/>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740"/>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8" w:name="page119"/>
    <w:bookmarkEnd w:id="118"/>
    <w:p>
      <w:pPr>
        <w:ind w:left="974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13" w:lineRule="exact"/>
        <w:rPr>
          <w:sz w:val="20"/>
          <w:szCs w:val="20"/>
          <w:color w:val="auto"/>
        </w:rPr>
      </w:pPr>
    </w:p>
    <w:p>
      <w:pPr>
        <w:ind w:right="10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Annual Report on Form 10-K of PennantPark Floating Rate Capital Ltd. (the “Company”) for the annual period ended September 30, 2024 as filed with the Securities and Exchange Commission on the date hereof (the “Report”), I, Richard T. Allorto Jr., as Chief Financial Officer of the Registrant hereby certify, to the best of my knowledge that:</w:t>
      </w:r>
    </w:p>
    <w:p>
      <w:pPr>
        <w:spacing w:after="0" w:line="76" w:lineRule="exact"/>
        <w:rPr>
          <w:sz w:val="20"/>
          <w:szCs w:val="20"/>
          <w:color w:val="auto"/>
        </w:rPr>
      </w:pPr>
    </w:p>
    <w:p>
      <w:pPr>
        <w:ind w:left="420" w:hanging="186"/>
        <w:spacing w:after="0"/>
        <w:tabs>
          <w:tab w:leader="none" w:pos="4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56"/>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740"/>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Floating Rate Capital Ltd. and Subsidiaries</w:t>
      </w:r>
    </w:p>
    <w:p>
      <w:pPr>
        <w:spacing w:after="0" w:line="14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auto"/>
        </w:rPr>
        <w:t>Our audits of the consolidated financial statements and internal control over financial reporting referred to in our report dated November 25, 2024, (appearing in the accompanying Form 10-K) also included an audit of the senior securities table of PennantPark Floating Rate Capital Ltd and Subsidiaries (the Company) appearing in Part II, Item 7 in this Form 10-K. This table is the responsibility of the Company’s management. Our responsibility is to express an opinion based on our audits of the consolidated financial statements.</w:t>
      </w:r>
    </w:p>
    <w:p>
      <w:pPr>
        <w:spacing w:after="0" w:line="12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In our opinion, the senior securities table, when considered in relation to the basic consolidated financial statements taken as a whole, presents fairly in all material respects the information set forth therein.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629920</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20" w:name="page121"/>
    <w:bookmarkEnd w:id="120"/>
    <w:p>
      <w:pPr>
        <w:jc w:val="right"/>
        <w:spacing w:after="0"/>
        <w:rPr>
          <w:sz w:val="20"/>
          <w:szCs w:val="20"/>
          <w:color w:val="auto"/>
        </w:rPr>
      </w:pPr>
      <w:r>
        <w:rPr>
          <w:rFonts w:ascii="Arial" w:cs="Arial" w:eastAsia="Arial" w:hAnsi="Arial"/>
          <w:sz w:val="13"/>
          <w:szCs w:val="13"/>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PennantPark Senior Secured Loan Fund I LLC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Consolidated Financial Statements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Independent Auditor’s Report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658495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2" w:right="680"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3"/>
        </w:trPr>
        <w:tc>
          <w:tcPr>
            <w:tcW w:w="8640" w:type="dxa"/>
            <w:vAlign w:val="bottom"/>
          </w:tcPr>
          <w:p>
            <w:pPr>
              <w:ind w:left="5020"/>
              <w:spacing w:after="0"/>
              <w:rPr>
                <w:sz w:val="20"/>
                <w:szCs w:val="20"/>
                <w:color w:val="auto"/>
              </w:rPr>
            </w:pPr>
            <w:r>
              <w:rPr>
                <w:rFonts w:ascii="Times New Roman" w:cs="Times New Roman" w:eastAsia="Times New Roman" w:hAnsi="Times New Roman"/>
                <w:sz w:val="16"/>
                <w:szCs w:val="16"/>
                <w:color w:val="auto"/>
              </w:rPr>
              <w:t>Contents</w:t>
            </w:r>
          </w:p>
        </w:tc>
        <w:tc>
          <w:tcPr>
            <w:tcW w:w="1920" w:type="dxa"/>
            <w:vAlign w:val="bottom"/>
          </w:tcPr>
          <w:p>
            <w:pPr>
              <w:spacing w:after="0"/>
              <w:rPr>
                <w:sz w:val="17"/>
                <w:szCs w:val="17"/>
                <w:color w:val="auto"/>
              </w:rPr>
            </w:pPr>
          </w:p>
        </w:tc>
      </w:tr>
      <w:tr>
        <w:trPr>
          <w:trHeight w:val="432"/>
        </w:trPr>
        <w:tc>
          <w:tcPr>
            <w:tcW w:w="8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Independent Auditor’s Report</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360"/>
        </w:trPr>
        <w:tc>
          <w:tcPr>
            <w:tcW w:w="8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Statements:</w:t>
            </w:r>
          </w:p>
        </w:tc>
        <w:tc>
          <w:tcPr>
            <w:tcW w:w="1920" w:type="dxa"/>
            <w:vAlign w:val="bottom"/>
          </w:tcPr>
          <w:p>
            <w:pPr>
              <w:spacing w:after="0"/>
              <w:rPr>
                <w:sz w:val="24"/>
                <w:szCs w:val="24"/>
                <w:color w:val="auto"/>
              </w:rPr>
            </w:pP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Assets, Liabilities and Members’ Equity as of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Operations for the years ended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Changes in Members’ Equity for the years ended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Schedules of Investments as of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r>
      <w:tr>
        <w:trPr>
          <w:trHeight w:val="1574"/>
        </w:trPr>
        <w:tc>
          <w:tcPr>
            <w:tcW w:w="8640" w:type="dxa"/>
            <w:vAlign w:val="bottom"/>
            <w:tcBorders>
              <w:bottom w:val="single" w:sz="8" w:color="EEEEEE"/>
            </w:tcBorders>
          </w:tcPr>
          <w:p>
            <w:pPr>
              <w:spacing w:after="0"/>
              <w:rPr>
                <w:sz w:val="24"/>
                <w:szCs w:val="24"/>
                <w:color w:val="auto"/>
              </w:rPr>
            </w:pPr>
          </w:p>
        </w:tc>
        <w:tc>
          <w:tcPr>
            <w:tcW w:w="19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Independent Auditor’s Report</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PennantPark Senior Secured Loan Fund I LLC</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We have audited the consolidated financial statements of PennantPark Senior Secured Loan Fund I LLC and its subsidiaries (the Fund), which comprise the consolidated statements of assets, liabilities and members’ equity, including the consolidated schedule of investments, as of September 30, 2024 and 2023, the related consolidated statements of operations, changes in members’ equity and cash flows for the years then ended, and the related notes to the consolidated financial statements (collectively, the financial statements).</w:t>
      </w:r>
    </w:p>
    <w:p>
      <w:pPr>
        <w:spacing w:after="0" w:line="15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our opinion, the accompanying financial statements present fairly, in all material respects, the financial position of the Fund as of September 30, 2024 and 2023, and the results of its operations, changes in members’ equity and its cash flows for the year then ended in accordance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Fund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 of Management for the Financial Statements</w:t>
      </w:r>
    </w:p>
    <w:p>
      <w:pPr>
        <w:spacing w:after="0" w:line="12"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5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preparing the financial statements, management is required to evaluate whether there are conditions or events, considered in the aggregate, that raise substantial doubt about the Fund’s ability to continue as a going concern within one year after the date that the financial statements are issued or available to be issued.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 Responsibilities for the Audit of the Financial Statements</w:t>
      </w:r>
    </w:p>
    <w:p>
      <w:pPr>
        <w:spacing w:after="0" w:line="12"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3" w:name="page124"/>
    <w:bookmarkEnd w:id="123"/>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performing an audit in accordance with GAAS, we:</w:t>
      </w:r>
    </w:p>
    <w:p>
      <w:pPr>
        <w:spacing w:after="0" w:line="2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Exercise professional judgment and maintain professional skepticism throughout the audit.</w:t>
      </w:r>
    </w:p>
    <w:p>
      <w:pPr>
        <w:spacing w:after="0" w:line="91" w:lineRule="exact"/>
        <w:rPr>
          <w:sz w:val="20"/>
          <w:szCs w:val="20"/>
          <w:color w:val="auto"/>
        </w:rPr>
      </w:pPr>
    </w:p>
    <w:p>
      <w:pPr>
        <w:ind w:left="48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Identify and assess the risks of material misstatement of the financial statements, whether due to fraud or error, and design and perform audit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procedures responsive to those risks. Such procedures include examining, on a test basis, evidence regarding the amounts and disclosures in the financial statements.</w:t>
      </w:r>
    </w:p>
    <w:p>
      <w:pPr>
        <w:spacing w:after="0" w:line="64" w:lineRule="exact"/>
        <w:rPr>
          <w:sz w:val="20"/>
          <w:szCs w:val="20"/>
          <w:color w:val="auto"/>
        </w:rPr>
      </w:pPr>
    </w:p>
    <w:p>
      <w:pPr>
        <w:ind w:left="4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Obtain an understanding of internal control relevant to the audit in order to design audit procedures that are appropriate in the circumstances, but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not for the purpose of expressing an opinion on the effectiveness of the Fund’s internal control. Accordingly, no such opinion is expressed.</w:t>
      </w:r>
    </w:p>
    <w:p>
      <w:pPr>
        <w:spacing w:after="0" w:line="51" w:lineRule="exact"/>
        <w:rPr>
          <w:sz w:val="20"/>
          <w:szCs w:val="20"/>
          <w:color w:val="auto"/>
        </w:rPr>
      </w:pPr>
    </w:p>
    <w:p>
      <w:pPr>
        <w:ind w:left="480" w:right="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Evaluate the appropriateness of accounting policies used and the reasonableness of significant accounting estimates made by management, as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well as evaluate the overall presentation of the financial statements.</w:t>
      </w:r>
    </w:p>
    <w:p>
      <w:pPr>
        <w:spacing w:after="0" w:line="51" w:lineRule="exact"/>
        <w:rPr>
          <w:sz w:val="20"/>
          <w:szCs w:val="20"/>
          <w:color w:val="auto"/>
        </w:rPr>
      </w:pPr>
    </w:p>
    <w:p>
      <w:pPr>
        <w:ind w:left="480" w:right="26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Conclude whether, in our judgment, there are conditions or events, considered in the aggregate, that raise substantial doubt about the Fund’s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ability to continue as a going concern for a reasonable period of time.</w:t>
      </w:r>
    </w:p>
    <w:p>
      <w:pPr>
        <w:spacing w:after="0" w:line="137" w:lineRule="exact"/>
        <w:rPr>
          <w:sz w:val="20"/>
          <w:szCs w:val="20"/>
          <w:color w:val="auto"/>
        </w:rPr>
      </w:pPr>
    </w:p>
    <w:p>
      <w:pPr>
        <w:ind w:right="520"/>
        <w:spacing w:after="0" w:line="262" w:lineRule="auto"/>
        <w:rPr>
          <w:sz w:val="20"/>
          <w:szCs w:val="20"/>
          <w:color w:val="auto"/>
        </w:rPr>
      </w:pPr>
      <w:r>
        <w:rPr>
          <w:rFonts w:ascii="Arial" w:cs="Arial" w:eastAsia="Arial" w:hAnsi="Arial"/>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November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NOTES TO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Consolidated Statements of Assets, Liabilities and Members' Equity</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56"/>
        </w:trPr>
        <w:tc>
          <w:tcPr>
            <w:tcW w:w="6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cost—$928,983 and $804,608, respectively)</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913,281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785,859</w:t>
            </w:r>
          </w:p>
        </w:tc>
        <w:tc>
          <w:tcPr>
            <w:tcW w:w="80" w:type="dxa"/>
            <w:vAlign w:val="bottom"/>
          </w:tcPr>
          <w:p>
            <w:pPr>
              <w:spacing w:after="0"/>
              <w:rPr>
                <w:sz w:val="13"/>
                <w:szCs w:val="13"/>
                <w:color w:val="auto"/>
              </w:rPr>
            </w:pPr>
          </w:p>
        </w:tc>
      </w:tr>
      <w:tr>
        <w:trPr>
          <w:trHeight w:val="156"/>
        </w:trPr>
        <w:tc>
          <w:tcPr>
            <w:tcW w:w="6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(cost—$68,429 and $77,446, respectively)</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68,429</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77,446</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80" w:type="dxa"/>
            <w:vAlign w:val="bottom"/>
          </w:tcPr>
          <w:p>
            <w:pPr>
              <w:spacing w:after="0"/>
              <w:rPr>
                <w:sz w:val="13"/>
                <w:szCs w:val="13"/>
                <w:color w:val="auto"/>
              </w:rPr>
            </w:pPr>
          </w:p>
        </w:tc>
      </w:tr>
      <w:tr>
        <w:trPr>
          <w:trHeight w:val="156"/>
        </w:trPr>
        <w:tc>
          <w:tcPr>
            <w:tcW w:w="6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Pr>
          <w:p>
            <w:pPr>
              <w:spacing w:after="0"/>
              <w:rPr>
                <w:sz w:val="13"/>
                <w:szCs w:val="13"/>
                <w:color w:val="auto"/>
              </w:rPr>
            </w:pPr>
          </w:p>
        </w:tc>
      </w:tr>
      <w:tr>
        <w:trPr>
          <w:trHeight w:val="156"/>
        </w:trPr>
        <w:tc>
          <w:tcPr>
            <w:tcW w:w="61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146,100</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48,600</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 Asset-backed debt, net (par—$0 and $246,000, respectively)</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243,973</w:t>
            </w:r>
          </w:p>
        </w:tc>
        <w:tc>
          <w:tcPr>
            <w:tcW w:w="80" w:type="dxa"/>
            <w:vAlign w:val="bottom"/>
          </w:tcPr>
          <w:p>
            <w:pPr>
              <w:spacing w:after="0"/>
              <w:rPr>
                <w:sz w:val="13"/>
                <w:szCs w:val="13"/>
                <w:color w:val="auto"/>
              </w:rPr>
            </w:pPr>
          </w:p>
        </w:tc>
      </w:tr>
      <w:tr>
        <w:trPr>
          <w:trHeight w:val="156"/>
        </w:trPr>
        <w:tc>
          <w:tcPr>
            <w:tcW w:w="6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 and $246,000, respectively)</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243,934</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243,483</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2036 Asset-backed debt, net (par—$246,000 and $0, respectively)</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244,372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240,100</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14,291</w:t>
            </w:r>
          </w:p>
        </w:tc>
        <w:tc>
          <w:tcPr>
            <w:tcW w:w="80" w:type="dxa"/>
            <w:vAlign w:val="bottom"/>
          </w:tcPr>
          <w:p>
            <w:pPr>
              <w:spacing w:after="0"/>
              <w:rPr>
                <w:sz w:val="13"/>
                <w:szCs w:val="13"/>
                <w:color w:val="auto"/>
              </w:rPr>
            </w:pPr>
          </w:p>
        </w:tc>
      </w:tr>
      <w:tr>
        <w:trPr>
          <w:trHeight w:val="156"/>
        </w:trPr>
        <w:tc>
          <w:tcPr>
            <w:tcW w:w="6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13,466</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6,488</w:t>
            </w:r>
          </w:p>
        </w:tc>
        <w:tc>
          <w:tcPr>
            <w:tcW w:w="80" w:type="dxa"/>
            <w:vAlign w:val="bottom"/>
          </w:tcPr>
          <w:p>
            <w:pPr>
              <w:spacing w:after="0"/>
              <w:rPr>
                <w:sz w:val="13"/>
                <w:szCs w:val="13"/>
                <w:color w:val="auto"/>
              </w:rPr>
            </w:pPr>
          </w:p>
        </w:tc>
      </w:tr>
      <w:tr>
        <w:trPr>
          <w:trHeight w:val="156"/>
        </w:trPr>
        <w:tc>
          <w:tcPr>
            <w:tcW w:w="6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to affiliate</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1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923,575</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811,260</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1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64,547</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58,150</w:t>
            </w:r>
          </w:p>
        </w:tc>
        <w:tc>
          <w:tcPr>
            <w:tcW w:w="80" w:type="dxa"/>
            <w:vAlign w:val="bottom"/>
            <w:shd w:val="clear" w:color="auto" w:fill="CCECFF"/>
          </w:tcPr>
          <w:p>
            <w:pPr>
              <w:spacing w:after="0"/>
              <w:rPr>
                <w:sz w:val="13"/>
                <w:szCs w:val="13"/>
                <w:color w:val="auto"/>
              </w:rPr>
            </w:pPr>
          </w:p>
        </w:tc>
      </w:tr>
      <w:tr>
        <w:trPr>
          <w:trHeight w:val="156"/>
        </w:trPr>
        <w:tc>
          <w:tcPr>
            <w:tcW w:w="61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tcPr>
          <w:p>
            <w:pPr>
              <w:spacing w:after="0"/>
              <w:rPr>
                <w:sz w:val="13"/>
                <w:szCs w:val="13"/>
                <w:color w:val="auto"/>
              </w:rPr>
            </w:pPr>
          </w:p>
        </w:tc>
      </w:tr>
      <w:tr>
        <w:trPr>
          <w:trHeight w:val="20"/>
        </w:trPr>
        <w:tc>
          <w:tcPr>
            <w:tcW w:w="6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25" w:name="page126"/>
    <w:bookmarkEnd w:id="125"/>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21"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23"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670750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Interest</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6707505" cy="990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Total investment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color w:val="auto"/>
        </w:rPr>
        <w:t>Interest and expense on credit facility and asset-backed debt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Interest expense on notes to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color w:val="auto"/>
        </w:rPr>
        <w:t>Administration fees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b w:val="1"/>
          <w:bCs w:val="1"/>
          <w:color w:val="auto"/>
        </w:rPr>
        <w:t>Expenses before debt issuance costs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b w:val="1"/>
          <w:bCs w:val="1"/>
          <w:color w:val="auto"/>
        </w:rPr>
        <w:t>Total expenses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color w:val="auto"/>
        </w:rPr>
        <w:t>Realized loss on debt extinguishment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 and debt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40" w:type="dxa"/>
            <w:vAlign w:val="bottom"/>
          </w:tcPr>
          <w:p>
            <w:pPr>
              <w:spacing w:after="0"/>
              <w:rPr>
                <w:sz w:val="13"/>
                <w:szCs w:val="13"/>
                <w:color w:val="auto"/>
              </w:rPr>
            </w:pPr>
          </w:p>
        </w:tc>
        <w:tc>
          <w:tcPr>
            <w:tcW w:w="2220" w:type="dxa"/>
            <w:vAlign w:val="bottom"/>
            <w:gridSpan w:val="3"/>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5"/>
                <w:szCs w:val="15"/>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4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109,094</w:t>
            </w:r>
          </w:p>
        </w:tc>
        <w:tc>
          <w:tcPr>
            <w:tcW w:w="220" w:type="dxa"/>
            <w:vAlign w:val="bottom"/>
          </w:tcPr>
          <w:p>
            <w:pPr>
              <w:spacing w:after="0"/>
              <w:rPr>
                <w:sz w:val="24"/>
                <w:szCs w:val="24"/>
                <w:color w:val="auto"/>
              </w:rPr>
            </w:pPr>
          </w:p>
        </w:tc>
        <w:tc>
          <w:tcPr>
            <w:tcW w:w="920" w:type="dxa"/>
            <w:vAlign w:val="bottom"/>
            <w:vMerge w:val="restart"/>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110,285</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54,814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34,186</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92,818</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93,817</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16,468</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4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(8,914 )</w:t>
            </w:r>
          </w:p>
        </w:tc>
        <w:tc>
          <w:tcPr>
            <w:tcW w:w="9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(6,328 )</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(705 )</w:t>
            </w:r>
          </w:p>
        </w:tc>
        <w:tc>
          <w:tcPr>
            <w:tcW w:w="92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3,048</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(3,171 )</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(6,571 )</w:t>
            </w:r>
          </w:p>
        </w:tc>
        <w:tc>
          <w:tcPr>
            <w:tcW w:w="9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(9,499 )</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9,897</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40" w:orient="portrait"/>
          <w:cols w:equalWidth="0" w:num="2">
            <w:col w:w="6860" w:space="540"/>
            <w:col w:w="3100"/>
          </w:cols>
          <w:pgMar w:left="680" w:top="1440" w:right="720" w:bottom="1440" w:gutter="0" w:footer="0" w:header="0"/>
        </w:sect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419735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80" w:top="1440" w:right="720" w:bottom="1440" w:gutter="0" w:footer="0" w:header="0"/>
          <w:type w:val="continuous"/>
        </w:sectPr>
      </w:pPr>
    </w:p>
    <w:bookmarkStart w:id="126" w:name="page127"/>
    <w:bookmarkEnd w:id="126"/>
    <w:p>
      <w:pPr>
        <w:spacing w:after="0" w:line="21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Members’ Equity</w:t>
      </w:r>
    </w:p>
    <w:p>
      <w:pPr>
        <w:spacing w:after="0" w:line="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5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members’ equity resulting from operations:</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2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2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Net investment income</w:t>
            </w:r>
          </w:p>
        </w:tc>
        <w:tc>
          <w:tcPr>
            <w:tcW w:w="1000" w:type="dxa"/>
            <w:vAlign w:val="bottom"/>
            <w:shd w:val="clear" w:color="auto" w:fill="CCEC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16,468</w:t>
            </w:r>
          </w:p>
        </w:tc>
        <w:tc>
          <w:tcPr>
            <w:tcW w:w="200" w:type="dxa"/>
            <w:vAlign w:val="bottom"/>
            <w:shd w:val="clear" w:color="auto" w:fill="CCECFF"/>
          </w:tcPr>
          <w:p>
            <w:pPr>
              <w:spacing w:after="0"/>
              <w:rPr>
                <w:sz w:val="14"/>
                <w:szCs w:val="14"/>
                <w:color w:val="auto"/>
              </w:rPr>
            </w:pPr>
          </w:p>
        </w:tc>
        <w:tc>
          <w:tcPr>
            <w:tcW w:w="42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(8,914 )</w:t>
            </w:r>
          </w:p>
        </w:tc>
        <w:tc>
          <w:tcPr>
            <w:tcW w:w="42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(6,328 )</w:t>
            </w:r>
          </w:p>
        </w:tc>
        <w:tc>
          <w:tcPr>
            <w:tcW w:w="0" w:type="dxa"/>
            <w:vAlign w:val="bottom"/>
          </w:tcPr>
          <w:p>
            <w:pPr>
              <w:spacing w:after="0"/>
              <w:rPr>
                <w:sz w:val="1"/>
                <w:szCs w:val="1"/>
                <w:color w:val="auto"/>
              </w:rPr>
            </w:pPr>
          </w:p>
        </w:tc>
      </w:tr>
      <w:tr>
        <w:trPr>
          <w:trHeight w:val="168"/>
        </w:trPr>
        <w:tc>
          <w:tcPr>
            <w:tcW w:w="72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Realized loss on debt extinguishment</w:t>
            </w:r>
          </w:p>
        </w:tc>
        <w:tc>
          <w:tcPr>
            <w:tcW w:w="1000" w:type="dxa"/>
            <w:vAlign w:val="bottom"/>
            <w:shd w:val="clear" w:color="auto" w:fill="CCECFF"/>
          </w:tcPr>
          <w:p>
            <w:pPr>
              <w:spacing w:after="0"/>
              <w:rPr>
                <w:sz w:val="14"/>
                <w:szCs w:val="14"/>
                <w:color w:val="auto"/>
              </w:rPr>
            </w:pPr>
          </w:p>
        </w:tc>
        <w:tc>
          <w:tcPr>
            <w:tcW w:w="7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(705 )</w:t>
            </w:r>
          </w:p>
        </w:tc>
        <w:tc>
          <w:tcPr>
            <w:tcW w:w="42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(3,171 )</w:t>
            </w:r>
          </w:p>
        </w:tc>
        <w:tc>
          <w:tcPr>
            <w:tcW w:w="0" w:type="dxa"/>
            <w:vAlign w:val="bottom"/>
          </w:tcPr>
          <w:p>
            <w:pPr>
              <w:spacing w:after="0"/>
              <w:rPr>
                <w:sz w:val="1"/>
                <w:szCs w:val="1"/>
                <w:color w:val="auto"/>
              </w:rPr>
            </w:pPr>
          </w:p>
        </w:tc>
      </w:tr>
      <w:tr>
        <w:trPr>
          <w:trHeight w:val="168"/>
        </w:trPr>
        <w:tc>
          <w:tcPr>
            <w:tcW w:w="72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Net increase (decrease) in members’ equity resulting from operations</w:t>
            </w:r>
          </w:p>
        </w:tc>
        <w:tc>
          <w:tcPr>
            <w:tcW w:w="1000" w:type="dxa"/>
            <w:vAlign w:val="bottom"/>
            <w:shd w:val="clear" w:color="auto" w:fill="CCECFF"/>
          </w:tcPr>
          <w:p>
            <w:pPr>
              <w:spacing w:after="0"/>
              <w:rPr>
                <w:sz w:val="14"/>
                <w:szCs w:val="14"/>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9,897</w:t>
            </w:r>
          </w:p>
        </w:tc>
        <w:tc>
          <w:tcPr>
            <w:tcW w:w="20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Capital contributions</w:t>
            </w:r>
          </w:p>
        </w:tc>
        <w:tc>
          <w:tcPr>
            <w:tcW w:w="1000" w:type="dxa"/>
            <w:vAlign w:val="bottom"/>
            <w:shd w:val="clear" w:color="auto" w:fill="CCECFF"/>
          </w:tcPr>
          <w:p>
            <w:pPr>
              <w:spacing w:after="0"/>
              <w:rPr>
                <w:sz w:val="14"/>
                <w:szCs w:val="14"/>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13,500</w:t>
            </w:r>
          </w:p>
        </w:tc>
        <w:tc>
          <w:tcPr>
            <w:tcW w:w="20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Distributions</w:t>
            </w:r>
          </w:p>
        </w:tc>
        <w:tc>
          <w:tcPr>
            <w:tcW w:w="10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(17,000 )</w:t>
            </w:r>
          </w:p>
        </w:tc>
        <w:tc>
          <w:tcPr>
            <w:tcW w:w="42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(13,100 )</w:t>
            </w:r>
          </w:p>
        </w:tc>
        <w:tc>
          <w:tcPr>
            <w:tcW w:w="0" w:type="dxa"/>
            <w:vAlign w:val="bottom"/>
          </w:tcPr>
          <w:p>
            <w:pPr>
              <w:spacing w:after="0"/>
              <w:rPr>
                <w:sz w:val="1"/>
                <w:szCs w:val="1"/>
                <w:color w:val="auto"/>
              </w:rPr>
            </w:pPr>
          </w:p>
        </w:tc>
      </w:tr>
      <w:tr>
        <w:trPr>
          <w:trHeight w:val="168"/>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w:t>
            </w:r>
          </w:p>
        </w:tc>
        <w:tc>
          <w:tcPr>
            <w:tcW w:w="1000" w:type="dxa"/>
            <w:vAlign w:val="bottom"/>
            <w:shd w:val="clear" w:color="auto" w:fill="CCECFF"/>
          </w:tcPr>
          <w:p>
            <w:pPr>
              <w:spacing w:after="0"/>
              <w:rPr>
                <w:sz w:val="14"/>
                <w:szCs w:val="14"/>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20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Beginning of year</w:t>
            </w:r>
          </w:p>
        </w:tc>
        <w:tc>
          <w:tcPr>
            <w:tcW w:w="1000" w:type="dxa"/>
            <w:vAlign w:val="bottom"/>
            <w:shd w:val="clear" w:color="auto" w:fill="CCECFF"/>
          </w:tcPr>
          <w:p>
            <w:pPr>
              <w:spacing w:after="0"/>
              <w:rPr>
                <w:sz w:val="14"/>
                <w:szCs w:val="14"/>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58,150</w:t>
            </w:r>
          </w:p>
        </w:tc>
        <w:tc>
          <w:tcPr>
            <w:tcW w:w="20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56,496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 of year</w:t>
            </w:r>
          </w:p>
        </w:tc>
        <w:tc>
          <w:tcPr>
            <w:tcW w:w="100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64,547</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7" w:name="page128"/>
    <w:bookmarkEnd w:id="127"/>
    <w:p>
      <w:pPr>
        <w:spacing w:after="0" w:line="39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5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increase (decrease) in members’ equity resulting from operations</w:t>
            </w: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9,897</w:t>
            </w:r>
          </w:p>
        </w:tc>
        <w:tc>
          <w:tcPr>
            <w:tcW w:w="220" w:type="dxa"/>
            <w:vAlign w:val="bottom"/>
          </w:tcPr>
          <w:p>
            <w:pPr>
              <w:spacing w:after="0"/>
              <w:rPr>
                <w:sz w:val="14"/>
                <w:szCs w:val="1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w:t>
            </w:r>
          </w:p>
        </w:tc>
        <w:tc>
          <w:tcPr>
            <w:tcW w:w="80" w:type="dxa"/>
            <w:vAlign w:val="bottom"/>
          </w:tcPr>
          <w:p>
            <w:pPr>
              <w:spacing w:after="0"/>
              <w:rPr>
                <w:sz w:val="14"/>
                <w:szCs w:val="14"/>
                <w:color w:val="auto"/>
              </w:rPr>
            </w:pPr>
          </w:p>
        </w:tc>
      </w:tr>
      <w:tr>
        <w:trPr>
          <w:trHeight w:val="156"/>
        </w:trPr>
        <w:tc>
          <w:tcPr>
            <w:tcW w:w="6800" w:type="dxa"/>
            <w:vAlign w:val="bottom"/>
            <w:shd w:val="clear" w:color="auto" w:fill="CCECFF"/>
          </w:tcPr>
          <w:p>
            <w:pPr>
              <w:ind w:left="80"/>
              <w:spacing w:after="0" w:line="156" w:lineRule="exact"/>
              <w:rPr>
                <w:sz w:val="20"/>
                <w:szCs w:val="20"/>
                <w:color w:val="auto"/>
              </w:rPr>
            </w:pPr>
            <w:r>
              <w:rPr>
                <w:rFonts w:ascii="Times New Roman" w:cs="Times New Roman" w:eastAsia="Times New Roman" w:hAnsi="Times New Roman"/>
                <w:sz w:val="14"/>
                <w:szCs w:val="14"/>
                <w:color w:val="auto"/>
              </w:rPr>
              <w:t>Adjustments to reconcile net increase (decrease) in members’ equity resulting from operations to net cash</w:t>
            </w:r>
          </w:p>
        </w:tc>
        <w:tc>
          <w:tcPr>
            <w:tcW w:w="11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0"/>
        </w:trPr>
        <w:tc>
          <w:tcPr>
            <w:tcW w:w="68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provided by (used in) operating activities:</w:t>
            </w:r>
          </w:p>
        </w:tc>
        <w:tc>
          <w:tcPr>
            <w:tcW w:w="114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13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(3,048 )</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realized (gain) loss on extinguishment of debt</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114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(3,797 )</w:t>
            </w:r>
          </w:p>
        </w:tc>
        <w:tc>
          <w:tcPr>
            <w:tcW w:w="4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(3,917 )</w:t>
            </w: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(286,191 )</w:t>
            </w:r>
          </w:p>
        </w:tc>
        <w:tc>
          <w:tcPr>
            <w:tcW w:w="44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(190,871 )</w:t>
            </w: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Payment-in-kind interest</w:t>
            </w:r>
          </w:p>
        </w:tc>
        <w:tc>
          <w:tcPr>
            <w:tcW w:w="114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(3,407 )</w:t>
            </w:r>
          </w:p>
        </w:tc>
        <w:tc>
          <w:tcPr>
            <w:tcW w:w="4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(1,055 )</w:t>
            </w: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investments</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160,106</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155,207</w:t>
            </w: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Decrease in:</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114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receivable</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(2,154 )</w:t>
            </w:r>
          </w:p>
        </w:tc>
      </w:tr>
      <w:tr>
        <w:trPr>
          <w:trHeight w:val="168"/>
        </w:trPr>
        <w:tc>
          <w:tcPr>
            <w:tcW w:w="680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4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(1,152 )</w:t>
            </w: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Due from affiliate</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Increase (Decrease) in:</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Payables for investments purchased</w:t>
            </w:r>
          </w:p>
        </w:tc>
        <w:tc>
          <w:tcPr>
            <w:tcW w:w="1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(13,380 )</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114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(5,010 )</w:t>
            </w: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10,474</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Due to affiliate</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w:t>
            </w:r>
          </w:p>
        </w:tc>
        <w:tc>
          <w:tcPr>
            <w:tcW w:w="1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(37 )</w:t>
            </w:r>
          </w:p>
        </w:tc>
        <w:tc>
          <w:tcPr>
            <w:tcW w:w="44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(291 )</w:t>
            </w: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14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(132,711 )</w:t>
            </w:r>
          </w:p>
        </w:tc>
        <w:tc>
          <w:tcPr>
            <w:tcW w:w="4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(4,501 )</w:t>
            </w: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Members’ capital contributions</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13,500</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members</w:t>
            </w:r>
          </w:p>
        </w:tc>
        <w:tc>
          <w:tcPr>
            <w:tcW w:w="1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(17,000 )</w:t>
            </w:r>
          </w:p>
        </w:tc>
        <w:tc>
          <w:tcPr>
            <w:tcW w:w="44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(13,100 )</w:t>
            </w: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Notes issued to members</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31,500</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22,750</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 of 2032 Asset-backed debt</w:t>
            </w:r>
          </w:p>
        </w:tc>
        <w:tc>
          <w:tcPr>
            <w:tcW w:w="1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(246,000 )</w:t>
            </w:r>
          </w:p>
        </w:tc>
        <w:tc>
          <w:tcPr>
            <w:tcW w:w="44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Proceeds from 2035 Asset-backed debt issued</w:t>
            </w:r>
          </w:p>
        </w:tc>
        <w:tc>
          <w:tcPr>
            <w:tcW w:w="114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246,000</w:t>
            </w:r>
          </w:p>
        </w:tc>
        <w:tc>
          <w:tcPr>
            <w:tcW w:w="80" w:type="dxa"/>
            <w:vAlign w:val="bottom"/>
            <w:shd w:val="clear" w:color="auto" w:fill="CCECFF"/>
          </w:tcPr>
          <w:p>
            <w:pPr>
              <w:spacing w:after="0"/>
              <w:rPr>
                <w:sz w:val="14"/>
                <w:szCs w:val="14"/>
                <w:color w:val="auto"/>
              </w:rPr>
            </w:pPr>
          </w:p>
        </w:tc>
      </w:tr>
      <w:tr>
        <w:trPr>
          <w:trHeight w:val="200"/>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of fees and expenses on 2035 Asset-backed debt issued</w:t>
            </w:r>
          </w:p>
        </w:tc>
        <w:tc>
          <w:tcPr>
            <w:tcW w:w="1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(2,705 )</w:t>
            </w:r>
          </w:p>
        </w:tc>
      </w:tr>
      <w:tr>
        <w:trPr>
          <w:trHeight w:val="28"/>
        </w:trPr>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Proceeds from 2036 Asset-backed debt issued</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246,000</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of fees and expenses on 2036 Asset-backed debt issued</w:t>
            </w:r>
          </w:p>
        </w:tc>
        <w:tc>
          <w:tcPr>
            <w:tcW w:w="1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(1,806 )</w:t>
            </w:r>
          </w:p>
        </w:tc>
        <w:tc>
          <w:tcPr>
            <w:tcW w:w="44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196,500</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41,600</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Repayments under credit facility</w:t>
            </w:r>
          </w:p>
        </w:tc>
        <w:tc>
          <w:tcPr>
            <w:tcW w:w="1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(99,000 )</w:t>
            </w:r>
          </w:p>
        </w:tc>
        <w:tc>
          <w:tcPr>
            <w:tcW w:w="44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(252,500 )</w:t>
            </w: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123,694</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51,795</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(9,017 )</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47,294</w:t>
            </w: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77,446</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30,152</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68,429</w:t>
            </w:r>
          </w:p>
        </w:tc>
        <w:tc>
          <w:tcPr>
            <w:tcW w:w="220" w:type="dxa"/>
            <w:vAlign w:val="bottom"/>
          </w:tcPr>
          <w:p>
            <w:pPr>
              <w:spacing w:after="0"/>
              <w:rPr>
                <w:sz w:val="14"/>
                <w:szCs w:val="1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77,446</w:t>
            </w: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14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paid on credit facility and asset-backed debt</w:t>
            </w: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59,824</w:t>
            </w:r>
          </w:p>
        </w:tc>
        <w:tc>
          <w:tcPr>
            <w:tcW w:w="220" w:type="dxa"/>
            <w:vAlign w:val="bottom"/>
          </w:tcPr>
          <w:p>
            <w:pPr>
              <w:spacing w:after="0"/>
              <w:rPr>
                <w:sz w:val="14"/>
                <w:szCs w:val="1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32,323</w:t>
            </w:r>
          </w:p>
        </w:tc>
        <w:tc>
          <w:tcPr>
            <w:tcW w:w="80" w:type="dxa"/>
            <w:vAlign w:val="bottom"/>
          </w:tcPr>
          <w:p>
            <w:pPr>
              <w:spacing w:after="0"/>
              <w:rPr>
                <w:sz w:val="14"/>
                <w:szCs w:val="14"/>
                <w:color w:val="auto"/>
              </w:rPr>
            </w:pPr>
          </w:p>
        </w:tc>
      </w:tr>
      <w:tr>
        <w:trPr>
          <w:trHeight w:val="168"/>
        </w:trPr>
        <w:tc>
          <w:tcPr>
            <w:tcW w:w="6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paid on notes to members</w:t>
            </w:r>
          </w:p>
        </w:tc>
        <w:tc>
          <w:tcPr>
            <w:tcW w:w="1140" w:type="dxa"/>
            <w:vAlign w:val="bottom"/>
            <w:shd w:val="clear" w:color="auto" w:fill="CCEC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33,359</w:t>
            </w:r>
          </w:p>
        </w:tc>
        <w:tc>
          <w:tcPr>
            <w:tcW w:w="22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28,556</w:t>
            </w:r>
          </w:p>
        </w:tc>
        <w:tc>
          <w:tcPr>
            <w:tcW w:w="80" w:type="dxa"/>
            <w:vAlign w:val="bottom"/>
            <w:shd w:val="clear" w:color="auto" w:fill="CCECFF"/>
          </w:tcPr>
          <w:p>
            <w:pPr>
              <w:spacing w:after="0"/>
              <w:rPr>
                <w:sz w:val="14"/>
                <w:szCs w:val="14"/>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and Financing activity:</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8"/>
        </w:trPr>
        <w:tc>
          <w:tcPr>
            <w:tcW w:w="68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Non-Cash exchanges and conversions</w:t>
            </w:r>
          </w:p>
        </w:tc>
        <w:tc>
          <w:tcPr>
            <w:tcW w:w="1140" w:type="dxa"/>
            <w:vAlign w:val="bottom"/>
            <w:tcBorders>
              <w:bottom w:val="single" w:sz="8" w:color="auto"/>
            </w:tcBorders>
            <w:shd w:val="clear" w:color="auto" w:fill="CCEC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19,841</w:t>
            </w:r>
          </w:p>
        </w:tc>
        <w:tc>
          <w:tcPr>
            <w:tcW w:w="220" w:type="dxa"/>
            <w:vAlign w:val="bottom"/>
            <w:tcBorders>
              <w:bottom w:val="single" w:sz="8" w:color="CCECFF"/>
            </w:tcBorders>
            <w:shd w:val="clear" w:color="auto" w:fill="CCECFF"/>
          </w:tcPr>
          <w:p>
            <w:pPr>
              <w:spacing w:after="0"/>
              <w:rPr>
                <w:sz w:val="18"/>
                <w:szCs w:val="18"/>
                <w:color w:val="auto"/>
              </w:rPr>
            </w:pPr>
          </w:p>
        </w:tc>
        <w:tc>
          <w:tcPr>
            <w:tcW w:w="440" w:type="dxa"/>
            <w:vAlign w:val="bottom"/>
            <w:tcBorders>
              <w:bottom w:val="single" w:sz="8" w:color="auto"/>
            </w:tcBorders>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80" w:type="dxa"/>
            <w:vAlign w:val="bottom"/>
            <w:tcBorders>
              <w:bottom w:val="single" w:sz="8" w:color="CCECFF"/>
            </w:tcBorders>
            <w:shd w:val="clear" w:color="auto" w:fill="CCEC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8" w:name="page129"/>
    <w:bookmarkEnd w:id="128"/>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8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4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or Number of</w:t>
            </w: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78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8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48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60" w:type="dxa"/>
            <w:vAlign w:val="bottom"/>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- 1,404.5%</w:t>
            </w:r>
          </w:p>
        </w:tc>
        <w:tc>
          <w:tcPr>
            <w:tcW w:w="7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78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12/22/2028</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10.95%</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2,903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$2,855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$2,903</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10/2/2029</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10.58%</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9,925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9,771</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9,602</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8/1/2029</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10.83%</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18,762</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18,434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18,837</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5/7/2026</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11.28%</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SOFR+626</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8,708</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8,658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8,708</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78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12/18/2028</w:t>
            </w:r>
          </w:p>
        </w:tc>
        <w:tc>
          <w:tcPr>
            <w:tcW w:w="19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9.85%</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15,880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15,665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15,880</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78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11/30/2026</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11.30%</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12,722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12,481</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12,213</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6/30/2026</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10.50%</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4,717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4,613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4,717</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6/30/2026</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10.50%</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4,625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4,584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4,625</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8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12/29/2026</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10.50%</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11,155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11,058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10,988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8/3/2029</w:t>
            </w:r>
          </w:p>
        </w:tc>
        <w:tc>
          <w:tcPr>
            <w:tcW w:w="19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11.56%</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11,115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10,967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11,059</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6/21/2029</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9.85%</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9,975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9,836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9,825</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7/1/2029</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10.35%</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4,828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2/28/2030</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11.18%</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15,423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15,167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15,423</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1/31/2028</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11.70%</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8,888</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8,797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9/17/2026</w:t>
            </w:r>
          </w:p>
        </w:tc>
        <w:tc>
          <w:tcPr>
            <w:tcW w:w="19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Distributors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11.00%</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14,974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14,779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14,718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78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10/31/2025</w:t>
            </w:r>
          </w:p>
        </w:tc>
        <w:tc>
          <w:tcPr>
            <w:tcW w:w="19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10.60%</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5,546</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5,523</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5,435</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12/4/2025</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10.97%</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SOFR+611</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2,274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2,274</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9/26/2029</w:t>
            </w:r>
          </w:p>
        </w:tc>
        <w:tc>
          <w:tcPr>
            <w:tcW w:w="19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Automotive</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10.20%</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442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416</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5/16/2025</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12.18%</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SOFR+698</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13,084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13,059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13,084</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2/7/2030</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10.60%</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15,243</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15,025</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15,015</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6/14/2028</w:t>
            </w:r>
          </w:p>
        </w:tc>
        <w:tc>
          <w:tcPr>
            <w:tcW w:w="19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Distributors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10.35%</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9,539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9,431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9,539</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8/20/2026</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11.21%</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SOFR+619</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6,751</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6,682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6,649</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78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10/28/2028</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8.96%</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SOFR+400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6,708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6,506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6,540</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7/13/2027</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10.53%</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SOFR+561</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3,775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3,734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3,775</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8/16/2027</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10.71%</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SOFR+586</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2,068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2,051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8/31/2027</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9.95%</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14,562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14,398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14,562</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78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12/21/2028</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10.20%</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2,600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2,420</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2,509</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11/3/2025</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11.20%</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13,805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13,788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13,694</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(6)</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7/15/2028</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10.38%</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SOFR+526</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1,360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78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10/15/2028</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10.88%</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SOFR+576</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8,439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8,439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7,769</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8/31/2030</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8.85%</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SOFR+400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4,963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4,894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4,973</w:t>
            </w:r>
          </w:p>
        </w:tc>
        <w:tc>
          <w:tcPr>
            <w:tcW w:w="0" w:type="dxa"/>
            <w:vAlign w:val="bottom"/>
          </w:tcPr>
          <w:p>
            <w:pPr>
              <w:spacing w:after="0"/>
              <w:rPr>
                <w:sz w:val="1"/>
                <w:szCs w:val="1"/>
                <w:color w:val="auto"/>
              </w:rPr>
            </w:pPr>
          </w:p>
        </w:tc>
      </w:tr>
      <w:tr>
        <w:trPr>
          <w:trHeight w:val="121"/>
        </w:trPr>
        <w:tc>
          <w:tcPr>
            <w:tcW w:w="32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1/10/2029</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Components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10.35%</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8,865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8,763</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8,732</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3/15/2027</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9"/>
              </w:rPr>
              <w:t>Software</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11.20%</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12,546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12,418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12,484</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5/29/2029</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11.56%</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12,249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12,032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5/10/2030</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10.60%</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9,268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9,132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9,176</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More Defense</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6/17/2028</w:t>
            </w:r>
          </w:p>
        </w:tc>
        <w:tc>
          <w:tcPr>
            <w:tcW w:w="19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9.65%</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SOFR+450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10,117</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10,071</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10,128</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3/16/2026</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11.43%</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3,696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3,689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3,511</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8/10/2027</w:t>
            </w:r>
          </w:p>
        </w:tc>
        <w:tc>
          <w:tcPr>
            <w:tcW w:w="198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10.45%</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SOFR+560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3,723</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3,686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3,685</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8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12/31/2026</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2"/>
              </w:rPr>
              <w:t>Insurance</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10.20%</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2,153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2,131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2,110</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6/17/2029</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9.75%</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3,691</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3,648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3,665</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11/8/2029</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11.11%</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8,957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8,835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8,868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5/10/2026</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11.18%</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3,486</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3,475</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3,486</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78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11/15/2027</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9"/>
              </w:rPr>
              <w:t>Software</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10.20%</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SOFR+510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9,154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9,018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9,108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8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12/28/2028</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11.45%</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SOFR+685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6,029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5,932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6,089</w:t>
            </w: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1/31/2025</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11.75%</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SOFR+715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11,287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11,274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9,707</w:t>
            </w: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60" w:type="dxa"/>
            <w:vAlign w:val="bottom"/>
            <w:gridSpan w:val="2"/>
          </w:tcPr>
          <w:p>
            <w:pPr>
              <w:jc w:val="right"/>
              <w:ind w:right="132"/>
              <w:spacing w:after="0"/>
              <w:rPr>
                <w:sz w:val="20"/>
                <w:szCs w:val="20"/>
                <w:color w:val="auto"/>
              </w:rPr>
            </w:pPr>
            <w:r>
              <w:rPr>
                <w:rFonts w:ascii="Times New Roman" w:cs="Times New Roman" w:eastAsia="Times New Roman" w:hAnsi="Times New Roman"/>
                <w:sz w:val="10"/>
                <w:szCs w:val="10"/>
                <w:color w:val="auto"/>
              </w:rPr>
              <w:t>(PIK 2.25%)</w:t>
            </w: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6/30/2025</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12.46%</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SOFR+761</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8,164</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8,094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8,041</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3/3/2028</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IT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10.58%</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3,900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3,855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3,900</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78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11/10/2027</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10.75%</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13,492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13,289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13,492</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2/18/2027</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12.94%</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SOFR+785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14,731</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14,539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14,584</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106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9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(6)</w:t>
            </w:r>
          </w:p>
        </w:tc>
        <w:tc>
          <w:tcPr>
            <w:tcW w:w="78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10/31/2025</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11.42%</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SOFR+643</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12,125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12,102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11,907</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 - Term Loan Incremental</w:t>
            </w:r>
          </w:p>
        </w:tc>
        <w:tc>
          <w:tcPr>
            <w:tcW w:w="78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10/31/2025</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11.64%</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2,861</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2,856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2,810</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2/3/2026</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10.15%</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11,330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11,258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11,330</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1/31/2030</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10.48%</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2,559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2,516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2,559</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5/31/2028</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11.10%</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7,407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7,288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7,296</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(6)</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10/2/2028</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12.77%</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SOFR+765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259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259</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10/2/2029</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12.77%</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SOFR+765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518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4/1/2027</w:t>
            </w:r>
          </w:p>
        </w:tc>
        <w:tc>
          <w:tcPr>
            <w:tcW w:w="19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10.20%</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2,218</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2,143</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2,085</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7/31/2028</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9"/>
              </w:rPr>
              <w:t>Software</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12.13%</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SOFR+701</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357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7/31/2028</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9"/>
              </w:rPr>
              <w:t>Software</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12.38%</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SOFR+801</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452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Third-Out Term Loan</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7/31/2028</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9"/>
              </w:rPr>
              <w:t>Software</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11.63%</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SOFR+726</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1,675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24"/>
        </w:trPr>
        <w:tc>
          <w:tcPr>
            <w:tcW w:w="32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(6)</w:t>
            </w:r>
          </w:p>
        </w:tc>
        <w:tc>
          <w:tcPr>
            <w:tcW w:w="780" w:type="dxa"/>
            <w:vAlign w:val="bottom"/>
            <w:vMerge w:val="restart"/>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9/30/2025</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580" w:type="dxa"/>
            <w:vAlign w:val="bottom"/>
            <w:shd w:val="clear" w:color="auto" w:fill="CCECFF"/>
          </w:tcPr>
          <w:p>
            <w:pPr>
              <w:spacing w:after="0"/>
              <w:rPr>
                <w:sz w:val="10"/>
                <w:szCs w:val="10"/>
                <w:color w:val="auto"/>
              </w:rPr>
            </w:pPr>
          </w:p>
        </w:tc>
        <w:tc>
          <w:tcPr>
            <w:tcW w:w="480" w:type="dxa"/>
            <w:vAlign w:val="bottom"/>
            <w:vMerge w:val="restart"/>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10.38%</w:t>
            </w:r>
          </w:p>
        </w:tc>
        <w:tc>
          <w:tcPr>
            <w:tcW w:w="900" w:type="dxa"/>
            <w:vAlign w:val="bottom"/>
            <w:vMerge w:val="restart"/>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SOFR+540</w:t>
            </w:r>
          </w:p>
        </w:tc>
        <w:tc>
          <w:tcPr>
            <w:tcW w:w="1000" w:type="dxa"/>
            <w:vAlign w:val="bottom"/>
            <w:vMerge w:val="restart"/>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1,845</w:t>
            </w:r>
          </w:p>
        </w:tc>
        <w:tc>
          <w:tcPr>
            <w:tcW w:w="80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1,845</w:t>
            </w: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1,845</w:t>
            </w:r>
          </w:p>
        </w:tc>
        <w:tc>
          <w:tcPr>
            <w:tcW w:w="0" w:type="dxa"/>
            <w:vAlign w:val="bottom"/>
          </w:tcPr>
          <w:p>
            <w:pPr>
              <w:spacing w:after="0"/>
              <w:rPr>
                <w:sz w:val="1"/>
                <w:szCs w:val="1"/>
                <w:color w:val="auto"/>
              </w:rPr>
            </w:pPr>
          </w:p>
        </w:tc>
      </w:tr>
      <w:tr>
        <w:trPr>
          <w:trHeight w:val="92"/>
        </w:trPr>
        <w:tc>
          <w:tcPr>
            <w:tcW w:w="3280" w:type="dxa"/>
            <w:vAlign w:val="bottom"/>
            <w:vMerge w:val="continue"/>
            <w:shd w:val="clear" w:color="auto" w:fill="CCECFF"/>
          </w:tcPr>
          <w:p>
            <w:pPr>
              <w:spacing w:after="0"/>
              <w:rPr>
                <w:sz w:val="8"/>
                <w:szCs w:val="8"/>
                <w:color w:val="auto"/>
              </w:rPr>
            </w:pPr>
          </w:p>
        </w:tc>
        <w:tc>
          <w:tcPr>
            <w:tcW w:w="780" w:type="dxa"/>
            <w:vAlign w:val="bottom"/>
            <w:vMerge w:val="continue"/>
            <w:shd w:val="clear" w:color="auto" w:fill="CCECFF"/>
          </w:tcPr>
          <w:p>
            <w:pPr>
              <w:spacing w:after="0"/>
              <w:rPr>
                <w:sz w:val="8"/>
                <w:szCs w:val="8"/>
                <w:color w:val="auto"/>
              </w:rPr>
            </w:pPr>
          </w:p>
        </w:tc>
        <w:tc>
          <w:tcPr>
            <w:tcW w:w="198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480" w:type="dxa"/>
            <w:vAlign w:val="bottom"/>
            <w:vMerge w:val="continue"/>
            <w:shd w:val="clear" w:color="auto" w:fill="CCECFF"/>
          </w:tcPr>
          <w:p>
            <w:pPr>
              <w:spacing w:after="0"/>
              <w:rPr>
                <w:sz w:val="8"/>
                <w:szCs w:val="8"/>
                <w:color w:val="auto"/>
              </w:rPr>
            </w:pPr>
          </w:p>
        </w:tc>
        <w:tc>
          <w:tcPr>
            <w:tcW w:w="900" w:type="dxa"/>
            <w:vAlign w:val="bottom"/>
            <w:vMerge w:val="continue"/>
            <w:shd w:val="clear" w:color="auto" w:fill="CCECFF"/>
          </w:tcPr>
          <w:p>
            <w:pPr>
              <w:spacing w:after="0"/>
              <w:rPr>
                <w:sz w:val="8"/>
                <w:szCs w:val="8"/>
                <w:color w:val="auto"/>
              </w:rPr>
            </w:pPr>
          </w:p>
        </w:tc>
        <w:tc>
          <w:tcPr>
            <w:tcW w:w="1000" w:type="dxa"/>
            <w:vAlign w:val="bottom"/>
            <w:vMerge w:val="continue"/>
            <w:shd w:val="clear" w:color="auto" w:fill="CCECFF"/>
          </w:tcPr>
          <w:p>
            <w:pPr>
              <w:spacing w:after="0"/>
              <w:rPr>
                <w:sz w:val="8"/>
                <w:szCs w:val="8"/>
                <w:color w:val="auto"/>
              </w:rPr>
            </w:pPr>
          </w:p>
        </w:tc>
        <w:tc>
          <w:tcPr>
            <w:tcW w:w="800" w:type="dxa"/>
            <w:vAlign w:val="bottom"/>
            <w:vMerge w:val="continue"/>
            <w:shd w:val="clear" w:color="auto" w:fill="CCECFF"/>
          </w:tcPr>
          <w:p>
            <w:pPr>
              <w:spacing w:after="0"/>
              <w:rPr>
                <w:sz w:val="8"/>
                <w:szCs w:val="8"/>
                <w:color w:val="auto"/>
              </w:rPr>
            </w:pPr>
          </w:p>
        </w:tc>
        <w:tc>
          <w:tcPr>
            <w:tcW w:w="76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Unfunded Term Loan </w:t>
            </w:r>
            <w:r>
              <w:rPr>
                <w:rFonts w:ascii="Times New Roman" w:cs="Times New Roman" w:eastAsia="Times New Roman" w:hAnsi="Times New Roman"/>
                <w:sz w:val="12"/>
                <w:szCs w:val="12"/>
                <w:color w:val="auto"/>
                <w:vertAlign w:val="superscript"/>
              </w:rPr>
              <w:t>(3)(6)</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9/30/2025</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0.00%</w:t>
            </w:r>
          </w:p>
        </w:tc>
        <w:tc>
          <w:tcPr>
            <w:tcW w:w="900" w:type="dxa"/>
            <w:vAlign w:val="bottom"/>
          </w:tcPr>
          <w:p>
            <w:pPr>
              <w:spacing w:after="0"/>
              <w:rPr>
                <w:sz w:val="10"/>
                <w:szCs w:val="10"/>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564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12"/>
                <w:szCs w:val="12"/>
                <w:color w:val="auto"/>
                <w:vertAlign w:val="superscript"/>
              </w:rPr>
              <w:t>(6)</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9/30/2026</w:t>
            </w:r>
          </w:p>
        </w:tc>
        <w:tc>
          <w:tcPr>
            <w:tcW w:w="198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10.53%</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4,837</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4,068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4/16/2027</w:t>
            </w:r>
          </w:p>
        </w:tc>
        <w:tc>
          <w:tcPr>
            <w:tcW w:w="19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10.59%</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SOFR+585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7,256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7,183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7,256</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(New Issue) - Incremental</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4/16/2027</w:t>
            </w:r>
          </w:p>
        </w:tc>
        <w:tc>
          <w:tcPr>
            <w:tcW w:w="19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11.34%</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SOFR+660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523</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528</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 (New Issue) - Second Incremental</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4/16/2027</w:t>
            </w:r>
          </w:p>
        </w:tc>
        <w:tc>
          <w:tcPr>
            <w:tcW w:w="19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11.09%</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551</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554</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7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7/25/2028</w:t>
            </w:r>
          </w:p>
        </w:tc>
        <w:tc>
          <w:tcPr>
            <w:tcW w:w="19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w w:val="90"/>
              </w:rPr>
              <w:t>10.60%</w:t>
            </w:r>
          </w:p>
        </w:tc>
        <w:tc>
          <w:tcPr>
            <w:tcW w:w="9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4,829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4,851</w:t>
            </w:r>
          </w:p>
        </w:tc>
        <w:tc>
          <w:tcPr>
            <w:tcW w:w="0" w:type="dxa"/>
            <w:vAlign w:val="bottom"/>
          </w:tcPr>
          <w:p>
            <w:pPr>
              <w:spacing w:after="0"/>
              <w:rPr>
                <w:sz w:val="1"/>
                <w:szCs w:val="1"/>
                <w:color w:val="auto"/>
              </w:rPr>
            </w:pPr>
          </w:p>
        </w:tc>
      </w:tr>
      <w:tr>
        <w:trPr>
          <w:trHeight w:val="124"/>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 - Incremental</w:t>
            </w:r>
          </w:p>
        </w:tc>
        <w:tc>
          <w:tcPr>
            <w:tcW w:w="7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7/25/2028</w:t>
            </w:r>
          </w:p>
        </w:tc>
        <w:tc>
          <w:tcPr>
            <w:tcW w:w="19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90"/>
              </w:rPr>
              <w:t>11.25%</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1,416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9" w:name="page130"/>
    <w:bookmarkEnd w:id="129"/>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480" w:type="dxa"/>
            <w:vAlign w:val="bottom"/>
          </w:tcPr>
          <w:p>
            <w:pPr>
              <w:spacing w:after="0"/>
              <w:rPr>
                <w:sz w:val="10"/>
                <w:szCs w:val="10"/>
                <w:color w:val="auto"/>
              </w:rPr>
            </w:pPr>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7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0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4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20" w:type="dxa"/>
            <w:vAlign w:val="bottom"/>
          </w:tcPr>
          <w:p>
            <w:pPr>
              <w:jc w:val="right"/>
              <w:ind w:right="192"/>
              <w:spacing w:after="0" w:line="122"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12/10/2027</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10.50 %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SOFR+590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2,348</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2,319</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2,289</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10/20/2028</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10.85 %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19,199</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18,911</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19,199</w:t>
            </w: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3/1/2030</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8"/>
              </w:rPr>
              <w:t>Components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9.85 %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15,671</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15,453</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14,794</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3/31/2025</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10.50 %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SOFR+590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5,551</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5,551</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5,551</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1/16/2030</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10.35 %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13,067</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12,891</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12,871</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9/28/2027</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Distributors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9.75 %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SOFR+515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3,395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3,355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3,395</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8/19/2026</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Healthcare, Education &amp; Childcare</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11.05 %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SOFR+585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10,602</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10,504</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10,284</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8/31/2029</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10.95 %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SOFR+635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21,274</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20,913</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21,274</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5/7/2027</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11.21 %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SOFR+636</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15,682</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15,480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15,682</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9/3/2027</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14.00 %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SOFR+940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2,140</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2,124</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1,819</w:t>
            </w: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8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7.50%)</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11/30/2028</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13.75 %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SOFR+843</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821</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821</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821</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5/30/2028</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12.00 %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SOFR+668</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2/4/2028</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10.20 %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SOFR+535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3,893</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3,842</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3,825</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5/18/2026</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11.12 %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SOFR+651</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4,307</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4,282</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9/30/2028</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11.51 %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11,938</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11,745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11,914</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3/1/2030</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10.81 %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3,871</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3,818</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3,871</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9/29/2025</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4"/>
              </w:rPr>
              <w:t>Wholesale</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10.17 %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SOFR+543</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9,391</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9,289</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9,302</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11/9/2027</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11.99 %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SOFR+725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7,816</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7,733</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6,253</w:t>
            </w: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8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4.00%)</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(5)</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7/6/2028</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Education</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12.35 %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SOFR+750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11,855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11,480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7,261</w:t>
            </w: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8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12.35%)</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11/19/2026</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10.95 %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SOFR+635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2,775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2,758</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2,761</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12/18/2025</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10.85 %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SOFR+560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1,016</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1,016</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1,016</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2/28/2028</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10.75 %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SOFR+615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4,875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4,828</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3,656</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1/29/2026</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11.75 %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SOFR+715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4,825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4,796</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4,777</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5/3/2029</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10.35 %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9,975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9,830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9,776</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6/15/2029</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10.35 %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4,336</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4,266</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4,282</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5/23/2029</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9.85 %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9,973</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9,830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9,873</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1/3/2025</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10.80 %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9,268</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9,260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9,268</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12/20/2024</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4"/>
              </w:rPr>
              <w:t>Wholesale</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12.45 %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SOFR+760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4,916</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4,906</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4,916</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1080" w:type="dxa"/>
            <w:vAlign w:val="bottom"/>
            <w:gridSpan w:val="2"/>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(PIK 1.00%)</w:t>
            </w: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7/14/2025</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13.20 %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SOFR+835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12,388</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12,387</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12,078</w:t>
            </w: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8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0.50%)</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6/13/2029</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10.75 %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SOFR+615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4,900</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4,842</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4,729</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12/18/2027</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11.50 %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SOFR+690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18,620</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18,370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18,434</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12/2/2026</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11.00 %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11,359</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11,206</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11,472</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5/17/2028</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9.46 %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SOFR+461</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1,290</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1,268</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1,289</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11/23/2028</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10.35 %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SOFR+610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4,863</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4,800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10/14/2025</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10.20 %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11,887</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11,860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10,520</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1080" w:type="dxa"/>
            <w:vAlign w:val="bottom"/>
            <w:gridSpan w:val="2"/>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(PIK 1.50%)</w:t>
            </w: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7/17/2025</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12.40 %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SOFR+715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4,582</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4,560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4,582</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3/1/2028</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10.25 %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4,070</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4,017</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4,070</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11/24/2028</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9.31 %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SOFR+425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1,777</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1,700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1,653</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7"/>
              </w:rPr>
              <w:t>System Planning and Analysis, Inc. (f/k/a Management Consulting &amp; Research,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8/16/2027</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10.26 %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SOFR+500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14,588</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14,445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14,558</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1/23/2029</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rPr>
              <w:t>Media</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11.10 %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19,626</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19,312</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19,430</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11/24/2028</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9.95 %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SOFR+500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343</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332</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3/13/2031</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9.60 %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SOFR+475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5,473</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5,418</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5,490</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7/27/2026</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11.25 %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SOFR+665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8,521</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8,427</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8,521</w:t>
            </w:r>
          </w:p>
        </w:tc>
        <w:tc>
          <w:tcPr>
            <w:tcW w:w="0" w:type="dxa"/>
            <w:vAlign w:val="bottom"/>
          </w:tcPr>
          <w:p>
            <w:pPr>
              <w:spacing w:after="0"/>
              <w:rPr>
                <w:sz w:val="1"/>
                <w:szCs w:val="1"/>
                <w:color w:val="auto"/>
              </w:rPr>
            </w:pPr>
          </w:p>
        </w:tc>
      </w:tr>
      <w:tr>
        <w:trPr>
          <w:trHeight w:val="124"/>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8/31/2027</w:t>
            </w:r>
          </w:p>
        </w:tc>
        <w:tc>
          <w:tcPr>
            <w:tcW w:w="1840" w:type="dxa"/>
            <w:vAlign w:val="bottom"/>
            <w:vMerge w:val="restart"/>
          </w:tcPr>
          <w:p>
            <w:pPr>
              <w:jc w:val="center"/>
              <w:ind w:right="52"/>
              <w:spacing w:after="0"/>
              <w:rPr>
                <w:sz w:val="20"/>
                <w:szCs w:val="20"/>
                <w:color w:val="auto"/>
              </w:rPr>
            </w:pPr>
            <w:r>
              <w:rPr>
                <w:rFonts w:ascii="Times New Roman" w:cs="Times New Roman" w:eastAsia="Times New Roman" w:hAnsi="Times New Roman"/>
                <w:sz w:val="10"/>
                <w:szCs w:val="10"/>
                <w:color w:val="auto"/>
                <w:w w:val="94"/>
              </w:rPr>
              <w:t>Construction and Engineering</w:t>
            </w:r>
          </w:p>
        </w:tc>
        <w:tc>
          <w:tcPr>
            <w:tcW w:w="600" w:type="dxa"/>
            <w:vAlign w:val="bottom"/>
          </w:tcPr>
          <w:p>
            <w:pPr>
              <w:spacing w:after="0"/>
              <w:rPr>
                <w:sz w:val="10"/>
                <w:szCs w:val="10"/>
                <w:color w:val="auto"/>
              </w:rPr>
            </w:pPr>
          </w:p>
        </w:tc>
        <w:tc>
          <w:tcPr>
            <w:tcW w:w="4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w w:val="95"/>
              </w:rPr>
              <w:t>10.95 %</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SOFR+610</w:t>
            </w: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7,636</w:t>
            </w:r>
          </w:p>
        </w:tc>
        <w:tc>
          <w:tcPr>
            <w:tcW w:w="84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7,538</w:t>
            </w:r>
          </w:p>
        </w:tc>
        <w:tc>
          <w:tcPr>
            <w:tcW w:w="9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7,639</w:t>
            </w:r>
          </w:p>
        </w:tc>
        <w:tc>
          <w:tcPr>
            <w:tcW w:w="0" w:type="dxa"/>
            <w:vAlign w:val="bottom"/>
          </w:tcPr>
          <w:p>
            <w:pPr>
              <w:spacing w:after="0"/>
              <w:rPr>
                <w:sz w:val="1"/>
                <w:szCs w:val="1"/>
                <w:color w:val="auto"/>
              </w:rPr>
            </w:pPr>
          </w:p>
        </w:tc>
      </w:tr>
      <w:tr>
        <w:trPr>
          <w:trHeight w:val="44"/>
        </w:trPr>
        <w:tc>
          <w:tcPr>
            <w:tcW w:w="34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11/24/2025</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10.84 %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16,524</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16,394</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16,524</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12/29/2028</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Automotive</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10.60 %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18,552</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18,293</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18,552</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6/16/2025</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11.33 %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943</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943</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943</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4/1/2028</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IT Services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10.23 %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SOFR+490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14,670</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14,585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14,376</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6/15/2026</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10.76 %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6,823</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6,742</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6,755</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(4)(6)</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3/1/2029</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Wholesale</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0.00 %</w:t>
            </w:r>
          </w:p>
        </w:tc>
        <w:tc>
          <w:tcPr>
            <w:tcW w:w="840" w:type="dxa"/>
            <w:vAlign w:val="bottom"/>
          </w:tcPr>
          <w:p>
            <w:pPr>
              <w:spacing w:after="0"/>
              <w:rPr>
                <w:sz w:val="10"/>
                <w:szCs w:val="10"/>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5,441</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4,986</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Junior Revolving Credit Facility </w:t>
            </w:r>
            <w:r>
              <w:rPr>
                <w:rFonts w:ascii="Times New Roman" w:cs="Times New Roman" w:eastAsia="Times New Roman" w:hAnsi="Times New Roman"/>
                <w:sz w:val="12"/>
                <w:szCs w:val="12"/>
                <w:color w:val="auto"/>
                <w:vertAlign w:val="superscript"/>
              </w:rPr>
              <w:t>(4)(6)</w:t>
            </w:r>
          </w:p>
        </w:tc>
        <w:tc>
          <w:tcPr>
            <w:tcW w:w="7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3/1/2029</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4"/>
              </w:rPr>
              <w:t>Wholesale</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0.00 %</w:t>
            </w: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(3)(4)(6)</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3/1/2029</w:t>
            </w:r>
          </w:p>
        </w:tc>
        <w:tc>
          <w:tcPr>
            <w:tcW w:w="184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Wholesale</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0.00 %</w:t>
            </w:r>
          </w:p>
        </w:tc>
        <w:tc>
          <w:tcPr>
            <w:tcW w:w="840" w:type="dxa"/>
            <w:vAlign w:val="bottom"/>
          </w:tcPr>
          <w:p>
            <w:pPr>
              <w:spacing w:after="0"/>
              <w:rPr>
                <w:sz w:val="10"/>
                <w:szCs w:val="10"/>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83</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(76 )</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8"/>
              </w:rPr>
              <w:t>12/3/2029</w:t>
            </w:r>
          </w:p>
        </w:tc>
        <w:tc>
          <w:tcPr>
            <w:tcW w:w="184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10.60 %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12,189</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12,007</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12,067</w:t>
            </w: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8"/>
              </w:rPr>
              <w:t>2/27/2027</w:t>
            </w:r>
          </w:p>
        </w:tc>
        <w:tc>
          <w:tcPr>
            <w:tcW w:w="18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8"/>
              </w:rPr>
              <w:t>Components</w:t>
            </w:r>
          </w:p>
        </w:tc>
        <w:tc>
          <w:tcPr>
            <w:tcW w:w="600" w:type="dxa"/>
            <w:vAlign w:val="bottom"/>
          </w:tcPr>
          <w:p>
            <w:pPr>
              <w:spacing w:after="0"/>
              <w:rPr>
                <w:sz w:val="10"/>
                <w:szCs w:val="10"/>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5"/>
              </w:rPr>
              <w:t>10.60 %</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16,014</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15,916</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16,014</w:t>
            </w: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7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12/31/2024</w:t>
            </w:r>
          </w:p>
        </w:tc>
        <w:tc>
          <w:tcPr>
            <w:tcW w:w="18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Automobiles</w:t>
            </w: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95"/>
              </w:rPr>
              <w:t>12.46 %</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SOFR+740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16,736</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16,722</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15,983</w:t>
            </w: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8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1.50%)</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920,485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906,532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0" w:name="page131"/>
    <w:bookmarkEnd w:id="130"/>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2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3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Par or Number of</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82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68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36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0"/>
                <w:szCs w:val="10"/>
                <w:b w:val="1"/>
                <w:bCs w:val="1"/>
                <w:color w:val="auto"/>
                <w:w w:val="90"/>
              </w:rPr>
              <w:t>Fair Value</w:t>
            </w:r>
            <w:r>
              <w:rPr>
                <w:rFonts w:ascii="Times New Roman" w:cs="Times New Roman" w:eastAsia="Times New Roman" w:hAnsi="Times New Roman"/>
                <w:sz w:val="12"/>
                <w:szCs w:val="12"/>
                <w:b w:val="1"/>
                <w:bCs w:val="1"/>
                <w:color w:val="auto"/>
                <w:w w:val="90"/>
                <w:vertAlign w:val="superscript"/>
              </w:rPr>
              <w:t>(2)</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- 10.5%</w:t>
            </w:r>
          </w:p>
        </w:tc>
        <w:tc>
          <w:tcPr>
            <w:tcW w:w="12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3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Insight Holdings, Inc.</w:t>
            </w:r>
          </w:p>
        </w:tc>
        <w:tc>
          <w:tcPr>
            <w:tcW w:w="1280" w:type="dxa"/>
            <w:vAlign w:val="bottom"/>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Diversified Consumer Services</w:t>
            </w:r>
          </w:p>
        </w:tc>
        <w:tc>
          <w:tcPr>
            <w:tcW w:w="680" w:type="dxa"/>
            <w:vAlign w:val="bottom"/>
          </w:tcPr>
          <w:p>
            <w:pPr>
              <w:spacing w:after="0"/>
              <w:rPr>
                <w:sz w:val="10"/>
                <w:szCs w:val="1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116</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10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128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Hotel, Gaming and Leisure</w:t>
            </w:r>
          </w:p>
        </w:tc>
        <w:tc>
          <w:tcPr>
            <w:tcW w:w="680" w:type="dxa"/>
            <w:vAlign w:val="bottom"/>
            <w:shd w:val="clear" w:color="auto" w:fill="CCECFF"/>
          </w:tcPr>
          <w:p>
            <w:pPr>
              <w:spacing w:after="0"/>
              <w:rPr>
                <w:sz w:val="10"/>
                <w:szCs w:val="10"/>
                <w:color w:val="auto"/>
              </w:rPr>
            </w:pPr>
          </w:p>
        </w:tc>
        <w:tc>
          <w:tcPr>
            <w:tcW w:w="3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74</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100" w:type="dxa"/>
            <w:vAlign w:val="bottom"/>
            <w:shd w:val="clear" w:color="auto" w:fill="CCECFF"/>
          </w:tcPr>
          <w:p>
            <w:pPr>
              <w:spacing w:after="0"/>
              <w:rPr>
                <w:sz w:val="10"/>
                <w:szCs w:val="10"/>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1280" w:type="dxa"/>
            <w:vAlign w:val="bottom"/>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680" w:type="dxa"/>
            <w:vAlign w:val="bottom"/>
          </w:tcPr>
          <w:p>
            <w:pPr>
              <w:spacing w:after="0"/>
              <w:rPr>
                <w:sz w:val="10"/>
                <w:szCs w:val="1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2,710</w:t>
            </w:r>
          </w:p>
        </w:tc>
        <w:tc>
          <w:tcPr>
            <w:tcW w:w="10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128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80" w:type="dxa"/>
            <w:vAlign w:val="bottom"/>
            <w:shd w:val="clear" w:color="auto" w:fill="CCECFF"/>
          </w:tcPr>
          <w:p>
            <w:pPr>
              <w:spacing w:after="0"/>
              <w:rPr>
                <w:sz w:val="10"/>
                <w:szCs w:val="10"/>
                <w:color w:val="auto"/>
              </w:rPr>
            </w:pPr>
          </w:p>
        </w:tc>
        <w:tc>
          <w:tcPr>
            <w:tcW w:w="3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126</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1,104</w:t>
            </w:r>
          </w:p>
        </w:tc>
        <w:tc>
          <w:tcPr>
            <w:tcW w:w="100" w:type="dxa"/>
            <w:vAlign w:val="bottom"/>
            <w:shd w:val="clear" w:color="auto" w:fill="CCECFF"/>
          </w:tcPr>
          <w:p>
            <w:pPr>
              <w:spacing w:after="0"/>
              <w:rPr>
                <w:sz w:val="10"/>
                <w:szCs w:val="10"/>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1280" w:type="dxa"/>
            <w:vAlign w:val="bottom"/>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Wholesale</w:t>
            </w:r>
          </w:p>
        </w:tc>
        <w:tc>
          <w:tcPr>
            <w:tcW w:w="680" w:type="dxa"/>
            <w:vAlign w:val="bottom"/>
          </w:tcPr>
          <w:p>
            <w:pPr>
              <w:spacing w:after="0"/>
              <w:rPr>
                <w:sz w:val="10"/>
                <w:szCs w:val="1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12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3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8,498</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100" w:type="dxa"/>
            <w:vAlign w:val="bottom"/>
            <w:shd w:val="clear" w:color="auto" w:fill="CCECFF"/>
          </w:tcPr>
          <w:p>
            <w:pPr>
              <w:spacing w:after="0"/>
              <w:rPr>
                <w:sz w:val="10"/>
                <w:szCs w:val="10"/>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- 1,415.0%</w:t>
            </w:r>
          </w:p>
        </w:tc>
        <w:tc>
          <w:tcPr>
            <w:tcW w:w="1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928,983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913,281</w:t>
            </w:r>
          </w:p>
        </w:tc>
        <w:tc>
          <w:tcPr>
            <w:tcW w:w="10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- 106.0%</w:t>
            </w:r>
          </w:p>
        </w:tc>
        <w:tc>
          <w:tcPr>
            <w:tcW w:w="12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3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10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2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3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100" w:type="dxa"/>
            <w:vAlign w:val="bottom"/>
            <w:shd w:val="clear" w:color="auto" w:fill="CCECFF"/>
          </w:tcPr>
          <w:p>
            <w:pPr>
              <w:spacing w:after="0"/>
              <w:rPr>
                <w:sz w:val="10"/>
                <w:szCs w:val="10"/>
                <w:color w:val="auto"/>
              </w:rPr>
            </w:pPr>
          </w:p>
        </w:tc>
      </w:tr>
      <w:tr>
        <w:trPr>
          <w:trHeight w:val="120"/>
        </w:trPr>
        <w:tc>
          <w:tcPr>
            <w:tcW w:w="282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—1,521.0%</w:t>
            </w:r>
          </w:p>
        </w:tc>
        <w:tc>
          <w:tcPr>
            <w:tcW w:w="1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981,710</w:t>
            </w:r>
          </w:p>
        </w:tc>
        <w:tc>
          <w:tcPr>
            <w:tcW w:w="100" w:type="dxa"/>
            <w:vAlign w:val="bottom"/>
          </w:tcPr>
          <w:p>
            <w:pPr>
              <w:spacing w:after="0"/>
              <w:rPr>
                <w:sz w:val="10"/>
                <w:szCs w:val="10"/>
                <w:color w:val="auto"/>
              </w:rPr>
            </w:pPr>
          </w:p>
        </w:tc>
      </w:tr>
      <w:tr>
        <w:trPr>
          <w:trHeight w:val="20"/>
        </w:trPr>
        <w:tc>
          <w:tcPr>
            <w:tcW w:w="2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6"/>
        </w:trPr>
        <w:tc>
          <w:tcPr>
            <w:tcW w:w="282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(1,421.0)%</w:t>
            </w:r>
          </w:p>
        </w:tc>
        <w:tc>
          <w:tcPr>
            <w:tcW w:w="1280" w:type="dxa"/>
            <w:vAlign w:val="bottom"/>
            <w:shd w:val="clear" w:color="auto" w:fill="CCECFF"/>
          </w:tcPr>
          <w:p>
            <w:pPr>
              <w:spacing w:after="0"/>
              <w:rPr>
                <w:sz w:val="8"/>
                <w:szCs w:val="8"/>
                <w:color w:val="auto"/>
              </w:rPr>
            </w:pPr>
          </w:p>
        </w:tc>
        <w:tc>
          <w:tcPr>
            <w:tcW w:w="17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(917,163 )</w:t>
            </w:r>
          </w:p>
        </w:tc>
      </w:tr>
      <w:tr>
        <w:trPr>
          <w:trHeight w:val="120"/>
        </w:trPr>
        <w:tc>
          <w:tcPr>
            <w:tcW w:w="282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1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64,547</w:t>
            </w:r>
          </w:p>
        </w:tc>
        <w:tc>
          <w:tcPr>
            <w:tcW w:w="100" w:type="dxa"/>
            <w:vAlign w:val="bottom"/>
          </w:tcPr>
          <w:p>
            <w:pPr>
              <w:spacing w:after="0"/>
              <w:rPr>
                <w:sz w:val="10"/>
                <w:szCs w:val="10"/>
                <w:color w:val="auto"/>
              </w:rPr>
            </w:pPr>
          </w:p>
        </w:tc>
      </w:tr>
      <w:tr>
        <w:trPr>
          <w:trHeight w:val="20"/>
        </w:trPr>
        <w:tc>
          <w:tcPr>
            <w:tcW w:w="2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 w:right="60" w:hanging="2"/>
        <w:spacing w:after="0" w:line="254" w:lineRule="auto"/>
        <w:tabs>
          <w:tab w:leader="none" w:pos="156"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160" w:hanging="142"/>
        <w:spacing w:after="0"/>
        <w:tabs>
          <w:tab w:leader="none" w:pos="16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PSSL’s accounting policy.</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Non-accrual security.</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Partial PIK non-accrual security.</w:t>
      </w:r>
    </w:p>
    <w:p>
      <w:pPr>
        <w:spacing w:after="0" w:line="5" w:lineRule="exact"/>
        <w:rPr>
          <w:rFonts w:ascii="Times New Roman" w:cs="Times New Roman" w:eastAsia="Times New Roman" w:hAnsi="Times New Roman"/>
          <w:sz w:val="10"/>
          <w:szCs w:val="10"/>
          <w:color w:val="auto"/>
        </w:rPr>
      </w:pPr>
    </w:p>
    <w:p>
      <w:pPr>
        <w:ind w:left="20" w:right="240" w:hanging="2"/>
        <w:spacing w:after="0" w:line="250" w:lineRule="auto"/>
        <w:tabs>
          <w:tab w:leader="none" w:pos="156"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ind w:left="160" w:hanging="142"/>
        <w:spacing w:after="0"/>
        <w:tabs>
          <w:tab w:leader="none" w:pos="16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investments are in US Companies unless noted otherwise.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1" w:name="page132"/>
    <w:bookmarkEnd w:id="131"/>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or Number of</w:t>
            </w: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76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40" w:type="dxa"/>
            <w:vAlign w:val="bottom"/>
          </w:tcPr>
          <w:p>
            <w:pPr>
              <w:jc w:val="center"/>
              <w:ind w:right="12"/>
              <w:spacing w:after="0" w:line="120"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60" w:type="dxa"/>
            <w:vAlign w:val="bottom"/>
          </w:tcPr>
          <w:p>
            <w:pPr>
              <w:jc w:val="right"/>
              <w:ind w:right="52"/>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2"/>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- 1,347.5%</w:t>
            </w:r>
          </w:p>
        </w:tc>
        <w:tc>
          <w:tcPr>
            <w:tcW w:w="7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SOFR+660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2,940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$2,886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$2,925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11.65%</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SOFR+626</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8,798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8,723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8,754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12,852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12,535</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12,338</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5/23/2024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5,001</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4,971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 March 2023</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5/23/2024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4,875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4,817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4,814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7/21/2027</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11.59%</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SOFR+585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7,510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7,348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7,360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10.52%</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1,002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7/31/2025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2,187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2,187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2,181</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10.69%</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11,013</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10,972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10,985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SOFR+615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9,579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9,475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9,387</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DDTL Unfunded (3)</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194</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9,218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9,093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9,126</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4,950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4,863</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11.83%</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8,978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9/17/2026</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15,132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14,928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14,905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12/4/2025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11.50%</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SOFR+626</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2,349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2,349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9/26/2029</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Automotive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10.67%</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447</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420</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5/16/2025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12.43%</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SOFR+688</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13,821</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13,778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13,579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Cadence Aerospace, LLC </w:t>
            </w:r>
            <w:r>
              <w:rPr>
                <w:rFonts w:ascii="Times New Roman" w:cs="Times New Roman" w:eastAsia="Times New Roman" w:hAnsi="Times New Roman"/>
                <w:sz w:val="12"/>
                <w:szCs w:val="12"/>
                <w:color w:val="auto"/>
                <w:vertAlign w:val="superscript"/>
              </w:rPr>
              <w:t>(5)</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11/14/2023</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12.07%</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SOFR+665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4,011</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4,010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4,011</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(PIK 2.00%)</w:t>
            </w: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6/14/2028</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11.39%</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9,636</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9,509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9,636</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8/20/2026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11.60%</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SOFR+619</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6,820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6,722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6,684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 Holdings, Inc.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4/10/2025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10.15%</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SOFR+476</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5,499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5,455</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5,499</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Challenger Performance Optimization, Inc. </w:t>
            </w:r>
            <w:r>
              <w:rPr>
                <w:rFonts w:ascii="Times New Roman" w:cs="Times New Roman" w:eastAsia="Times New Roman" w:hAnsi="Times New Roman"/>
                <w:sz w:val="12"/>
                <w:szCs w:val="12"/>
                <w:color w:val="auto"/>
                <w:vertAlign w:val="superscript"/>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12.18%</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SOFR+675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9,232</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9,201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8,955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(PIK 1.00%)</w:t>
            </w:r>
          </w:p>
        </w:tc>
        <w:tc>
          <w:tcPr>
            <w:tcW w:w="8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SOFR+400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6,797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6,559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7/13/2027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11.16%</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SOFR+576</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3,815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3,762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3,681</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SOFR+551</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2,089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2,067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2,079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8/31/2027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SOFR+585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14,712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14,511</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14,712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2,627</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2,418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11/3/2025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14,429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14,376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14,256</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6/30/2024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11.89%</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10,904</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10,838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10,740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8/31/2030</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10.07%</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SOFR+475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5,000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4,985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1/10/2029</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8,955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8,833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8,821</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1/17/2024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11.00%</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2,219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2,200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2,171</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3/15/2027</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SOFR+585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12,675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12,505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12,422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5/29/2029</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11.89%</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12,404</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12,154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6/17/2028</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10.40%</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SOFR+475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10,195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10,143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10,114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3/16/2026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11.96%</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SOFR+660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3,736</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3,724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3,549</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8/10/2027</w:t>
            </w:r>
          </w:p>
        </w:tc>
        <w:tc>
          <w:tcPr>
            <w:tcW w:w="24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10.99%</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2,345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2,316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2"/>
              </w:rPr>
              <w:t>Insurance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10.92%</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SOFR+560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2,250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2,194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SOFR+585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4,913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4,838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11.75%</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3,014</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2,968</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SOFR+535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9,248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9,075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9,110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12.51%</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SOFR+715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16,453</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16,257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16,453</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SOFR+685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6,090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5,979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6,090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Integrated Data Services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11.87%</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18,904</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18,532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18,463</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11,105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11,083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10,439</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(PIK 2.25%)</w:t>
            </w: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8/27/2026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2"/>
              </w:rPr>
              <w:t>Insurance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11.57%</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5,906</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5,851</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5,847</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6/30/2025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12.93%</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SOFR+761</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8,246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8,104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8,080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11.06%</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SOFR+560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3,940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3,886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3,861</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12/20/2023</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SOFR+810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15,509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15,487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15,509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SOFR+615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16,662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16,346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16,412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2/18/2027</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12.13%</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SOFR+675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14,210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13,989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14,068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SOFR+643</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15,042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14,997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14,862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10.70%</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SOFR+535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12,056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11,911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1/31/2030</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11.77%</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2,585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2,534</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5/26/2028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12.39%</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7,481</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7,337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7,369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w:t>
            </w:r>
            <w:r>
              <w:rPr>
                <w:rFonts w:ascii="Times New Roman" w:cs="Times New Roman" w:eastAsia="Times New Roman" w:hAnsi="Times New Roman"/>
                <w:sz w:val="12"/>
                <w:szCs w:val="12"/>
                <w:color w:val="auto"/>
                <w:vertAlign w:val="superscript"/>
              </w:rPr>
              <w:t>(4)</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7/20/2027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84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4,489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4,207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1,182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OpCo DIP Loans </w:t>
            </w:r>
            <w:r>
              <w:rPr>
                <w:rFonts w:ascii="Times New Roman" w:cs="Times New Roman" w:eastAsia="Times New Roman" w:hAnsi="Times New Roman"/>
                <w:sz w:val="12"/>
                <w:szCs w:val="12"/>
                <w:color w:val="auto"/>
                <w:vertAlign w:val="superscript"/>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15.33%</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SOFR+1000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10.99%</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2,097</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1,986</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10.63%</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3,006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(5)</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647</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96"/>
        </w:trPr>
        <w:tc>
          <w:tcPr>
            <w:tcW w:w="302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color w:val="auto"/>
                <w:w w:val="99"/>
              </w:rPr>
              <w:t>Marketplace Events, LLC - Super Priority First Lien Unfunded Term Loan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48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color w:val="auto"/>
              </w:rPr>
              <w:t>589</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77"/>
        </w:trPr>
        <w:tc>
          <w:tcPr>
            <w:tcW w:w="3020" w:type="dxa"/>
            <w:vAlign w:val="bottom"/>
          </w:tcPr>
          <w:p>
            <w:pPr>
              <w:ind w:left="20"/>
              <w:spacing w:after="0"/>
              <w:rPr>
                <w:sz w:val="20"/>
                <w:szCs w:val="20"/>
                <w:color w:val="auto"/>
              </w:rPr>
            </w:pPr>
            <w:r>
              <w:rPr>
                <w:rFonts w:ascii="Times New Roman" w:cs="Times New Roman" w:eastAsia="Times New Roman" w:hAnsi="Times New Roman"/>
                <w:sz w:val="6"/>
                <w:szCs w:val="6"/>
                <w:color w:val="auto"/>
              </w:rPr>
              <w:t>(3)(5)</w:t>
            </w:r>
          </w:p>
        </w:tc>
        <w:tc>
          <w:tcPr>
            <w:tcW w:w="760" w:type="dxa"/>
            <w:vAlign w:val="bottom"/>
            <w:vMerge w:val="continue"/>
          </w:tcPr>
          <w:p>
            <w:pPr>
              <w:spacing w:after="0"/>
              <w:rPr>
                <w:sz w:val="6"/>
                <w:szCs w:val="6"/>
                <w:color w:val="auto"/>
              </w:rPr>
            </w:pPr>
          </w:p>
        </w:tc>
        <w:tc>
          <w:tcPr>
            <w:tcW w:w="248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30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4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0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12"/>
                <w:szCs w:val="12"/>
                <w:color w:val="auto"/>
                <w:vertAlign w:val="superscript"/>
              </w:rPr>
              <w:t>(5)</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9/30/2026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4,837</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3,782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5/14/2026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SOFR+565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11,588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11,476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4/16/2027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SOFR+585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7,859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7,758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7/25/2028</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6,380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6,271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6,244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SOFR+565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2,372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2,336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2,312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3/28/2024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11.29%</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SOFR+515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5,769</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5,763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5,740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9/28/2027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SOFR+565</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3,430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3,380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3,355</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8/19/2026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&amp; Childcare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10.93%</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10,711</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10,572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10,497</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5/9/2029</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2"/>
              </w:rPr>
              <w:t>Insurance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11.97%</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5,042</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4,970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5,042</w:t>
            </w:r>
          </w:p>
        </w:tc>
        <w:tc>
          <w:tcPr>
            <w:tcW w:w="0" w:type="dxa"/>
            <w:vAlign w:val="bottom"/>
          </w:tcPr>
          <w:p>
            <w:pPr>
              <w:spacing w:after="0"/>
              <w:rPr>
                <w:sz w:val="1"/>
                <w:szCs w:val="1"/>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Milani Group LLC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6/6/2024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14,213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14,194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14,213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SOFR+636</w:t>
            </w:r>
          </w:p>
        </w:tc>
        <w:tc>
          <w:tcPr>
            <w:tcW w:w="10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15,849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15,588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15,849</w:t>
            </w:r>
          </w:p>
        </w:tc>
        <w:tc>
          <w:tcPr>
            <w:tcW w:w="0" w:type="dxa"/>
            <w:vAlign w:val="bottom"/>
          </w:tcPr>
          <w:p>
            <w:pPr>
              <w:spacing w:after="0"/>
              <w:rPr>
                <w:sz w:val="1"/>
                <w:szCs w:val="1"/>
                <w:color w:val="auto"/>
              </w:rPr>
            </w:pPr>
          </w:p>
        </w:tc>
      </w:tr>
      <w:tr>
        <w:trPr>
          <w:trHeight w:val="124"/>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SOFR+725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2,223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2,202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2" w:name="page133"/>
    <w:bookmarkEnd w:id="132"/>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Par or Number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2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8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4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00" w:type="dxa"/>
            <w:vAlign w:val="bottom"/>
          </w:tcPr>
          <w:p>
            <w:pPr>
              <w:spacing w:after="0"/>
              <w:rPr>
                <w:sz w:val="10"/>
                <w:szCs w:val="10"/>
                <w:color w:val="auto"/>
              </w:rPr>
            </w:pPr>
          </w:p>
        </w:tc>
        <w:tc>
          <w:tcPr>
            <w:tcW w:w="76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Output Services Group, Inc. </w:t>
            </w:r>
            <w:r>
              <w:rPr>
                <w:rFonts w:ascii="Times New Roman" w:cs="Times New Roman" w:eastAsia="Times New Roman" w:hAnsi="Times New Roman"/>
                <w:sz w:val="12"/>
                <w:szCs w:val="12"/>
                <w:color w:val="auto"/>
                <w:vertAlign w:val="superscript"/>
              </w:rPr>
              <w:t>(4)</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6/27/2026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7,759</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7,689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1,513</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2/4/2028</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10.80%</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3,832</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5/18/2026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Construction and Building</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12.90%</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SOFR+751</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4,345</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4,269</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Peaquod Merger Sub, Inc.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8"/>
              </w:rPr>
              <w:t>12/2/2026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SOFR+640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11,474</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9/29/2025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10.68%</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SOFR+500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9,493</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7,974</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8"/>
              </w:rPr>
              <w:t>11/9/2027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12.42%</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SOFR+710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7,565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7,467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6,809</w:t>
            </w:r>
          </w:p>
        </w:tc>
        <w:tc>
          <w:tcPr>
            <w:tcW w:w="0" w:type="dxa"/>
            <w:vAlign w:val="bottom"/>
          </w:tcPr>
          <w:p>
            <w:pPr>
              <w:spacing w:after="0"/>
              <w:rPr>
                <w:sz w:val="1"/>
                <w:szCs w:val="1"/>
                <w:color w:val="auto"/>
              </w:rPr>
            </w:pPr>
          </w:p>
        </w:tc>
      </w:tr>
      <w:tr>
        <w:trPr>
          <w:trHeight w:val="120"/>
        </w:trPr>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(PIK 4.00%)</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5/8/2026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10.57%</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2,551</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2,491</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7/6/2028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Education</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11,138</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10,999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10,636</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11/19/2026</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SOFR+635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2,803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$2,776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12/18/2025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SOFR+585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1,029</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8"/>
              </w:rPr>
              <w:t>2/28/2028</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SOFR+600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4,938</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4,876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4,740</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1/29/2026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SOFR+700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4,875</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11.13%</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SOFR+576</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12,432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12,322</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10,878</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6/15/2029</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SOFR+625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3,749</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1/3/2025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11.59%</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SOFR+620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9,522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9,474</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9,475</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SOFR+760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5,167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5,148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5,116</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(PIK 1.00%)</w:t>
            </w: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7/14/2025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SOFR+715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11,791</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11,407</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(PIK 0.50%)</w:t>
            </w: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6/13/2029</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SOFR+615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4,802</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12/18/2025</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SOFR+865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13,787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13,579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13,580</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5/17/2028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9.93%</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SOFR+450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1,300</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10/14/2025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9.70%</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SOFR+450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11,739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10,598</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7/17/2025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12.37%</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SOFR+700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4,582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4,563</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3/1/2028</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4,112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4,047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4,022</w:t>
            </w:r>
          </w:p>
        </w:tc>
        <w:tc>
          <w:tcPr>
            <w:tcW w:w="0" w:type="dxa"/>
            <w:vAlign w:val="bottom"/>
          </w:tcPr>
          <w:p>
            <w:pPr>
              <w:spacing w:after="0"/>
              <w:rPr>
                <w:sz w:val="1"/>
                <w:szCs w:val="1"/>
                <w:color w:val="auto"/>
              </w:rPr>
            </w:pPr>
          </w:p>
        </w:tc>
      </w:tr>
      <w:tr>
        <w:trPr>
          <w:trHeight w:val="124"/>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860" w:type="dxa"/>
            <w:vAlign w:val="bottom"/>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6"/>
              </w:rPr>
              <w:t>12/11/2026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Construction and Building</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10.67%</w:t>
            </w: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SOFR+535</w:t>
            </w:r>
          </w:p>
        </w:tc>
        <w:tc>
          <w:tcPr>
            <w:tcW w:w="9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9,075</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9,025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8,894</w:t>
            </w:r>
          </w:p>
        </w:tc>
        <w:tc>
          <w:tcPr>
            <w:tcW w:w="0" w:type="dxa"/>
            <w:vAlign w:val="bottom"/>
          </w:tcPr>
          <w:p>
            <w:pPr>
              <w:spacing w:after="0"/>
              <w:rPr>
                <w:sz w:val="1"/>
                <w:szCs w:val="1"/>
                <w:color w:val="auto"/>
              </w:rPr>
            </w:pPr>
          </w:p>
        </w:tc>
      </w:tr>
      <w:tr>
        <w:trPr>
          <w:trHeight w:val="44"/>
        </w:trPr>
        <w:tc>
          <w:tcPr>
            <w:tcW w:w="29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4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11/24/2028</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10.43%</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SOFR+475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1,779</w:t>
            </w: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8/16/2027</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11.49%</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SOFR+600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14,738</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14,575</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11/24/2028</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10.75%</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SOFR+500</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7/18/2025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SOFR+535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2,262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2,259</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10/31/2025</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SOFR+665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5,602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5,560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5,518</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7/27/2026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12.79%</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SOFR+700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5,403</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5,382</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8"/>
              </w:rPr>
              <w:t>8/31/2027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11.72%</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SOFR+635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7,716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7,591</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7,656</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11/24/2025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10.95%</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8,654</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8,654</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8"/>
              </w:rPr>
              <w:t>6/16/2025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11.80%</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SOFR+625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4,316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4,316</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4/1/2028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SOFR+550</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14,670</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14,565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13,379</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8"/>
              </w:rPr>
              <w:t>6/15/2026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SOFR+665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6,892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3/31/2027</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12.18%</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SOFR+685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3,521</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0" w:type="dxa"/>
            <w:vAlign w:val="bottom"/>
          </w:tcPr>
          <w:p>
            <w:pPr>
              <w:spacing w:after="0"/>
              <w:rPr>
                <w:sz w:val="1"/>
                <w:szCs w:val="1"/>
                <w:color w:val="auto"/>
              </w:rPr>
            </w:pPr>
          </w:p>
        </w:tc>
      </w:tr>
      <w:tr>
        <w:trPr>
          <w:trHeight w:val="121"/>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Revolving Credit</w:t>
            </w:r>
          </w:p>
        </w:tc>
        <w:tc>
          <w:tcPr>
            <w:tcW w:w="86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Facility </w:t>
            </w:r>
            <w:r>
              <w:rPr>
                <w:rFonts w:ascii="Times New Roman" w:cs="Times New Roman" w:eastAsia="Times New Roman" w:hAnsi="Times New Roman"/>
                <w:sz w:val="12"/>
                <w:szCs w:val="12"/>
                <w:color w:val="auto"/>
                <w:vertAlign w:val="superscript"/>
              </w:rPr>
              <w:t>(5)</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8"/>
              </w:rPr>
              <w:t>3/31/2027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SOFR+635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(3)(5)</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8"/>
              </w:rPr>
              <w:t>3/31/2027</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333</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8"/>
              </w:rPr>
              <w:t>2/27/2026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10.54%</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SOFR+515</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10,565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10,491</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10,460</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3/1/2024</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Automobiles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12.67%</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SOFR+735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16,732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16,188</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801,215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783,598</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- 3.9%</w:t>
            </w:r>
          </w:p>
        </w:tc>
        <w:tc>
          <w:tcPr>
            <w:tcW w:w="86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79"/>
              </w:rPr>
              <w:t>—</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1,766</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- 1,351.4%</w:t>
            </w:r>
          </w:p>
        </w:tc>
        <w:tc>
          <w:tcPr>
            <w:tcW w:w="86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804,608</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785,859</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- 133.2%</w:t>
            </w:r>
          </w:p>
        </w:tc>
        <w:tc>
          <w:tcPr>
            <w:tcW w:w="8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6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0" w:type="dxa"/>
            <w:vAlign w:val="bottom"/>
          </w:tcPr>
          <w:p>
            <w:pPr>
              <w:spacing w:after="0"/>
              <w:rPr>
                <w:sz w:val="1"/>
                <w:szCs w:val="1"/>
                <w:color w:val="auto"/>
              </w:rPr>
            </w:pPr>
          </w:p>
        </w:tc>
      </w:tr>
      <w:tr>
        <w:trPr>
          <w:trHeight w:val="12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0" w:type="dxa"/>
            <w:vAlign w:val="bottom"/>
          </w:tcPr>
          <w:p>
            <w:pPr>
              <w:spacing w:after="0"/>
              <w:rPr>
                <w:sz w:val="1"/>
                <w:szCs w:val="1"/>
                <w:color w:val="auto"/>
              </w:rPr>
            </w:pPr>
          </w:p>
        </w:tc>
      </w:tr>
      <w:tr>
        <w:trPr>
          <w:trHeight w:val="160"/>
        </w:trPr>
        <w:tc>
          <w:tcPr>
            <w:tcW w:w="292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—1,484.6%</w:t>
            </w:r>
          </w:p>
        </w:tc>
        <w:tc>
          <w:tcPr>
            <w:tcW w:w="860" w:type="dxa"/>
            <w:vAlign w:val="bottom"/>
            <w:tcBorders>
              <w:bottom w:val="single" w:sz="8" w:color="CCECFF"/>
            </w:tcBorders>
            <w:shd w:val="clear" w:color="auto" w:fill="CCECFF"/>
          </w:tcPr>
          <w:p>
            <w:pPr>
              <w:spacing w:after="0"/>
              <w:rPr>
                <w:sz w:val="13"/>
                <w:szCs w:val="13"/>
                <w:color w:val="auto"/>
              </w:rPr>
            </w:pPr>
          </w:p>
        </w:tc>
        <w:tc>
          <w:tcPr>
            <w:tcW w:w="2480" w:type="dxa"/>
            <w:vAlign w:val="bottom"/>
            <w:tcBorders>
              <w:bottom w:val="single" w:sz="8" w:color="CCECFF"/>
            </w:tcBorders>
            <w:shd w:val="clear" w:color="auto" w:fill="CCECFF"/>
          </w:tcPr>
          <w:p>
            <w:pPr>
              <w:spacing w:after="0"/>
              <w:rPr>
                <w:sz w:val="13"/>
                <w:szCs w:val="13"/>
                <w:color w:val="auto"/>
              </w:rPr>
            </w:pPr>
          </w:p>
        </w:tc>
        <w:tc>
          <w:tcPr>
            <w:tcW w:w="90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$882,054</w:t>
            </w:r>
          </w:p>
        </w:tc>
        <w:tc>
          <w:tcPr>
            <w:tcW w:w="10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$863,305</w:t>
            </w:r>
          </w:p>
        </w:tc>
        <w:tc>
          <w:tcPr>
            <w:tcW w:w="0" w:type="dxa"/>
            <w:vAlign w:val="bottom"/>
          </w:tcPr>
          <w:p>
            <w:pPr>
              <w:spacing w:after="0"/>
              <w:rPr>
                <w:sz w:val="1"/>
                <w:szCs w:val="1"/>
                <w:color w:val="auto"/>
              </w:rPr>
            </w:pPr>
          </w:p>
        </w:tc>
      </w:tr>
      <w:tr>
        <w:trPr>
          <w:trHeight w:val="96"/>
        </w:trPr>
        <w:tc>
          <w:tcPr>
            <w:tcW w:w="292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(1,384.6)%</w:t>
            </w:r>
          </w:p>
        </w:tc>
        <w:tc>
          <w:tcPr>
            <w:tcW w:w="8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color w:val="auto"/>
              </w:rPr>
              <w:t>(805,155)</w:t>
            </w:r>
          </w:p>
        </w:tc>
        <w:tc>
          <w:tcPr>
            <w:tcW w:w="0" w:type="dxa"/>
            <w:vAlign w:val="bottom"/>
          </w:tcPr>
          <w:p>
            <w:pPr>
              <w:spacing w:after="0"/>
              <w:rPr>
                <w:sz w:val="1"/>
                <w:szCs w:val="1"/>
                <w:color w:val="auto"/>
              </w:rPr>
            </w:pPr>
          </w:p>
        </w:tc>
      </w:tr>
      <w:tr>
        <w:trPr>
          <w:trHeight w:val="160"/>
        </w:trPr>
        <w:tc>
          <w:tcPr>
            <w:tcW w:w="292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60" w:type="dxa"/>
            <w:vAlign w:val="bottom"/>
            <w:tcBorders>
              <w:bottom w:val="single" w:sz="8" w:color="CCECFF"/>
            </w:tcBorders>
            <w:shd w:val="clear" w:color="auto" w:fill="CCECFF"/>
          </w:tcPr>
          <w:p>
            <w:pPr>
              <w:spacing w:after="0"/>
              <w:rPr>
                <w:sz w:val="13"/>
                <w:szCs w:val="13"/>
                <w:color w:val="auto"/>
              </w:rPr>
            </w:pPr>
          </w:p>
        </w:tc>
        <w:tc>
          <w:tcPr>
            <w:tcW w:w="2480" w:type="dxa"/>
            <w:vAlign w:val="bottom"/>
            <w:tcBorders>
              <w:bottom w:val="single" w:sz="8" w:color="CCECFF"/>
            </w:tcBorders>
            <w:shd w:val="clear" w:color="auto" w:fill="CCECFF"/>
          </w:tcPr>
          <w:p>
            <w:pPr>
              <w:spacing w:after="0"/>
              <w:rPr>
                <w:sz w:val="13"/>
                <w:szCs w:val="13"/>
                <w:color w:val="auto"/>
              </w:rPr>
            </w:pPr>
          </w:p>
        </w:tc>
        <w:tc>
          <w:tcPr>
            <w:tcW w:w="90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7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$58,150</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20" w:right="60" w:hanging="2"/>
        <w:spacing w:after="0" w:line="254" w:lineRule="auto"/>
        <w:tabs>
          <w:tab w:leader="none" w:pos="156"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160" w:hanging="142"/>
        <w:spacing w:after="0"/>
        <w:tabs>
          <w:tab w:leader="none" w:pos="16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PSSL’s accounting policy.</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Non-accrual security.</w:t>
      </w:r>
    </w:p>
    <w:p>
      <w:pPr>
        <w:spacing w:after="0" w:line="5" w:lineRule="exact"/>
        <w:rPr>
          <w:rFonts w:ascii="Times New Roman" w:cs="Times New Roman" w:eastAsia="Times New Roman" w:hAnsi="Times New Roman"/>
          <w:sz w:val="10"/>
          <w:szCs w:val="10"/>
          <w:color w:val="auto"/>
        </w:rPr>
      </w:pPr>
    </w:p>
    <w:p>
      <w:pPr>
        <w:ind w:left="20" w:right="300" w:hanging="2"/>
        <w:spacing w:after="0" w:line="250" w:lineRule="auto"/>
        <w:tabs>
          <w:tab w:leader="none" w:pos="156"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2032 Asset-Backed Debt and held through PennantPark CLO II, Ltd., or, 3) securing the 2035 Asset-Backed Debt and held through PennantPark CLO VI, LLC.</w:t>
      </w:r>
    </w:p>
    <w:p>
      <w:pPr>
        <w:ind w:left="160" w:hanging="142"/>
        <w:spacing w:after="0"/>
        <w:tabs>
          <w:tab w:leader="none" w:pos="16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investments are in US Companies unless noted otherwise.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1.ORGANIZATION</w:t>
      </w:r>
    </w:p>
    <w:p>
      <w:pPr>
        <w:spacing w:after="0" w:line="178"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PennantPark Senior Secured Loan Fund I LLC ("PSSL"), is organized as a Delaware limited liability company and commenced operations in May 2017. PSSL is a joint venture between PennantPark Floating Rate Capital Ltd. ("PFLT") and Trinity Universal Insurance Company, a subsidiary of Kemper Corporation (NYSE: KMPR), ("Kemper"). In this report, except where the context suggests otherwise, the terms “Company,” “we,” “our,” or “us” refer to PSSL and its consolidated subsidiary.</w:t>
      </w:r>
    </w:p>
    <w:p>
      <w:pPr>
        <w:spacing w:after="0" w:line="155"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The Company's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the Secured Overnight Financing Rate ("SOFR"), with or without a floor, plus a fixed spread.</w:t>
      </w:r>
    </w:p>
    <w:p>
      <w:pPr>
        <w:spacing w:after="0" w:line="155" w:lineRule="exact"/>
        <w:rPr>
          <w:sz w:val="20"/>
          <w:szCs w:val="20"/>
          <w:color w:val="auto"/>
        </w:rPr>
      </w:pPr>
    </w:p>
    <w:p>
      <w:pPr>
        <w:ind w:right="160" w:firstLine="348"/>
        <w:spacing w:after="0" w:line="289" w:lineRule="auto"/>
        <w:rPr>
          <w:sz w:val="20"/>
          <w:szCs w:val="20"/>
          <w:color w:val="auto"/>
        </w:rPr>
      </w:pPr>
      <w:r>
        <w:rPr>
          <w:rFonts w:ascii="Times New Roman" w:cs="Times New Roman" w:eastAsia="Times New Roman" w:hAnsi="Times New Roman"/>
          <w:sz w:val="14"/>
          <w:szCs w:val="14"/>
          <w:color w:val="auto"/>
        </w:rPr>
        <w:t>PFLT and Kemper (individually a "Member" and collectively the "Members") provide capital to PSSL in the form of notes and equity interests. As of September 30, 2024 and 2023, PFLT and Kemper owned 87.5% and 12.5%, respectively, of each of the outstanding notes and equity interests. The administrative agent of the Company is PennantPark Investment Administration, LLC, (the "Administrative Agent"). The Bank of New York Mellon Corporation, or the Sub-Administrator, provides certain services to the Administrative Agent with respect to certain accounting matters and has the responsibility for the official books and records.</w:t>
      </w:r>
    </w:p>
    <w:p>
      <w:pPr>
        <w:spacing w:after="0" w:line="125" w:lineRule="exact"/>
        <w:rPr>
          <w:sz w:val="20"/>
          <w:szCs w:val="20"/>
          <w:color w:val="auto"/>
        </w:rPr>
      </w:pPr>
    </w:p>
    <w:p>
      <w:pPr>
        <w:ind w:right="60" w:firstLine="348"/>
        <w:spacing w:after="0" w:line="239" w:lineRule="auto"/>
        <w:rPr>
          <w:sz w:val="20"/>
          <w:szCs w:val="20"/>
          <w:color w:val="auto"/>
        </w:rPr>
      </w:pPr>
      <w:r>
        <w:rPr>
          <w:rFonts w:ascii="Times New Roman" w:cs="Times New Roman" w:eastAsia="Times New Roman" w:hAnsi="Times New Roman"/>
          <w:sz w:val="16"/>
          <w:szCs w:val="16"/>
          <w:color w:val="auto"/>
        </w:rPr>
        <w:t>PFLT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of the Members;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of the Members.</w:t>
      </w:r>
    </w:p>
    <w:p>
      <w:pPr>
        <w:spacing w:after="0" w:line="158" w:lineRule="exact"/>
        <w:rPr>
          <w:sz w:val="20"/>
          <w:szCs w:val="20"/>
          <w:color w:val="auto"/>
        </w:rPr>
      </w:pPr>
    </w:p>
    <w:p>
      <w:pPr>
        <w:ind w:right="60" w:firstLine="348"/>
        <w:spacing w:after="0" w:line="259" w:lineRule="auto"/>
        <w:rPr>
          <w:sz w:val="20"/>
          <w:szCs w:val="20"/>
          <w:color w:val="auto"/>
        </w:rPr>
      </w:pPr>
      <w:r>
        <w:rPr>
          <w:rFonts w:ascii="Times New Roman" w:cs="Times New Roman" w:eastAsia="Times New Roman" w:hAnsi="Times New Roman"/>
          <w:sz w:val="16"/>
          <w:szCs w:val="16"/>
          <w:color w:val="auto"/>
        </w:rPr>
        <w:t>Pennant Park Senior Secured Loan Facility II, LLC ("PSSL II"), a wholly-owned subsidiary of PSSL, was formed in January 2021 for the purpose of entering into a senior secured revolving credit facility with Ally Bank (see Note 10).</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PennantPark CLO II, Ltd. ("CLO II") is a wholly-owned subsidiary and was formed in January 2021 for the purpose of executing a debt securitization (See Note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PennantPark CLO VI, LLC ("CLO VI") is a wholly-owned subsidiary and was formed in April 2023 for the purpose of executing a debt securitization (See Note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2. SIGNIFICANT ACCOUNTING POLICIES</w:t>
      </w:r>
    </w:p>
    <w:p>
      <w:pPr>
        <w:spacing w:after="0" w:line="178"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PSSL is considered an investment company under U.S. generally accepted accounting principles ("GAAP") and follows the accounting and reporting guidance applicable to investment companies in the Financial Accounting Standards Board Accounting Standards Codification Topic 946. References to the Accounting Standards Codification, as amended ("ASC"), serves as a source of accounting literature. Subsequent events are evaluated and recognized or disclosed as appropriate for events occurring through the date the consolidated financial statements are available to be issued. The preparation of our consolidated financial statements in conformity with GAAP requires the Company to make estimates and assumptions that affect the reported amount of our assets and liabilities at the date of the consolidated financial statements and the reported amounts of income and expenses during the reported periods. In the opinion of the Company,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significant accounting policies consistently applied are as follows: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(a) Investment Valuations</w:t>
      </w:r>
    </w:p>
    <w:p>
      <w:pPr>
        <w:spacing w:after="0" w:line="180"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in determining our valuation. Due to the inherent uncertainty of determining the fair value of investments that do not have a readily available market value, the price used in an actual transaction may be different than our valuation and the difference may be material. See Note 4.</w:t>
      </w:r>
    </w:p>
    <w:p>
      <w:pPr>
        <w:spacing w:after="0" w:line="161" w:lineRule="exact"/>
        <w:rPr>
          <w:sz w:val="20"/>
          <w:szCs w:val="20"/>
          <w:color w:val="auto"/>
        </w:rPr>
      </w:pPr>
    </w:p>
    <w:p>
      <w:pPr>
        <w:ind w:right="260" w:firstLine="420"/>
        <w:spacing w:after="0" w:line="247" w:lineRule="auto"/>
        <w:rPr>
          <w:sz w:val="20"/>
          <w:szCs w:val="20"/>
          <w:color w:val="auto"/>
        </w:rPr>
      </w:pPr>
      <w:r>
        <w:rPr>
          <w:rFonts w:ascii="Times New Roman" w:cs="Times New Roman" w:eastAsia="Times New Roman" w:hAnsi="Times New Roman"/>
          <w:sz w:val="16"/>
          <w:szCs w:val="16"/>
          <w:color w:val="auto"/>
        </w:rPr>
        <w:t>Our portfolio generally consists of illiquid securities, including debt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52" w:lineRule="exact"/>
        <w:rPr>
          <w:sz w:val="20"/>
          <w:szCs w:val="20"/>
          <w:color w:val="auto"/>
        </w:rPr>
      </w:pPr>
    </w:p>
    <w:p>
      <w:pPr>
        <w:ind w:left="540" w:right="320"/>
        <w:spacing w:after="0" w:line="259" w:lineRule="auto"/>
        <w:rPr>
          <w:sz w:val="20"/>
          <w:szCs w:val="20"/>
          <w:color w:val="auto"/>
        </w:rPr>
      </w:pPr>
      <w:r>
        <w:rPr>
          <w:rFonts w:ascii="Times New Roman" w:cs="Times New Roman" w:eastAsia="Times New Roman" w:hAnsi="Times New Roman"/>
          <w:sz w:val="16"/>
          <w:szCs w:val="16"/>
          <w:color w:val="auto"/>
        </w:rPr>
        <w:t>(1)Our quarterly valuation process begins with each portfolio company or investment being initially valued by the investment professionals of PennantPark Investment Advisers, LLC, the investment adviser to PFLT, responsible for the portfolio investment;</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(2)Preliminary valuation conclusions are then documented and discussed with the management of PennantPark Investment Advisers, LLC;</w:t>
      </w:r>
    </w:p>
    <w:p>
      <w:pPr>
        <w:spacing w:after="0" w:line="176" w:lineRule="exact"/>
        <w:rPr>
          <w:sz w:val="20"/>
          <w:szCs w:val="20"/>
          <w:color w:val="auto"/>
        </w:rPr>
      </w:pPr>
    </w:p>
    <w:p>
      <w:pPr>
        <w:ind w:left="540" w:right="200"/>
        <w:spacing w:after="0" w:line="243" w:lineRule="auto"/>
        <w:rPr>
          <w:sz w:val="20"/>
          <w:szCs w:val="20"/>
          <w:color w:val="auto"/>
        </w:rPr>
      </w:pPr>
      <w:r>
        <w:rPr>
          <w:rFonts w:ascii="Times New Roman" w:cs="Times New Roman" w:eastAsia="Times New Roman" w:hAnsi="Times New Roman"/>
          <w:sz w:val="16"/>
          <w:szCs w:val="16"/>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55" w:lineRule="exact"/>
        <w:rPr>
          <w:sz w:val="20"/>
          <w:szCs w:val="20"/>
          <w:color w:val="auto"/>
        </w:rPr>
      </w:pPr>
    </w:p>
    <w:p>
      <w:pPr>
        <w:ind w:left="540" w:right="440"/>
        <w:spacing w:after="0" w:line="247" w:lineRule="auto"/>
        <w:rPr>
          <w:sz w:val="20"/>
          <w:szCs w:val="20"/>
          <w:color w:val="auto"/>
        </w:rPr>
      </w:pPr>
      <w:r>
        <w:rPr>
          <w:rFonts w:ascii="Times New Roman" w:cs="Times New Roman" w:eastAsia="Times New Roman" w:hAnsi="Times New Roman"/>
          <w:sz w:val="16"/>
          <w:szCs w:val="16"/>
          <w:color w:val="auto"/>
        </w:rPr>
        <w:t>(4)Our board of directors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52" w:lineRule="exact"/>
        <w:rPr>
          <w:sz w:val="20"/>
          <w:szCs w:val="20"/>
          <w:color w:val="auto"/>
        </w:rPr>
      </w:pPr>
    </w:p>
    <w:p>
      <w:pPr>
        <w:ind w:left="540" w:right="580"/>
        <w:spacing w:after="0" w:line="259" w:lineRule="auto"/>
        <w:rPr>
          <w:sz w:val="20"/>
          <w:szCs w:val="20"/>
          <w:color w:val="auto"/>
        </w:rPr>
      </w:pPr>
      <w:r>
        <w:rPr>
          <w:rFonts w:ascii="Times New Roman" w:cs="Times New Roman" w:eastAsia="Times New Roman" w:hAnsi="Times New Roman"/>
          <w:sz w:val="16"/>
          <w:szCs w:val="16"/>
          <w:color w:val="auto"/>
        </w:rPr>
        <w:t>(5)Our board of directors assesses these valuations and determines the fair value of each investment in our portfolio in good faith, based on the input of PennantPark Investment Advisers, LLC and the respective independent valuation firms.</w:t>
      </w:r>
    </w:p>
    <w:p>
      <w:pPr>
        <w:spacing w:after="0" w:line="143" w:lineRule="exact"/>
        <w:rPr>
          <w:sz w:val="20"/>
          <w:szCs w:val="20"/>
          <w:color w:val="auto"/>
        </w:rPr>
      </w:pPr>
    </w:p>
    <w:p>
      <w:pPr>
        <w:ind w:right="80" w:firstLine="420"/>
        <w:spacing w:after="0" w:line="241" w:lineRule="auto"/>
        <w:rPr>
          <w:sz w:val="20"/>
          <w:szCs w:val="20"/>
          <w:color w:val="auto"/>
        </w:rPr>
      </w:pPr>
      <w:r>
        <w:rPr>
          <w:rFonts w:ascii="Times New Roman" w:cs="Times New Roman" w:eastAsia="Times New Roman" w:hAnsi="Times New Roman"/>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PennantPark Investment Advisers, LLC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(b) Security Transactions, Revenue Recognition, and Realized/Unrealized Gains or Losses</w:t>
      </w:r>
    </w:p>
    <w:p>
      <w:pPr>
        <w:spacing w:after="0" w:line="180" w:lineRule="exact"/>
        <w:rPr>
          <w:sz w:val="20"/>
          <w:szCs w:val="20"/>
          <w:color w:val="auto"/>
        </w:rPr>
      </w:pPr>
    </w:p>
    <w:p>
      <w:pPr>
        <w:ind w:right="40" w:firstLine="420"/>
        <w:spacing w:after="0" w:line="239" w:lineRule="auto"/>
        <w:rPr>
          <w:sz w:val="20"/>
          <w:szCs w:val="20"/>
          <w:color w:val="auto"/>
        </w:rPr>
      </w:pPr>
      <w:r>
        <w:rPr>
          <w:rFonts w:ascii="Times New Roman" w:cs="Times New Roman" w:eastAsia="Times New Roman" w:hAnsi="Times New Roman"/>
          <w:sz w:val="16"/>
          <w:szCs w:val="16"/>
          <w:color w:val="auto"/>
        </w:rPr>
        <w:t>Security transactions are recorded on a trade date basis. 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5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52" w:lineRule="exact"/>
        <w:rPr>
          <w:sz w:val="20"/>
          <w:szCs w:val="20"/>
          <w:color w:val="auto"/>
        </w:rPr>
      </w:pPr>
    </w:p>
    <w:p>
      <w:pPr>
        <w:ind w:right="100" w:firstLine="420"/>
        <w:spacing w:after="0" w:line="239" w:lineRule="auto"/>
        <w:rPr>
          <w:sz w:val="20"/>
          <w:szCs w:val="20"/>
          <w:color w:val="auto"/>
        </w:rPr>
      </w:pPr>
      <w:r>
        <w:rPr>
          <w:rFonts w:ascii="Times New Roman" w:cs="Times New Roman" w:eastAsia="Times New Roman" w:hAnsi="Times New Roman"/>
          <w:sz w:val="16"/>
          <w:szCs w:val="16"/>
          <w:color w:val="auto"/>
        </w:rPr>
        <w:t>Loans are placed on non-accrual status when principal or interest payments are past due 30 days or more and/or if there is reasonable doubt that principal or interest will be collected. Accrued interest receivable is generally reversed when a loan is placed on non-accrual status. Interest payments received on non-accrual loans may be recognized as income or applied to principal depending upon the Company’ judgment. Non-accrual loans are restored to accrual status when past due principal and interest is paid and, in the Company’ judgment, are likely to remain current. As of September 30, 2024, we had two portfolio companies on non-accrual, representing 2.0% and 1.0% of our overall portfolio on a cost and fair value basis. As of September 30, 2023, we had two portfolio companies on non-accrual, representing 1.5% and 0.3% of our overall portfolio on a cost and fair value basis.</w:t>
      </w:r>
    </w:p>
    <w:p>
      <w:pPr>
        <w:spacing w:after="0" w:line="161" w:lineRule="exact"/>
        <w:rPr>
          <w:sz w:val="20"/>
          <w:szCs w:val="20"/>
          <w:color w:val="auto"/>
        </w:rPr>
      </w:pPr>
    </w:p>
    <w:p>
      <w:pPr>
        <w:jc w:val="both"/>
        <w:ind w:firstLine="420"/>
        <w:spacing w:after="0" w:line="243" w:lineRule="auto"/>
        <w:rPr>
          <w:sz w:val="20"/>
          <w:szCs w:val="20"/>
          <w:color w:val="auto"/>
        </w:rPr>
      </w:pPr>
      <w:r>
        <w:rPr>
          <w:rFonts w:ascii="Times New Roman" w:cs="Times New Roman" w:eastAsia="Times New Roman" w:hAnsi="Times New Roman"/>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 Income Taxes</w:t>
      </w:r>
    </w:p>
    <w:p>
      <w:pPr>
        <w:spacing w:after="0" w:line="180"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6"/>
          <w:szCs w:val="16"/>
          <w:color w:val="auto"/>
        </w:rPr>
        <w:t>PSSL is classified as a partnership for U.S. federal income tax purposes and is not subject to U.S. federal income tax. Accordingly, no provisions for U.S. income taxes have been made. The Members are responsible for reporting their share of the PSSL’s income or loss on their U.S. income tax returns.</w:t>
      </w:r>
    </w:p>
    <w:p>
      <w:pPr>
        <w:spacing w:after="0" w:line="143" w:lineRule="exact"/>
        <w:rPr>
          <w:sz w:val="20"/>
          <w:szCs w:val="20"/>
          <w:color w:val="auto"/>
        </w:rPr>
      </w:pPr>
    </w:p>
    <w:p>
      <w:pPr>
        <w:ind w:right="100" w:firstLine="420"/>
        <w:spacing w:after="0" w:line="243" w:lineRule="auto"/>
        <w:rPr>
          <w:sz w:val="20"/>
          <w:szCs w:val="20"/>
          <w:color w:val="auto"/>
        </w:rPr>
      </w:pPr>
      <w:r>
        <w:rPr>
          <w:rFonts w:ascii="Times New Roman" w:cs="Times New Roman" w:eastAsia="Times New Roman" w:hAnsi="Times New Roman"/>
          <w:sz w:val="16"/>
          <w:szCs w:val="16"/>
          <w:color w:val="auto"/>
        </w:rPr>
        <w:t>In accordance with FASB ASC Topic 740, the Company is required to determine whether a tax position of PSSL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PSSL recording a tax liability that would reduce members’ capital.</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As of and for the years ended September 30, 2024 and 2023, management has determined that there were no material uncertain income tax positions.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(d) Foreign Currency Translation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Our books and records are maintained in U.S. dollars. Any foreign currency amounts are translated into U.S. dollars on the following basis: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1.Fair value of investment securities, other assets and liabilities – at the exchange rates prevailing at the end of the applicable period; and</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2.Purchases and sales of investment securities, income and expenses – at the exchange rates prevailing on the respective dates of such transactions.</w:t>
      </w:r>
    </w:p>
    <w:p>
      <w:pPr>
        <w:spacing w:after="0" w:line="176" w:lineRule="exact"/>
        <w:rPr>
          <w:sz w:val="20"/>
          <w:szCs w:val="20"/>
          <w:color w:val="auto"/>
        </w:rPr>
      </w:pPr>
    </w:p>
    <w:p>
      <w:pPr>
        <w:ind w:right="300" w:firstLine="420"/>
        <w:spacing w:after="0" w:line="247" w:lineRule="auto"/>
        <w:rPr>
          <w:sz w:val="20"/>
          <w:szCs w:val="20"/>
          <w:color w:val="auto"/>
        </w:rPr>
      </w:pPr>
      <w:r>
        <w:rPr>
          <w:rFonts w:ascii="Times New Roman" w:cs="Times New Roman" w:eastAsia="Times New Roman" w:hAnsi="Times New Roman"/>
          <w:sz w:val="16"/>
          <w:szCs w:val="16"/>
          <w:color w:val="auto"/>
        </w:rPr>
        <w:t>Although Members’ capital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w:t>
      </w:r>
    </w:p>
    <w:p>
      <w:pPr>
        <w:spacing w:after="0" w:line="152" w:lineRule="exact"/>
        <w:rPr>
          <w:sz w:val="20"/>
          <w:szCs w:val="20"/>
          <w:color w:val="auto"/>
        </w:rPr>
      </w:pPr>
    </w:p>
    <w:p>
      <w:pPr>
        <w:ind w:right="480" w:firstLine="420"/>
        <w:spacing w:after="0" w:line="243" w:lineRule="auto"/>
        <w:rPr>
          <w:sz w:val="20"/>
          <w:szCs w:val="20"/>
          <w:color w:val="auto"/>
        </w:rPr>
      </w:pPr>
      <w:r>
        <w:rPr>
          <w:rFonts w:ascii="Times New Roman" w:cs="Times New Roman" w:eastAsia="Times New Roman" w:hAnsi="Times New Roman"/>
          <w:sz w:val="16"/>
          <w:szCs w:val="16"/>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3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(e) Consolidation</w:t>
      </w:r>
    </w:p>
    <w:p>
      <w:pPr>
        <w:spacing w:after="0" w:line="180"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6"/>
          <w:szCs w:val="16"/>
          <w:color w:val="auto"/>
        </w:rPr>
        <w:t>As explained by ASC paragraph 946-810-45, PSSL will generally not consolidate its investment in a company other than an investment company subsidiary or a controlled operating company whose business consists of providing services to us.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(f) Recent Accounting Pronouncements</w:t>
      </w:r>
    </w:p>
    <w:p>
      <w:pPr>
        <w:spacing w:after="0" w:line="180" w:lineRule="exact"/>
        <w:rPr>
          <w:sz w:val="20"/>
          <w:szCs w:val="20"/>
          <w:color w:val="auto"/>
        </w:rPr>
      </w:pPr>
    </w:p>
    <w:p>
      <w:pPr>
        <w:ind w:firstLine="420"/>
        <w:spacing w:after="0" w:line="239" w:lineRule="auto"/>
        <w:rPr>
          <w:sz w:val="20"/>
          <w:szCs w:val="20"/>
          <w:color w:val="auto"/>
        </w:rPr>
      </w:pPr>
      <w:r>
        <w:rPr>
          <w:rFonts w:ascii="Times New Roman" w:cs="Times New Roman" w:eastAsia="Times New Roman" w:hAnsi="Times New Roman"/>
          <w:sz w:val="16"/>
          <w:szCs w:val="16"/>
          <w:color w:val="auto"/>
        </w:rPr>
        <w:t>In March 2020, the FASB issued Accounting Standards Update, or ASU, No. 2020 -04, “Reference Rate Reform (Topic 848): Facilitation of the Effects of Reference Rate Reform on Financial Reporting” or ASU 2020-04.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 ended September 30, 2023, the effect of which was not material to the consolidated financial statements and the notes thereto.</w:t>
      </w:r>
    </w:p>
    <w:p>
      <w:pPr>
        <w:spacing w:after="0" w:line="161" w:lineRule="exact"/>
        <w:rPr>
          <w:sz w:val="20"/>
          <w:szCs w:val="20"/>
          <w:color w:val="auto"/>
        </w:rPr>
      </w:pPr>
    </w:p>
    <w:p>
      <w:pPr>
        <w:ind w:right="60" w:firstLine="420"/>
        <w:spacing w:after="0" w:line="239" w:lineRule="auto"/>
        <w:rPr>
          <w:sz w:val="20"/>
          <w:szCs w:val="20"/>
          <w:color w:val="auto"/>
        </w:rPr>
      </w:pPr>
      <w:r>
        <w:rPr>
          <w:rFonts w:ascii="Times New Roman" w:cs="Times New Roman" w:eastAsia="Times New Roman" w:hAnsi="Times New Roman"/>
          <w:sz w:val="16"/>
          <w:szCs w:val="16"/>
          <w:color w:val="auto"/>
        </w:rPr>
        <w:t>In June 2022, the FASB issued Accounting Standards Update No. 2022- 03,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AGREEMENTS AND RELATED PARTY TRANSACTIONS</w:t>
      </w:r>
    </w:p>
    <w:p>
      <w:pPr>
        <w:spacing w:after="0" w:line="178" w:lineRule="exact"/>
        <w:rPr>
          <w:sz w:val="20"/>
          <w:szCs w:val="20"/>
          <w:color w:val="auto"/>
        </w:rPr>
      </w:pPr>
    </w:p>
    <w:p>
      <w:pPr>
        <w:ind w:right="380" w:firstLine="432"/>
        <w:spacing w:after="0" w:line="259" w:lineRule="auto"/>
        <w:rPr>
          <w:sz w:val="20"/>
          <w:szCs w:val="20"/>
          <w:color w:val="auto"/>
        </w:rPr>
      </w:pPr>
      <w:r>
        <w:rPr>
          <w:rFonts w:ascii="Times New Roman" w:cs="Times New Roman" w:eastAsia="Times New Roman" w:hAnsi="Times New Roman"/>
          <w:sz w:val="16"/>
          <w:szCs w:val="16"/>
          <w:color w:val="auto"/>
        </w:rPr>
        <w:t>On June 10, 2022, the Company issued a capital call to PFLT totaling $28.4 million consisting of Member notes of $ 19.9 million and equity interest of $8.5 million. PFLT fulfilled the capital call by contributing $28.0 million of securities and $0.4 million in cash to the Company.</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For the years ended September 30, 2024 and 2023, PSSL purchased $253.6 million and $158.2 million, in investments from PFLT, respectively.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September 30, 2024 and 2023, PSSL had a receivable from PFLT of none and and $0.4 million, respectively,</w:t>
      </w:r>
    </w:p>
    <w:p>
      <w:pPr>
        <w:spacing w:after="0" w:line="14" w:lineRule="exact"/>
        <w:rPr>
          <w:sz w:val="20"/>
          <w:szCs w:val="20"/>
          <w:color w:val="auto"/>
        </w:rPr>
      </w:pPr>
    </w:p>
    <w:p>
      <w:pPr>
        <w:jc w:val="both"/>
        <w:ind w:right="120"/>
        <w:spacing w:after="0" w:line="237" w:lineRule="auto"/>
        <w:rPr>
          <w:sz w:val="20"/>
          <w:szCs w:val="20"/>
          <w:color w:val="auto"/>
        </w:rPr>
      </w:pPr>
      <w:r>
        <w:rPr>
          <w:rFonts w:ascii="Times New Roman" w:cs="Times New Roman" w:eastAsia="Times New Roman" w:hAnsi="Times New Roman"/>
          <w:sz w:val="16"/>
          <w:szCs w:val="16"/>
          <w:color w:val="auto"/>
        </w:rPr>
        <w:t>presented as a due from affiliate on the consolidated statements of assets, liabilities and members' equity. These amounts are related to cash owed to PSSL from PFLT in connection with trades between funds. Additionally, PSSL had a receivable from the Administrative Agent of $0.1 million as of September 30, 2024 related to loan agency fees received by the Administrative Agent and owed to PSSL.</w:t>
      </w:r>
    </w:p>
    <w:p>
      <w:pPr>
        <w:spacing w:after="0" w:line="157" w:lineRule="exact"/>
        <w:rPr>
          <w:sz w:val="20"/>
          <w:szCs w:val="20"/>
          <w:color w:val="auto"/>
        </w:rPr>
      </w:pPr>
    </w:p>
    <w:p>
      <w:pPr>
        <w:jc w:val="both"/>
        <w:ind w:right="60" w:firstLine="432"/>
        <w:spacing w:after="0" w:line="247" w:lineRule="auto"/>
        <w:rPr>
          <w:sz w:val="20"/>
          <w:szCs w:val="20"/>
          <w:color w:val="auto"/>
        </w:rPr>
      </w:pPr>
      <w:r>
        <w:rPr>
          <w:rFonts w:ascii="Times New Roman" w:cs="Times New Roman" w:eastAsia="Times New Roman" w:hAnsi="Times New Roman"/>
          <w:sz w:val="16"/>
          <w:szCs w:val="16"/>
          <w:color w:val="auto"/>
        </w:rPr>
        <w:t>For the years ended September 30, 2024 and 2023, PSSL incurred $2.4 million and $2.1 million of administration fees to the Administrative Agent, respectively. The Administrative Agent provides administration services to PSSL at an annual rate of 0.25% of average gross assets payable quarterly in arrears and calculated based on average gross assets measured at cost at the end of the two recently completed calendar quarters.</w:t>
      </w:r>
    </w:p>
    <w:p>
      <w:pPr>
        <w:spacing w:after="0" w:line="152" w:lineRule="exact"/>
        <w:rPr>
          <w:sz w:val="20"/>
          <w:szCs w:val="20"/>
          <w:color w:val="auto"/>
        </w:rPr>
      </w:pPr>
    </w:p>
    <w:p>
      <w:pPr>
        <w:ind w:right="220" w:firstLine="432"/>
        <w:spacing w:after="0" w:line="259" w:lineRule="auto"/>
        <w:rPr>
          <w:sz w:val="20"/>
          <w:szCs w:val="20"/>
          <w:color w:val="auto"/>
        </w:rPr>
      </w:pPr>
      <w:r>
        <w:rPr>
          <w:rFonts w:ascii="Times New Roman" w:cs="Times New Roman" w:eastAsia="Times New Roman" w:hAnsi="Times New Roman"/>
          <w:sz w:val="16"/>
          <w:szCs w:val="16"/>
          <w:color w:val="auto"/>
        </w:rPr>
        <w:t>For the years ended September 30, 2024 and 2023, PSSL incurred $34.2 million and $30.3 million of interest expense related to the notes outstanding with the Members, respectively.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FAIR VALUE OF FINANCIAL INSTRUMENTS</w:t>
      </w:r>
    </w:p>
    <w:p>
      <w:pPr>
        <w:spacing w:after="0" w:line="178" w:lineRule="exact"/>
        <w:rPr>
          <w:sz w:val="20"/>
          <w:szCs w:val="20"/>
          <w:color w:val="auto"/>
        </w:rPr>
      </w:pPr>
    </w:p>
    <w:p>
      <w:pPr>
        <w:ind w:right="100" w:firstLine="420"/>
        <w:spacing w:after="0" w:line="243" w:lineRule="auto"/>
        <w:rPr>
          <w:sz w:val="20"/>
          <w:szCs w:val="20"/>
          <w:color w:val="auto"/>
        </w:rPr>
      </w:pPr>
      <w:r>
        <w:rPr>
          <w:rFonts w:ascii="Times New Roman" w:cs="Times New Roman" w:eastAsia="Times New Roman" w:hAnsi="Times New Roman"/>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1" w:right="700"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5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ASC 820 classifies the inputs used to measure these fair values into the following hierarchies: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Level 1: Inputs that are quoted prices (unadjusted) in active markets for identical assets or liabilities, accessible by us at the measurement date.</w:t>
      </w:r>
    </w:p>
    <w:p>
      <w:pPr>
        <w:spacing w:after="0" w:line="176" w:lineRule="exact"/>
        <w:rPr>
          <w:sz w:val="20"/>
          <w:szCs w:val="20"/>
          <w:color w:val="auto"/>
        </w:rPr>
      </w:pPr>
    </w:p>
    <w:p>
      <w:pPr>
        <w:jc w:val="both"/>
        <w:ind w:left="1320" w:right="400" w:hanging="899"/>
        <w:spacing w:after="0" w:line="247" w:lineRule="auto"/>
        <w:rPr>
          <w:sz w:val="20"/>
          <w:szCs w:val="20"/>
          <w:color w:val="auto"/>
        </w:rPr>
      </w:pPr>
      <w:r>
        <w:rPr>
          <w:rFonts w:ascii="Times New Roman" w:cs="Times New Roman" w:eastAsia="Times New Roman" w:hAnsi="Times New Roman"/>
          <w:sz w:val="16"/>
          <w:szCs w:val="16"/>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52" w:lineRule="exact"/>
        <w:rPr>
          <w:sz w:val="20"/>
          <w:szCs w:val="20"/>
          <w:color w:val="auto"/>
        </w:rPr>
      </w:pPr>
    </w:p>
    <w:p>
      <w:pPr>
        <w:ind w:left="1320" w:right="100" w:hanging="899"/>
        <w:spacing w:after="0" w:line="259" w:lineRule="auto"/>
        <w:rPr>
          <w:sz w:val="20"/>
          <w:szCs w:val="20"/>
          <w:color w:val="auto"/>
        </w:rPr>
      </w:pPr>
      <w:r>
        <w:rPr>
          <w:rFonts w:ascii="Times New Roman" w:cs="Times New Roman" w:eastAsia="Times New Roman" w:hAnsi="Times New Roman"/>
          <w:sz w:val="16"/>
          <w:szCs w:val="16"/>
          <w:color w:val="auto"/>
        </w:rPr>
        <w:t>Level 3: Inputs that are unobservable for an asset or liability because they are based on our own assumptions about how market participants would price the asset or liability.</w:t>
      </w:r>
    </w:p>
    <w:p>
      <w:pPr>
        <w:spacing w:after="0" w:line="143" w:lineRule="exact"/>
        <w:rPr>
          <w:sz w:val="20"/>
          <w:szCs w:val="20"/>
          <w:color w:val="auto"/>
        </w:rPr>
      </w:pPr>
    </w:p>
    <w:p>
      <w:pPr>
        <w:ind w:right="320" w:firstLine="420"/>
        <w:spacing w:after="0" w:line="247" w:lineRule="auto"/>
        <w:rPr>
          <w:sz w:val="20"/>
          <w:szCs w:val="20"/>
          <w:color w:val="auto"/>
        </w:rPr>
      </w:pPr>
      <w:r>
        <w:rPr>
          <w:rFonts w:ascii="Times New Roman" w:cs="Times New Roman" w:eastAsia="Times New Roman" w:hAnsi="Times New Roman"/>
          <w:sz w:val="16"/>
          <w:szCs w:val="16"/>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52" w:lineRule="exact"/>
        <w:rPr>
          <w:sz w:val="20"/>
          <w:szCs w:val="20"/>
          <w:color w:val="auto"/>
        </w:rPr>
      </w:pPr>
    </w:p>
    <w:p>
      <w:pPr>
        <w:ind w:right="40" w:firstLine="420"/>
        <w:spacing w:after="0" w:line="239" w:lineRule="auto"/>
        <w:rPr>
          <w:sz w:val="20"/>
          <w:szCs w:val="20"/>
          <w:color w:val="auto"/>
        </w:rPr>
      </w:pPr>
      <w:r>
        <w:rPr>
          <w:rFonts w:ascii="Times New Roman" w:cs="Times New Roman" w:eastAsia="Times New Roman" w:hAnsi="Times New Roman"/>
          <w:sz w:val="16"/>
          <w:szCs w:val="16"/>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61" w:lineRule="exact"/>
        <w:rPr>
          <w:sz w:val="20"/>
          <w:szCs w:val="20"/>
          <w:color w:val="auto"/>
        </w:rPr>
      </w:pPr>
    </w:p>
    <w:p>
      <w:pPr>
        <w:ind w:right="20" w:firstLine="420"/>
        <w:spacing w:after="0" w:line="241" w:lineRule="auto"/>
        <w:rPr>
          <w:sz w:val="20"/>
          <w:szCs w:val="20"/>
          <w:color w:val="auto"/>
        </w:rPr>
      </w:pPr>
      <w:r>
        <w:rPr>
          <w:rFonts w:ascii="Times New Roman" w:cs="Times New Roman" w:eastAsia="Times New Roman" w:hAnsi="Times New Roman"/>
          <w:sz w:val="16"/>
          <w:szCs w:val="16"/>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5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6"/>
          <w:szCs w:val="16"/>
          <w:color w:val="auto"/>
        </w:rPr>
        <w:t>A review of fair value hierarchy classifications is conducted on a quarterly basis. Changes in our ability to observe valuation inputs may result in a reclassification for certain financial assets or liabilities.</w:t>
      </w:r>
    </w:p>
    <w:p>
      <w:pPr>
        <w:spacing w:after="0" w:line="143" w:lineRule="exact"/>
        <w:rPr>
          <w:sz w:val="20"/>
          <w:szCs w:val="20"/>
          <w:color w:val="auto"/>
        </w:rPr>
      </w:pPr>
    </w:p>
    <w:p>
      <w:pPr>
        <w:ind w:right="420" w:firstLine="420"/>
        <w:spacing w:after="0" w:line="247" w:lineRule="auto"/>
        <w:rPr>
          <w:sz w:val="20"/>
          <w:szCs w:val="20"/>
          <w:color w:val="auto"/>
        </w:rPr>
      </w:pPr>
      <w:r>
        <w:rPr>
          <w:rFonts w:ascii="Times New Roman" w:cs="Times New Roman" w:eastAsia="Times New Roman" w:hAnsi="Times New Roman"/>
          <w:sz w:val="16"/>
          <w:szCs w:val="16"/>
          <w:color w:val="auto"/>
        </w:rPr>
        <w:t>In addition to using the above inputs in valuing cash equivalents and investments,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52" w:lineRule="exact"/>
        <w:rPr>
          <w:sz w:val="20"/>
          <w:szCs w:val="20"/>
          <w:color w:val="auto"/>
        </w:rPr>
      </w:pPr>
    </w:p>
    <w:p>
      <w:pPr>
        <w:ind w:firstLine="420"/>
        <w:spacing w:after="0" w:line="241" w:lineRule="auto"/>
        <w:rPr>
          <w:sz w:val="20"/>
          <w:szCs w:val="20"/>
          <w:color w:val="auto"/>
        </w:rPr>
      </w:pPr>
      <w:r>
        <w:rPr>
          <w:rFonts w:ascii="Times New Roman" w:cs="Times New Roman" w:eastAsia="Times New Roman" w:hAnsi="Times New Roman"/>
          <w:sz w:val="16"/>
          <w:szCs w:val="16"/>
          <w:color w:val="auto"/>
        </w:rPr>
        <w:t>As outlined in the table below, some of our Level 3 investments using a market comparable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7" w:lineRule="exact"/>
        <w:rPr>
          <w:sz w:val="20"/>
          <w:szCs w:val="20"/>
          <w:color w:val="auto"/>
        </w:rPr>
      </w:pPr>
    </w:p>
    <w:p>
      <w:pPr>
        <w:ind w:right="40" w:firstLine="420"/>
        <w:spacing w:after="0" w:line="289" w:lineRule="auto"/>
        <w:rPr>
          <w:sz w:val="20"/>
          <w:szCs w:val="20"/>
          <w:color w:val="auto"/>
        </w:rPr>
      </w:pPr>
      <w:r>
        <w:rPr>
          <w:rFonts w:ascii="Times New Roman" w:cs="Times New Roman" w:eastAsia="Times New Roman" w:hAnsi="Times New Roman"/>
          <w:sz w:val="14"/>
          <w:szCs w:val="14"/>
          <w:color w:val="auto"/>
        </w:rPr>
        <w:t>Some of our investments can also be valued using a market comparable or an enterprise market value technique.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8" w:name="page139"/>
    <w:bookmarkEnd w:id="138"/>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58" w:lineRule="exact"/>
        <w:rPr>
          <w:sz w:val="20"/>
          <w:szCs w:val="20"/>
          <w:color w:val="auto"/>
        </w:rPr>
      </w:pPr>
    </w:p>
    <w:p>
      <w:pPr>
        <w:ind w:left="6"/>
        <w:spacing w:after="0" w:line="238" w:lineRule="auto"/>
        <w:rPr>
          <w:sz w:val="20"/>
          <w:szCs w:val="20"/>
          <w:color w:val="auto"/>
        </w:rPr>
      </w:pPr>
      <w:r>
        <w:rPr>
          <w:rFonts w:ascii="Times New Roman" w:cs="Times New Roman" w:eastAsia="Times New Roman" w:hAnsi="Times New Roman"/>
          <w:sz w:val="16"/>
          <w:szCs w:val="16"/>
          <w:color w:val="auto"/>
        </w:rPr>
        <w:t>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341"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6"/>
          <w:szCs w:val="16"/>
          <w:color w:val="auto"/>
        </w:rPr>
        <w:t>Our Level 3 valuation techniques, unobservable inputs and ranges were categorized as follows for ASC 820 purposes:</w:t>
      </w:r>
    </w:p>
    <w:p>
      <w:pPr>
        <w:sectPr>
          <w:pgSz w:w="11900" w:h="16840" w:orient="portrait"/>
          <w:cols w:equalWidth="0" w:num="1">
            <w:col w:w="10506"/>
          </w:cols>
          <w:pgMar w:left="654" w:top="1131" w:right="740" w:bottom="1440" w:gutter="0" w:footer="0" w:header="0"/>
        </w:sectPr>
      </w:pPr>
    </w:p>
    <w:p>
      <w:pPr>
        <w:spacing w:after="0" w:line="200" w:lineRule="exact"/>
        <w:rPr>
          <w:sz w:val="20"/>
          <w:szCs w:val="20"/>
          <w:color w:val="auto"/>
        </w:rPr>
      </w:pPr>
    </w:p>
    <w:p>
      <w:pPr>
        <w:spacing w:after="0" w:line="354"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Fair value at September 30,</w:t>
            </w:r>
          </w:p>
        </w:tc>
        <w:tc>
          <w:tcPr>
            <w:tcW w:w="2020" w:type="dxa"/>
            <w:vAlign w:val="bottom"/>
          </w:tcPr>
          <w:p>
            <w:pPr>
              <w:spacing w:after="0"/>
              <w:rPr>
                <w:sz w:val="16"/>
                <w:szCs w:val="16"/>
                <w:color w:val="auto"/>
              </w:rPr>
            </w:pPr>
          </w:p>
        </w:tc>
      </w:tr>
      <w:tr>
        <w:trPr>
          <w:trHeight w:val="205"/>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40" w:type="dxa"/>
            <w:vAlign w:val="bottom"/>
          </w:tcPr>
          <w:p>
            <w:pPr>
              <w:spacing w:after="0"/>
              <w:rPr>
                <w:sz w:val="17"/>
                <w:szCs w:val="17"/>
                <w:color w:val="auto"/>
              </w:rPr>
            </w:pPr>
          </w:p>
        </w:tc>
        <w:tc>
          <w:tcPr>
            <w:tcW w:w="2020" w:type="dxa"/>
            <w:vAlign w:val="bottom"/>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20" w:type="dxa"/>
            <w:vAlign w:val="bottom"/>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w w:val="97"/>
              </w:rPr>
              <w:t>Valuation Technique</w:t>
            </w:r>
          </w:p>
        </w:tc>
      </w:tr>
      <w:tr>
        <w:trPr>
          <w:trHeight w:val="264"/>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95,950</w:t>
            </w:r>
          </w:p>
        </w:tc>
        <w:tc>
          <w:tcPr>
            <w:tcW w:w="2020" w:type="dxa"/>
            <w:vAlign w:val="bottom"/>
          </w:tcPr>
          <w:p>
            <w:pPr>
              <w:jc w:val="center"/>
              <w:ind w:left="402"/>
              <w:spacing w:after="0"/>
              <w:rPr>
                <w:sz w:val="20"/>
                <w:szCs w:val="20"/>
                <w:color w:val="auto"/>
              </w:rPr>
            </w:pPr>
            <w:r>
              <w:rPr>
                <w:rFonts w:ascii="Times New Roman" w:cs="Times New Roman" w:eastAsia="Times New Roman" w:hAnsi="Times New Roman"/>
                <w:sz w:val="16"/>
                <w:szCs w:val="16"/>
                <w:color w:val="auto"/>
                <w:w w:val="98"/>
              </w:rPr>
              <w:t>Market Comparable</w:t>
            </w:r>
          </w:p>
        </w:tc>
      </w:tr>
      <w:tr>
        <w:trPr>
          <w:trHeight w:val="25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787,361</w:t>
            </w:r>
          </w:p>
        </w:tc>
        <w:tc>
          <w:tcPr>
            <w:tcW w:w="2020" w:type="dxa"/>
            <w:vAlign w:val="bottom"/>
          </w:tcPr>
          <w:p>
            <w:pPr>
              <w:jc w:val="center"/>
              <w:ind w:left="402"/>
              <w:spacing w:after="0"/>
              <w:rPr>
                <w:sz w:val="20"/>
                <w:szCs w:val="20"/>
                <w:color w:val="auto"/>
              </w:rPr>
            </w:pPr>
            <w:r>
              <w:rPr>
                <w:rFonts w:ascii="Times New Roman" w:cs="Times New Roman" w:eastAsia="Times New Roman" w:hAnsi="Times New Roman"/>
                <w:sz w:val="16"/>
                <w:szCs w:val="16"/>
                <w:color w:val="auto"/>
                <w:w w:val="98"/>
              </w:rPr>
              <w:t>Market Comparable</w:t>
            </w:r>
          </w:p>
        </w:tc>
      </w:tr>
      <w:tr>
        <w:trPr>
          <w:trHeight w:val="180"/>
        </w:trPr>
        <w:tc>
          <w:tcPr>
            <w:tcW w:w="2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tcPr>
          <w:p>
            <w:pPr>
              <w:spacing w:after="0"/>
              <w:rPr>
                <w:sz w:val="15"/>
                <w:szCs w:val="15"/>
                <w:color w:val="auto"/>
              </w:rPr>
            </w:pP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23,221</w:t>
            </w:r>
          </w:p>
        </w:tc>
        <w:tc>
          <w:tcPr>
            <w:tcW w:w="2020" w:type="dxa"/>
            <w:vAlign w:val="bottom"/>
          </w:tcPr>
          <w:p>
            <w:pPr>
              <w:jc w:val="center"/>
              <w:ind w:left="402"/>
              <w:spacing w:after="0" w:line="180" w:lineRule="exact"/>
              <w:rPr>
                <w:sz w:val="20"/>
                <w:szCs w:val="20"/>
                <w:color w:val="auto"/>
              </w:rPr>
            </w:pPr>
            <w:r>
              <w:rPr>
                <w:rFonts w:ascii="Times New Roman" w:cs="Times New Roman" w:eastAsia="Times New Roman" w:hAnsi="Times New Roman"/>
                <w:sz w:val="16"/>
                <w:szCs w:val="16"/>
                <w:color w:val="auto"/>
                <w:w w:val="97"/>
              </w:rPr>
              <w:t>Enterprise Market Value</w:t>
            </w:r>
          </w:p>
        </w:tc>
      </w:tr>
      <w:tr>
        <w:trPr>
          <w:trHeight w:val="180"/>
        </w:trPr>
        <w:tc>
          <w:tcPr>
            <w:tcW w:w="2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5"/>
                <w:szCs w:val="15"/>
                <w:color w:val="auto"/>
              </w:rPr>
            </w:pP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6,749</w:t>
            </w:r>
          </w:p>
        </w:tc>
        <w:tc>
          <w:tcPr>
            <w:tcW w:w="2020" w:type="dxa"/>
            <w:vAlign w:val="bottom"/>
          </w:tcPr>
          <w:p>
            <w:pPr>
              <w:jc w:val="center"/>
              <w:ind w:left="402"/>
              <w:spacing w:after="0" w:line="180" w:lineRule="exact"/>
              <w:rPr>
                <w:sz w:val="20"/>
                <w:szCs w:val="20"/>
                <w:color w:val="auto"/>
              </w:rPr>
            </w:pPr>
            <w:r>
              <w:rPr>
                <w:rFonts w:ascii="Times New Roman" w:cs="Times New Roman" w:eastAsia="Times New Roman" w:hAnsi="Times New Roman"/>
                <w:sz w:val="16"/>
                <w:szCs w:val="16"/>
                <w:color w:val="auto"/>
                <w:w w:val="97"/>
              </w:rPr>
              <w:t>Enterprise Market Value</w:t>
            </w:r>
          </w:p>
        </w:tc>
      </w:tr>
      <w:tr>
        <w:trPr>
          <w:trHeight w:val="19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Total Level 3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913,281</w:t>
            </w:r>
          </w:p>
        </w:tc>
        <w:tc>
          <w:tcPr>
            <w:tcW w:w="2020" w:type="dxa"/>
            <w:vAlign w:val="bottom"/>
          </w:tcPr>
          <w:p>
            <w:pPr>
              <w:spacing w:after="0"/>
              <w:rPr>
                <w:sz w:val="16"/>
                <w:szCs w:val="16"/>
                <w:color w:val="auto"/>
              </w:rPr>
            </w:pPr>
          </w:p>
        </w:tc>
      </w:tr>
      <w:tr>
        <w:trPr>
          <w:trHeight w:val="20"/>
        </w:trPr>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-708025</wp:posOffset>
            </wp:positionV>
            <wp:extent cx="6707505" cy="228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6707505" cy="2286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-365125</wp:posOffset>
            </wp:positionV>
            <wp:extent cx="6707505" cy="114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-136525</wp:posOffset>
            </wp:positionV>
            <wp:extent cx="670750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at September 30,</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40" w:type="dxa"/>
            <w:vAlign w:val="bottom"/>
          </w:tcPr>
          <w:p>
            <w:pPr>
              <w:spacing w:after="0"/>
              <w:rPr>
                <w:sz w:val="16"/>
                <w:szCs w:val="16"/>
                <w:color w:val="auto"/>
              </w:rPr>
            </w:pPr>
          </w:p>
        </w:tc>
        <w:tc>
          <w:tcPr>
            <w:tcW w:w="2020" w:type="dxa"/>
            <w:vAlign w:val="bottom"/>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c>
          <w:tcPr>
            <w:tcW w:w="1900" w:type="dxa"/>
            <w:vAlign w:val="bottom"/>
          </w:tcPr>
          <w:p>
            <w:pPr>
              <w:jc w:val="center"/>
              <w:ind w:left="262"/>
              <w:spacing w:after="0"/>
              <w:rPr>
                <w:sz w:val="20"/>
                <w:szCs w:val="20"/>
                <w:color w:val="auto"/>
              </w:rPr>
            </w:pPr>
            <w:r>
              <w:rPr>
                <w:rFonts w:ascii="Times New Roman" w:cs="Times New Roman" w:eastAsia="Times New Roman" w:hAnsi="Times New Roman"/>
                <w:sz w:val="16"/>
                <w:szCs w:val="16"/>
                <w:b w:val="1"/>
                <w:bCs w:val="1"/>
                <w:color w:val="auto"/>
                <w:w w:val="97"/>
              </w:rPr>
              <w:t>Valuation Technique</w:t>
            </w:r>
          </w:p>
        </w:tc>
        <w:tc>
          <w:tcPr>
            <w:tcW w:w="0" w:type="dxa"/>
            <w:vAlign w:val="bottom"/>
          </w:tcPr>
          <w:p>
            <w:pPr>
              <w:spacing w:after="0"/>
              <w:rPr>
                <w:sz w:val="1"/>
                <w:szCs w:val="1"/>
                <w:color w:val="auto"/>
              </w:rPr>
            </w:pPr>
          </w:p>
        </w:tc>
      </w:tr>
      <w:tr>
        <w:trPr>
          <w:trHeight w:val="274"/>
        </w:trPr>
        <w:tc>
          <w:tcPr>
            <w:tcW w:w="2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91,489</w:t>
            </w:r>
          </w:p>
        </w:tc>
        <w:tc>
          <w:tcPr>
            <w:tcW w:w="120" w:type="dxa"/>
            <w:vAlign w:val="bottom"/>
            <w:shd w:val="clear" w:color="auto" w:fill="CCECFF"/>
          </w:tcPr>
          <w:p>
            <w:pPr>
              <w:spacing w:after="0"/>
              <w:rPr>
                <w:sz w:val="23"/>
                <w:szCs w:val="23"/>
                <w:color w:val="auto"/>
              </w:rPr>
            </w:pPr>
          </w:p>
        </w:tc>
        <w:tc>
          <w:tcPr>
            <w:tcW w:w="19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8"/>
              </w:rPr>
              <w:t>Market Comparable</w:t>
            </w:r>
          </w:p>
        </w:tc>
        <w:tc>
          <w:tcPr>
            <w:tcW w:w="0" w:type="dxa"/>
            <w:vAlign w:val="bottom"/>
          </w:tcPr>
          <w:p>
            <w:pPr>
              <w:spacing w:after="0"/>
              <w:rPr>
                <w:sz w:val="1"/>
                <w:szCs w:val="1"/>
                <w:color w:val="auto"/>
              </w:rPr>
            </w:pPr>
          </w:p>
        </w:tc>
      </w:tr>
      <w:tr>
        <w:trPr>
          <w:trHeight w:val="86"/>
        </w:trPr>
        <w:tc>
          <w:tcPr>
            <w:tcW w:w="2160" w:type="dxa"/>
            <w:vAlign w:val="bottom"/>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20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900" w:type="dxa"/>
            <w:vAlign w:val="bottom"/>
            <w:vMerge w:val="restart"/>
          </w:tcPr>
          <w:p>
            <w:pPr>
              <w:jc w:val="center"/>
              <w:ind w:left="282"/>
              <w:spacing w:after="0"/>
              <w:rPr>
                <w:sz w:val="20"/>
                <w:szCs w:val="20"/>
                <w:color w:val="auto"/>
              </w:rPr>
            </w:pPr>
            <w:r>
              <w:rPr>
                <w:rFonts w:ascii="Times New Roman" w:cs="Times New Roman" w:eastAsia="Times New Roman" w:hAnsi="Times New Roman"/>
                <w:sz w:val="16"/>
                <w:szCs w:val="16"/>
                <w:color w:val="auto"/>
                <w:w w:val="98"/>
              </w:rPr>
              <w:t>Market Comparable</w:t>
            </w:r>
          </w:p>
        </w:tc>
        <w:tc>
          <w:tcPr>
            <w:tcW w:w="0" w:type="dxa"/>
            <w:vAlign w:val="bottom"/>
          </w:tcPr>
          <w:p>
            <w:pPr>
              <w:spacing w:after="0"/>
              <w:rPr>
                <w:sz w:val="1"/>
                <w:szCs w:val="1"/>
                <w:color w:val="auto"/>
              </w:rPr>
            </w:pPr>
          </w:p>
        </w:tc>
      </w:tr>
      <w:tr>
        <w:trPr>
          <w:trHeight w:val="167"/>
        </w:trPr>
        <w:tc>
          <w:tcPr>
            <w:tcW w:w="21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tcPr>
          <w:p>
            <w:pPr>
              <w:spacing w:after="0"/>
              <w:rPr>
                <w:sz w:val="14"/>
                <w:szCs w:val="14"/>
                <w:color w:val="auto"/>
              </w:rPr>
            </w:pPr>
          </w:p>
        </w:tc>
        <w:tc>
          <w:tcPr>
            <w:tcW w:w="20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691,949</w:t>
            </w:r>
          </w:p>
        </w:tc>
        <w:tc>
          <w:tcPr>
            <w:tcW w:w="12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tcPr>
          <w:p>
            <w:pPr>
              <w:spacing w:after="0"/>
              <w:rPr>
                <w:sz w:val="15"/>
                <w:szCs w:val="15"/>
                <w:color w:val="auto"/>
              </w:rPr>
            </w:pP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5"/>
                <w:szCs w:val="15"/>
                <w:color w:val="auto"/>
              </w:rPr>
            </w:pPr>
          </w:p>
        </w:tc>
        <w:tc>
          <w:tcPr>
            <w:tcW w:w="1900" w:type="dxa"/>
            <w:vAlign w:val="bottom"/>
          </w:tcPr>
          <w:p>
            <w:pPr>
              <w:jc w:val="center"/>
              <w:ind w:left="282"/>
              <w:spacing w:after="0" w:line="180" w:lineRule="exact"/>
              <w:rPr>
                <w:sz w:val="20"/>
                <w:szCs w:val="20"/>
                <w:color w:val="auto"/>
              </w:rPr>
            </w:pPr>
            <w:r>
              <w:rPr>
                <w:rFonts w:ascii="Times New Roman" w:cs="Times New Roman" w:eastAsia="Times New Roman" w:hAnsi="Times New Roman"/>
                <w:sz w:val="16"/>
                <w:szCs w:val="16"/>
                <w:color w:val="auto"/>
                <w:w w:val="98"/>
              </w:rPr>
              <w:t>Market Comparable</w:t>
            </w:r>
          </w:p>
        </w:tc>
        <w:tc>
          <w:tcPr>
            <w:tcW w:w="0" w:type="dxa"/>
            <w:vAlign w:val="bottom"/>
          </w:tcPr>
          <w:p>
            <w:pPr>
              <w:spacing w:after="0"/>
              <w:rPr>
                <w:sz w:val="1"/>
                <w:szCs w:val="1"/>
                <w:color w:val="auto"/>
              </w:rPr>
            </w:pPr>
          </w:p>
        </w:tc>
      </w:tr>
      <w:tr>
        <w:trPr>
          <w:trHeight w:val="180"/>
        </w:trPr>
        <w:tc>
          <w:tcPr>
            <w:tcW w:w="2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5"/>
                <w:szCs w:val="15"/>
                <w:color w:val="auto"/>
              </w:rPr>
            </w:pP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2,261</w:t>
            </w:r>
          </w:p>
        </w:tc>
        <w:tc>
          <w:tcPr>
            <w:tcW w:w="120" w:type="dxa"/>
            <w:vAlign w:val="bottom"/>
          </w:tcPr>
          <w:p>
            <w:pPr>
              <w:spacing w:after="0"/>
              <w:rPr>
                <w:sz w:val="15"/>
                <w:szCs w:val="15"/>
                <w:color w:val="auto"/>
              </w:rPr>
            </w:pPr>
          </w:p>
        </w:tc>
        <w:tc>
          <w:tcPr>
            <w:tcW w:w="1900" w:type="dxa"/>
            <w:vAlign w:val="bottom"/>
          </w:tcPr>
          <w:p>
            <w:pPr>
              <w:jc w:val="center"/>
              <w:ind w:left="282"/>
              <w:spacing w:after="0" w:line="180" w:lineRule="exact"/>
              <w:rPr>
                <w:sz w:val="20"/>
                <w:szCs w:val="20"/>
                <w:color w:val="auto"/>
              </w:rPr>
            </w:pPr>
            <w:r>
              <w:rPr>
                <w:rFonts w:ascii="Times New Roman" w:cs="Times New Roman" w:eastAsia="Times New Roman" w:hAnsi="Times New Roman"/>
                <w:sz w:val="16"/>
                <w:szCs w:val="16"/>
                <w:color w:val="auto"/>
                <w:w w:val="97"/>
              </w:rPr>
              <w:t>Enterprise Market Value</w:t>
            </w: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Level 3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785,859</w:t>
            </w: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-365125</wp:posOffset>
            </wp:positionV>
            <wp:extent cx="6707505" cy="114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-136525</wp:posOffset>
            </wp:positionV>
            <wp:extent cx="670750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4" w:lineRule="exact"/>
        <w:rPr>
          <w:sz w:val="20"/>
          <w:szCs w:val="20"/>
          <w:color w:val="auto"/>
        </w:rPr>
      </w:pPr>
    </w:p>
    <w:p>
      <w:pPr>
        <w:ind w:left="126" w:hanging="126"/>
        <w:spacing w:after="0"/>
        <w:tabs>
          <w:tab w:leader="none" w:pos="126"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Broker/Dealer bids or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quotes</w:t>
      </w:r>
    </w:p>
    <w:p>
      <w:pPr>
        <w:jc w:val="center"/>
        <w:spacing w:after="0" w:line="234" w:lineRule="auto"/>
        <w:rPr>
          <w:sz w:val="20"/>
          <w:szCs w:val="20"/>
          <w:color w:val="auto"/>
        </w:rPr>
      </w:pPr>
      <w:r>
        <w:rPr>
          <w:rFonts w:ascii="Times New Roman" w:cs="Times New Roman" w:eastAsia="Times New Roman" w:hAnsi="Times New Roman"/>
          <w:sz w:val="16"/>
          <w:szCs w:val="16"/>
          <w:color w:val="auto"/>
        </w:rPr>
        <w:t>Market Yield</w:t>
      </w:r>
    </w:p>
    <w:p>
      <w:pPr>
        <w:ind w:left="100"/>
        <w:spacing w:after="0" w:line="235" w:lineRule="auto"/>
        <w:rPr>
          <w:sz w:val="20"/>
          <w:szCs w:val="20"/>
          <w:color w:val="auto"/>
        </w:rPr>
      </w:pPr>
      <w:r>
        <w:rPr>
          <w:rFonts w:ascii="Times New Roman" w:cs="Times New Roman" w:eastAsia="Times New Roman" w:hAnsi="Times New Roman"/>
          <w:sz w:val="16"/>
          <w:szCs w:val="16"/>
          <w:color w:val="auto"/>
        </w:rPr>
        <w:t>EBITDA Multiple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EBITDA Multiple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Unobservable Input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Broker/Dealer bids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-93345</wp:posOffset>
            </wp:positionV>
            <wp:extent cx="3826510" cy="228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3826510" cy="228600"/>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quotes</w:t>
      </w:r>
    </w:p>
    <w:p>
      <w:pPr>
        <w:jc w:val="center"/>
        <w:spacing w:after="0" w:line="234" w:lineRule="auto"/>
        <w:rPr>
          <w:sz w:val="20"/>
          <w:szCs w:val="20"/>
          <w:color w:val="auto"/>
        </w:rPr>
      </w:pPr>
      <w:r>
        <w:rPr>
          <w:rFonts w:ascii="Times New Roman" w:cs="Times New Roman" w:eastAsia="Times New Roman" w:hAnsi="Times New Roman"/>
          <w:sz w:val="16"/>
          <w:szCs w:val="16"/>
          <w:color w:val="auto"/>
        </w:rPr>
        <w:t>Market Yield</w:t>
      </w:r>
    </w:p>
    <w:p>
      <w:pPr>
        <w:ind w:left="100"/>
        <w:spacing w:after="0" w:line="235" w:lineRule="auto"/>
        <w:rPr>
          <w:sz w:val="20"/>
          <w:szCs w:val="20"/>
          <w:color w:val="auto"/>
        </w:rPr>
      </w:pPr>
      <w:r>
        <w:rPr>
          <w:rFonts w:ascii="Times New Roman" w:cs="Times New Roman" w:eastAsia="Times New Roman" w:hAnsi="Times New Roman"/>
          <w:sz w:val="16"/>
          <w:szCs w:val="16"/>
          <w:color w:val="auto"/>
        </w:rPr>
        <w:t>EBITDA Multiple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EBITDA Multiple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Range of Input</w:t>
      </w: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 xml:space="preserve">(Weighted Average) </w:t>
      </w:r>
      <w:r>
        <w:rPr>
          <w:rFonts w:ascii="Times New Roman" w:cs="Times New Roman" w:eastAsia="Times New Roman" w:hAnsi="Times New Roman"/>
          <w:sz w:val="20"/>
          <w:szCs w:val="20"/>
          <w:b w:val="1"/>
          <w:bCs w:val="1"/>
          <w:color w:val="auto"/>
          <w:vertAlign w:val="superscript"/>
        </w:rPr>
        <w:t>(1)</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N/A</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7.9% – 21.4% (10.2%)</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0.8x – 8.4x (3.2x)</w:t>
      </w:r>
    </w:p>
    <w:p>
      <w:pPr>
        <w:ind w:left="200"/>
        <w:spacing w:after="0"/>
        <w:rPr>
          <w:sz w:val="20"/>
          <w:szCs w:val="20"/>
          <w:color w:val="auto"/>
        </w:rPr>
      </w:pPr>
      <w:r>
        <w:rPr>
          <w:rFonts w:ascii="Times New Roman" w:cs="Times New Roman" w:eastAsia="Times New Roman" w:hAnsi="Times New Roman"/>
          <w:sz w:val="16"/>
          <w:szCs w:val="16"/>
          <w:color w:val="auto"/>
        </w:rPr>
        <w:t>4.3x – 8.6x (6.9x)</w:t>
      </w:r>
    </w:p>
    <w:p>
      <w:pPr>
        <w:spacing w:after="0" w:line="39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Range of Input</w:t>
      </w: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 xml:space="preserve">(Weighted Average) </w:t>
      </w:r>
      <w:r>
        <w:rPr>
          <w:rFonts w:ascii="Times New Roman" w:cs="Times New Roman" w:eastAsia="Times New Roman" w:hAnsi="Times New Roman"/>
          <w:sz w:val="20"/>
          <w:szCs w:val="20"/>
          <w:b w:val="1"/>
          <w:bCs w:val="1"/>
          <w:color w:val="auto"/>
          <w:vertAlign w:val="superscript"/>
        </w:rPr>
        <w:t>(1)</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 18.8% (12.3%)</w:t>
      </w:r>
    </w:p>
    <w:p>
      <w:pPr>
        <w:spacing w:after="0" w:line="3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2.8x</w:t>
      </w:r>
    </w:p>
    <w:p>
      <w:pPr>
        <w:jc w:val="center"/>
        <w:ind w:right="200"/>
        <w:spacing w:after="0"/>
        <w:rPr>
          <w:sz w:val="20"/>
          <w:szCs w:val="20"/>
          <w:color w:val="auto"/>
        </w:rPr>
      </w:pPr>
      <w:r>
        <w:rPr>
          <w:rFonts w:ascii="Times New Roman" w:cs="Times New Roman" w:eastAsia="Times New Roman" w:hAnsi="Times New Roman"/>
          <w:sz w:val="16"/>
          <w:szCs w:val="16"/>
          <w:color w:val="auto"/>
        </w:rPr>
        <w:t>5.3x – 10.9x (6.5x)</w:t>
      </w:r>
    </w:p>
    <w:p>
      <w:pPr>
        <w:spacing w:after="0" w:line="615" w:lineRule="exact"/>
        <w:rPr>
          <w:sz w:val="20"/>
          <w:szCs w:val="20"/>
          <w:color w:val="auto"/>
        </w:rPr>
      </w:pPr>
    </w:p>
    <w:p>
      <w:pPr>
        <w:sectPr>
          <w:pgSz w:w="11900" w:h="16840" w:orient="portrait"/>
          <w:cols w:equalWidth="0" w:num="3">
            <w:col w:w="6346" w:space="560"/>
            <w:col w:w="1340" w:space="560"/>
            <w:col w:w="1700"/>
          </w:cols>
          <w:pgMar w:left="654" w:top="1131" w:right="7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4"/>
          <w:szCs w:val="14"/>
          <w:color w:val="auto"/>
        </w:rPr>
        <w:t>Our investments and cash and cash equivalents were categorized as follows in the fair value hierarchy for ASC 820 purposes:</w:t>
      </w:r>
    </w:p>
    <w:p>
      <w:pPr>
        <w:spacing w:after="0" w:line="199"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6"/>
          </w:cols>
          <w:pgMar w:left="654" w:top="1131" w:right="740" w:bottom="1440" w:gutter="0" w:footer="0" w:header="0"/>
          <w:type w:val="continuous"/>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4"/>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w w:val="98"/>
              </w:rPr>
              <w:t>Fair Value at September 30, 2024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60" w:type="dxa"/>
            <w:vAlign w:val="bottom"/>
          </w:tcPr>
          <w:p>
            <w:pPr>
              <w:spacing w:after="0"/>
              <w:rPr>
                <w:sz w:val="16"/>
                <w:szCs w:val="16"/>
                <w:color w:val="auto"/>
              </w:rPr>
            </w:pPr>
          </w:p>
        </w:tc>
        <w:tc>
          <w:tcPr>
            <w:tcW w:w="108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0"/>
        </w:trPr>
        <w:tc>
          <w:tcPr>
            <w:tcW w:w="44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 lien</w:t>
            </w:r>
          </w:p>
        </w:tc>
        <w:tc>
          <w:tcPr>
            <w:tcW w:w="2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906,532</w:t>
            </w:r>
          </w:p>
        </w:tc>
        <w:tc>
          <w:tcPr>
            <w:tcW w:w="42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906,532</w:t>
            </w:r>
          </w:p>
        </w:tc>
        <w:tc>
          <w:tcPr>
            <w:tcW w:w="100" w:type="dxa"/>
            <w:vAlign w:val="bottom"/>
            <w:shd w:val="clear" w:color="auto" w:fill="CFF0FC"/>
          </w:tcPr>
          <w:p>
            <w:pPr>
              <w:spacing w:after="0"/>
              <w:rPr>
                <w:sz w:val="15"/>
                <w:szCs w:val="15"/>
                <w:color w:val="auto"/>
              </w:rPr>
            </w:pPr>
          </w:p>
        </w:tc>
      </w:tr>
      <w:tr>
        <w:trPr>
          <w:trHeight w:val="180"/>
        </w:trPr>
        <w:tc>
          <w:tcPr>
            <w:tcW w:w="44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6,749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6,749</w:t>
            </w:r>
          </w:p>
        </w:tc>
        <w:tc>
          <w:tcPr>
            <w:tcW w:w="100" w:type="dxa"/>
            <w:vAlign w:val="bottom"/>
          </w:tcPr>
          <w:p>
            <w:pPr>
              <w:spacing w:after="0"/>
              <w:rPr>
                <w:sz w:val="15"/>
                <w:szCs w:val="15"/>
                <w:color w:val="auto"/>
              </w:rPr>
            </w:pPr>
          </w:p>
        </w:tc>
      </w:tr>
      <w:tr>
        <w:trPr>
          <w:trHeight w:val="180"/>
        </w:trPr>
        <w:tc>
          <w:tcPr>
            <w:tcW w:w="44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investments</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913,281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913,281</w:t>
            </w:r>
          </w:p>
        </w:tc>
        <w:tc>
          <w:tcPr>
            <w:tcW w:w="100" w:type="dxa"/>
            <w:vAlign w:val="bottom"/>
            <w:shd w:val="clear" w:color="auto" w:fill="CFF0FC"/>
          </w:tcPr>
          <w:p>
            <w:pPr>
              <w:spacing w:after="0"/>
              <w:rPr>
                <w:sz w:val="15"/>
                <w:szCs w:val="15"/>
                <w:color w:val="auto"/>
              </w:rPr>
            </w:pPr>
          </w:p>
        </w:tc>
      </w:tr>
      <w:tr>
        <w:trPr>
          <w:trHeight w:val="180"/>
        </w:trPr>
        <w:tc>
          <w:tcPr>
            <w:tcW w:w="44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68,429</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68,429</w:t>
            </w:r>
          </w:p>
        </w:tc>
        <w:tc>
          <w:tcPr>
            <w:tcW w:w="100" w:type="dxa"/>
            <w:vAlign w:val="bottom"/>
          </w:tcPr>
          <w:p>
            <w:pPr>
              <w:spacing w:after="0"/>
              <w:rPr>
                <w:sz w:val="15"/>
                <w:szCs w:val="15"/>
                <w:color w:val="auto"/>
              </w:rPr>
            </w:pPr>
          </w:p>
        </w:tc>
      </w:tr>
      <w:tr>
        <w:trPr>
          <w:trHeight w:val="220"/>
        </w:trPr>
        <w:tc>
          <w:tcPr>
            <w:tcW w:w="442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investments, cash and cash equivalents</w:t>
            </w: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68,429</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913,281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981,710</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3"/>
          </w:tcPr>
          <w:p>
            <w:pPr>
              <w:jc w:val="right"/>
              <w:ind w:right="722"/>
              <w:spacing w:after="0"/>
              <w:rPr>
                <w:sz w:val="20"/>
                <w:szCs w:val="20"/>
                <w:color w:val="auto"/>
              </w:rPr>
            </w:pPr>
            <w:r>
              <w:rPr>
                <w:rFonts w:ascii="Times New Roman" w:cs="Times New Roman" w:eastAsia="Times New Roman" w:hAnsi="Times New Roman"/>
                <w:sz w:val="16"/>
                <w:szCs w:val="16"/>
                <w:b w:val="1"/>
                <w:bCs w:val="1"/>
                <w:color w:val="auto"/>
                <w:w w:val="98"/>
              </w:rPr>
              <w:t>Fair Value at September 30, 2023</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2"/>
        </w:trPr>
        <w:tc>
          <w:tcPr>
            <w:tcW w:w="36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060" w:type="dxa"/>
            <w:vAlign w:val="bottom"/>
          </w:tcPr>
          <w:p>
            <w:pPr>
              <w:spacing w:after="0"/>
              <w:rPr>
                <w:sz w:val="15"/>
                <w:szCs w:val="15"/>
                <w:color w:val="auto"/>
              </w:rPr>
            </w:pPr>
          </w:p>
        </w:tc>
        <w:tc>
          <w:tcPr>
            <w:tcW w:w="1280" w:type="dxa"/>
            <w:vAlign w:val="bottom"/>
          </w:tcPr>
          <w:p>
            <w:pPr>
              <w:jc w:val="right"/>
              <w:ind w:right="542"/>
              <w:spacing w:after="0" w:line="182"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5"/>
                <w:szCs w:val="15"/>
                <w:color w:val="auto"/>
              </w:rPr>
            </w:pPr>
          </w:p>
        </w:tc>
        <w:tc>
          <w:tcPr>
            <w:tcW w:w="1480" w:type="dxa"/>
            <w:vAlign w:val="bottom"/>
          </w:tcPr>
          <w:p>
            <w:pPr>
              <w:ind w:left="340"/>
              <w:spacing w:after="0" w:line="182" w:lineRule="exact"/>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Pr>
          <w:p>
            <w:pPr>
              <w:spacing w:after="0"/>
              <w:rPr>
                <w:sz w:val="15"/>
                <w:szCs w:val="15"/>
                <w:color w:val="auto"/>
              </w:rPr>
            </w:pPr>
          </w:p>
        </w:tc>
        <w:tc>
          <w:tcPr>
            <w:tcW w:w="1220" w:type="dxa"/>
            <w:vAlign w:val="bottom"/>
          </w:tcPr>
          <w:p>
            <w:pPr>
              <w:jc w:val="right"/>
              <w:ind w:right="482"/>
              <w:spacing w:after="0" w:line="182" w:lineRule="exact"/>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5"/>
                <w:szCs w:val="15"/>
                <w:color w:val="auto"/>
              </w:rPr>
            </w:pPr>
          </w:p>
        </w:tc>
        <w:tc>
          <w:tcPr>
            <w:tcW w:w="880" w:type="dxa"/>
            <w:vAlign w:val="bottom"/>
          </w:tcPr>
          <w:p>
            <w:pPr>
              <w:jc w:val="right"/>
              <w:ind w:right="342"/>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783,598</w:t>
            </w:r>
          </w:p>
        </w:tc>
        <w:tc>
          <w:tcPr>
            <w:tcW w:w="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783,598</w:t>
            </w:r>
          </w:p>
        </w:tc>
      </w:tr>
      <w:tr>
        <w:trPr>
          <w:trHeight w:val="180"/>
        </w:trPr>
        <w:tc>
          <w:tcPr>
            <w:tcW w:w="3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10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48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2,261</w:t>
            </w: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2,261</w:t>
            </w:r>
          </w:p>
        </w:tc>
      </w:tr>
      <w:tr>
        <w:trPr>
          <w:trHeight w:val="180"/>
        </w:trPr>
        <w:tc>
          <w:tcPr>
            <w:tcW w:w="3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investments</w:t>
            </w:r>
          </w:p>
        </w:tc>
        <w:tc>
          <w:tcPr>
            <w:tcW w:w="1060" w:type="dxa"/>
            <w:vAlign w:val="bottom"/>
          </w:tcPr>
          <w:p>
            <w:pPr>
              <w:spacing w:after="0"/>
              <w:rPr>
                <w:sz w:val="15"/>
                <w:szCs w:val="15"/>
                <w:color w:val="auto"/>
              </w:rPr>
            </w:pPr>
          </w:p>
        </w:tc>
        <w:tc>
          <w:tcPr>
            <w:tcW w:w="1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48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785,859</w:t>
            </w:r>
          </w:p>
        </w:tc>
        <w:tc>
          <w:tcPr>
            <w:tcW w:w="3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785,859</w:t>
            </w:r>
          </w:p>
        </w:tc>
      </w:tr>
      <w:tr>
        <w:trPr>
          <w:trHeight w:val="180"/>
        </w:trPr>
        <w:tc>
          <w:tcPr>
            <w:tcW w:w="3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0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77,446</w:t>
            </w:r>
          </w:p>
        </w:tc>
        <w:tc>
          <w:tcPr>
            <w:tcW w:w="320" w:type="dxa"/>
            <w:vAlign w:val="bottom"/>
            <w:shd w:val="clear" w:color="auto" w:fill="CFF0FC"/>
          </w:tcPr>
          <w:p>
            <w:pPr>
              <w:spacing w:after="0"/>
              <w:rPr>
                <w:sz w:val="15"/>
                <w:szCs w:val="15"/>
                <w:color w:val="auto"/>
              </w:rPr>
            </w:pPr>
          </w:p>
        </w:tc>
        <w:tc>
          <w:tcPr>
            <w:tcW w:w="148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77,446</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 cash and cash equivalents</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77,446</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785,859</w:t>
            </w:r>
          </w:p>
        </w:tc>
        <w:tc>
          <w:tcPr>
            <w:tcW w:w="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863,305</w:t>
            </w:r>
          </w:p>
        </w:tc>
      </w:tr>
    </w:tbl>
    <w:p>
      <w:pPr>
        <w:spacing w:after="0" w:line="324"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For the year ended September 30, 2024, the amount of Level 3 purchases, including PIK interest, net discount accretion and non-cash exchanges for the year were $293.4 million. There were no Level 3 transfers.</w:t>
      </w:r>
    </w:p>
    <w:p>
      <w:pPr>
        <w:spacing w:after="0" w:line="143"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For the year ended September 30, 2023, the amount of Level 3 purchases, including PIK interest, net discount accretion and non-cash exchanges for the year were $195.8 million. There were no Level 3 transfers.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CASH AND CASH EQUIVALENTS</w:t>
      </w:r>
    </w:p>
    <w:p>
      <w:pPr>
        <w:spacing w:after="0" w:line="178" w:lineRule="exact"/>
        <w:rPr>
          <w:sz w:val="20"/>
          <w:szCs w:val="20"/>
          <w:color w:val="auto"/>
        </w:rPr>
      </w:pPr>
    </w:p>
    <w:p>
      <w:pPr>
        <w:ind w:right="20" w:firstLine="420"/>
        <w:spacing w:after="0" w:line="239" w:lineRule="auto"/>
        <w:rPr>
          <w:sz w:val="20"/>
          <w:szCs w:val="20"/>
          <w:color w:val="auto"/>
        </w:rPr>
      </w:pPr>
      <w:r>
        <w:rPr>
          <w:rFonts w:ascii="Times New Roman" w:cs="Times New Roman" w:eastAsia="Times New Roman" w:hAnsi="Times New Roman"/>
          <w:sz w:val="16"/>
          <w:szCs w:val="16"/>
          <w:color w:val="auto"/>
        </w:rPr>
        <w:t>Cash equivalents represent cash invested in overnight money market funds. These temporary investments with original maturities of 90 days or less are deemed cash equivalents. Cash deposited at financial institutions is insured by the Federal Deposit Insurance Corporation (“FDIC”), up to specified limits. At times, such balances may exceed FDIC insured amounts. As of September 30, 2024, the entire amount of $68.4 million included in the cash and cash equivalents balance on the Consolidated Statement of Assets, Liabilities and Members' Equity is comprised of money market funds, which are not subject to FDIC insurance. As of September 30, 2023, cash and cash equivalents consisted of money market funds in the amounts of $77.4 million at fair value. PSSL believes it is not exposed to any significant risk of loss on its cash and cash equivalents.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MEMBERS’ EQUITY</w:t>
      </w:r>
    </w:p>
    <w:p>
      <w:pPr>
        <w:spacing w:after="0" w:line="178" w:lineRule="exact"/>
        <w:rPr>
          <w:sz w:val="20"/>
          <w:szCs w:val="20"/>
          <w:color w:val="auto"/>
        </w:rPr>
      </w:pPr>
    </w:p>
    <w:p>
      <w:pPr>
        <w:ind w:right="340" w:firstLine="420"/>
        <w:spacing w:after="0" w:line="259" w:lineRule="auto"/>
        <w:rPr>
          <w:sz w:val="20"/>
          <w:szCs w:val="20"/>
          <w:color w:val="auto"/>
        </w:rPr>
      </w:pPr>
      <w:r>
        <w:rPr>
          <w:rFonts w:ascii="Times New Roman" w:cs="Times New Roman" w:eastAsia="Times New Roman" w:hAnsi="Times New Roman"/>
          <w:sz w:val="16"/>
          <w:szCs w:val="16"/>
          <w:color w:val="auto"/>
        </w:rPr>
        <w:t>PFLT and Kemper provide capital to PSSL in the form of equity interests. As of September 30, 2024 and 2023, PFLT and Kemper owned 87.5% and 12.5%, respectively, of equity interests in PSSL.</w:t>
      </w:r>
    </w:p>
    <w:p>
      <w:pPr>
        <w:spacing w:after="0" w:line="143"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2024 and 2023, PFLT had commitments to fund equity interests to PSSL of $101.9 million and $101.9 million, respectively, of which none and $11.8 million, respectively, were unfunded.</w:t>
      </w:r>
    </w:p>
    <w:p>
      <w:pPr>
        <w:spacing w:after="0" w:line="143"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2024 and 2023, Kemper had commitments to fund equity interests to PSSL of $14.6 million and $14.6 million, respectively, of which none and $1.7 million, respectively, were unfunded.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NOTES PAYABLE TO MEMBERS</w:t>
      </w:r>
    </w:p>
    <w:p>
      <w:pPr>
        <w:spacing w:after="0" w:line="178" w:lineRule="exact"/>
        <w:rPr>
          <w:sz w:val="20"/>
          <w:szCs w:val="20"/>
          <w:color w:val="auto"/>
        </w:rPr>
      </w:pPr>
    </w:p>
    <w:p>
      <w:pPr>
        <w:ind w:right="180" w:firstLine="420"/>
        <w:spacing w:after="0" w:line="281" w:lineRule="auto"/>
        <w:rPr>
          <w:sz w:val="20"/>
          <w:szCs w:val="20"/>
          <w:color w:val="auto"/>
        </w:rPr>
      </w:pPr>
      <w:r>
        <w:rPr>
          <w:rFonts w:ascii="Times New Roman" w:cs="Times New Roman" w:eastAsia="Times New Roman" w:hAnsi="Times New Roman"/>
          <w:sz w:val="14"/>
          <w:szCs w:val="14"/>
          <w:color w:val="auto"/>
        </w:rPr>
        <w:t>PFLT and Kemper provide capital to PSSL in the form of first lien secured debt (“Member Notes”). The Member Notes were previously subordinated debt that were modified during the year ended September 30, 2018 to eliminate the subordination provision. The Member Notes bear an interest rate of 3-month LIBOR plus</w:t>
      </w:r>
    </w:p>
    <w:p>
      <w:pPr>
        <w:spacing w:after="0" w:line="1"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6"/>
          <w:szCs w:val="16"/>
          <w:color w:val="auto"/>
        </w:rPr>
        <w:t>8.0% through June 30, 2023 and 3-month SOFR plus 8.0% after June 30, 2023 and mature on May 4, 2029. As of September 30, 2024 and 2023, PFLT and Kemper owned 87.5% and 12.5% of the Member Notes, respectively.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58"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2024 and 2023, PFLT had commitments to fund Member Notes to PSSL of $237.7 million and $237.7 million, respectively, of which none and $27.6 million, respectively, were unfunded.</w:t>
      </w:r>
    </w:p>
    <w:p>
      <w:pPr>
        <w:spacing w:after="0" w:line="143"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2024 and 2023, Kemper had commitments to fund Member Notes to PSSL of $34.0 million and $34.0 million, respectively, of which none and $3.9 million, respectively, were unfunded.</w:t>
      </w:r>
    </w:p>
    <w:p>
      <w:pPr>
        <w:spacing w:after="0" w:line="141" w:lineRule="exact"/>
        <w:rPr>
          <w:sz w:val="20"/>
          <w:szCs w:val="20"/>
          <w:color w:val="auto"/>
        </w:rPr>
      </w:pPr>
    </w:p>
    <w:p>
      <w:pPr>
        <w:ind w:right="8220" w:firstLine="6"/>
        <w:spacing w:after="0" w:line="529" w:lineRule="auto"/>
        <w:tabs>
          <w:tab w:leader="none" w:pos="156"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RISKS AND UNCERTAINTIES Investment risk</w:t>
      </w:r>
    </w:p>
    <w:p>
      <w:pPr>
        <w:spacing w:after="0" w:line="1" w:lineRule="exact"/>
        <w:rPr>
          <w:sz w:val="20"/>
          <w:szCs w:val="20"/>
          <w:color w:val="auto"/>
        </w:rPr>
      </w:pPr>
    </w:p>
    <w:p>
      <w:pPr>
        <w:ind w:right="80" w:firstLine="420"/>
        <w:spacing w:after="0" w:line="241" w:lineRule="auto"/>
        <w:rPr>
          <w:sz w:val="20"/>
          <w:szCs w:val="20"/>
          <w:color w:val="auto"/>
        </w:rPr>
      </w:pPr>
      <w:r>
        <w:rPr>
          <w:rFonts w:ascii="Times New Roman" w:cs="Times New Roman" w:eastAsia="Times New Roman" w:hAnsi="Times New Roman"/>
          <w:sz w:val="16"/>
          <w:szCs w:val="16"/>
          <w:color w:val="auto"/>
        </w:rPr>
        <w:t>PSSL seeks investment opportunities that offer the possibility of attaining income generation, capital preservation and capital appreciation including investments in private companies. Certain events particular to each industry in which PSSL’s investments conduct their operations, as well as general economic and political conditions, may have a significant negative impact on the investee’s operations and profitability. Such events are beyond PSSL’s controls, and the likelihood that they may occur cannot be predicted. Furthermore, investments of PSSL are made in private companies and there are generally no public markets for these securities at the current time. The ability of PSSL to liquidate these investments and realize value is subject to significant limitations and uncertainties.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Leverage Risk</w:t>
      </w:r>
    </w:p>
    <w:p>
      <w:pPr>
        <w:spacing w:after="0" w:line="178" w:lineRule="exact"/>
        <w:rPr>
          <w:sz w:val="20"/>
          <w:szCs w:val="20"/>
          <w:color w:val="auto"/>
        </w:rPr>
      </w:pPr>
    </w:p>
    <w:p>
      <w:pPr>
        <w:ind w:firstLine="420"/>
        <w:spacing w:after="0" w:line="238" w:lineRule="auto"/>
        <w:rPr>
          <w:sz w:val="20"/>
          <w:szCs w:val="20"/>
          <w:color w:val="auto"/>
        </w:rPr>
      </w:pPr>
      <w:r>
        <w:rPr>
          <w:rFonts w:ascii="Times New Roman" w:cs="Times New Roman" w:eastAsia="Times New Roman" w:hAnsi="Times New Roman"/>
          <w:sz w:val="16"/>
          <w:szCs w:val="16"/>
          <w:color w:val="auto"/>
        </w:rPr>
        <w:t>PSSL may borrow funds in order to increase the amount of capital available for investment. The use of leverage can improve the return on invested equity, however, such use may also magnify the potential for loss on invested equity capital. If the value of PSSL’s assets decreases, leveraging would cause Members’ equity to decline more sharply than it otherwise would have had PSSL not used leverage. Similarly, any decrease in PSSL’s income would cause Members’ equity to decline more sharply than it would have had PSSL not borrowed. Borrowings will usually be from credit facilities and/or debt securitization which will typically be secured by PSSL’s securities and other assets. Under certain circumstances, such debt may demand an increase in the collateral that secures PSSL’s obligations and if PSSL was unable to provide additional collateral, the debt could liquidate assets held in the account to satisfy PSSL’s obligations. Liquidation in this manner could have adverse consequences. Additionally, the amount of PSSL’s borrowings and the interest rates on those borrowings, which will fluctuate, could have a significant effect on PSSL’s profitability.</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78" w:lineRule="exact"/>
        <w:rPr>
          <w:sz w:val="20"/>
          <w:szCs w:val="20"/>
          <w:color w:val="auto"/>
        </w:rPr>
      </w:pPr>
    </w:p>
    <w:p>
      <w:pPr>
        <w:ind w:right="220" w:firstLine="420"/>
        <w:spacing w:after="0" w:line="247" w:lineRule="auto"/>
        <w:rPr>
          <w:sz w:val="20"/>
          <w:szCs w:val="20"/>
          <w:color w:val="auto"/>
        </w:rPr>
      </w:pPr>
      <w:r>
        <w:rPr>
          <w:rFonts w:ascii="Times New Roman" w:cs="Times New Roman" w:eastAsia="Times New Roman" w:hAnsi="Times New Roman"/>
          <w:sz w:val="16"/>
          <w:szCs w:val="16"/>
          <w:color w:val="auto"/>
        </w:rPr>
        <w:t>PSSL primarily invests in first lien secured debt to middle-market companies. A majority of the investments held by PSSL are subject to restrictions on their resale or are otherwise illiquid. PSSL assumes the credit risk of the borrower. In the event that the borrower becomes insolvent or enters bankruptcy, PSSL may incur certain costs and delays in realizing payment, or may suffer a loss of principal and/or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FINANCIAL HIGHLIGHTS</w:t>
      </w:r>
    </w:p>
    <w:p>
      <w:pPr>
        <w:spacing w:after="0" w:line="178" w:lineRule="exact"/>
        <w:rPr>
          <w:sz w:val="20"/>
          <w:szCs w:val="20"/>
          <w:color w:val="auto"/>
        </w:rPr>
      </w:pPr>
    </w:p>
    <w:p>
      <w:pPr>
        <w:ind w:right="360" w:firstLine="420"/>
        <w:spacing w:after="0" w:line="259" w:lineRule="auto"/>
        <w:rPr>
          <w:sz w:val="20"/>
          <w:szCs w:val="20"/>
          <w:color w:val="auto"/>
        </w:rPr>
      </w:pPr>
      <w:r>
        <w:rPr>
          <w:rFonts w:ascii="Times New Roman" w:cs="Times New Roman" w:eastAsia="Times New Roman" w:hAnsi="Times New Roman"/>
          <w:sz w:val="16"/>
          <w:szCs w:val="16"/>
          <w:color w:val="auto"/>
        </w:rPr>
        <w:t>The Members are responsible for all investment making and business decisions, therefore, there is no requirement to show financial highlights per ASC 946, which have been omitted accordingly.</w:t>
      </w:r>
    </w:p>
    <w:p>
      <w:pPr>
        <w:spacing w:after="0" w:line="321" w:lineRule="exact"/>
        <w:rPr>
          <w:sz w:val="20"/>
          <w:szCs w:val="20"/>
          <w:color w:val="auto"/>
        </w:rPr>
      </w:pPr>
    </w:p>
    <w:p>
      <w:pPr>
        <w:ind w:right="9460" w:firstLine="6"/>
        <w:spacing w:after="0" w:line="529" w:lineRule="auto"/>
        <w:tabs>
          <w:tab w:leader="none" w:pos="228"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LEVERAGE Credit Facility</w:t>
      </w:r>
    </w:p>
    <w:p>
      <w:pPr>
        <w:spacing w:after="0" w:line="1" w:lineRule="exact"/>
        <w:rPr>
          <w:sz w:val="20"/>
          <w:szCs w:val="20"/>
          <w:color w:val="auto"/>
        </w:rPr>
      </w:pPr>
    </w:p>
    <w:p>
      <w:pPr>
        <w:ind w:right="120" w:firstLine="348"/>
        <w:spacing w:after="0" w:line="239" w:lineRule="auto"/>
        <w:rPr>
          <w:sz w:val="20"/>
          <w:szCs w:val="20"/>
          <w:color w:val="auto"/>
        </w:rPr>
      </w:pPr>
      <w:r>
        <w:rPr>
          <w:rFonts w:ascii="Times New Roman" w:cs="Times New Roman" w:eastAsia="Times New Roman" w:hAnsi="Times New Roman"/>
          <w:sz w:val="16"/>
          <w:szCs w:val="16"/>
          <w:color w:val="auto"/>
        </w:rPr>
        <w:t>On January 26, 2021, PSSL II entered into a $ 125.0 million senior secured revolving credit facility with Ally Bank (the "Ally Credit Facility"). Between June 3, 2021 and May 2, 2022, the Ally Credit Facility was amended to increase the total commitment to $325 million. On August 16, 2023, the total commitment was decreased to $260 million. Interest on the Ally Credit Facility changed from LIBOR plus 2.5% to SOFR plus 2.6%. On January 26, 2024, the maturity was extended and the Interest changed to SOFR plus 2.8%. The Ally credit facility matures on January 26, 2029 and is secured by substantially all of the assets held by PSSL II. As of September 30, 2024 and 2023, there were $146.1 million and $48.6 million, respectively, in outstanding borrowings under the Ally Credit Facility and we were in compliance with all required covenants in the facility. As of September 30, 2024 and 2023,</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there were $113.9 million and $211.4 million, respectively, in unfunded commitments under the Ally Credit Facility. As of September 30, 2024 and 2023, the weighted average interest rate was 7.6% and 7.8%,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 Backed Debt</w:t>
      </w:r>
    </w:p>
    <w:p>
      <w:pPr>
        <w:spacing w:after="0" w:line="16" w:lineRule="exact"/>
        <w:rPr>
          <w:sz w:val="20"/>
          <w:szCs w:val="20"/>
          <w:color w:val="auto"/>
        </w:rPr>
      </w:pPr>
    </w:p>
    <w:p>
      <w:pPr>
        <w:ind w:right="60" w:firstLine="348"/>
        <w:spacing w:after="0" w:line="268" w:lineRule="auto"/>
        <w:rPr>
          <w:sz w:val="20"/>
          <w:szCs w:val="20"/>
          <w:color w:val="auto"/>
        </w:rPr>
      </w:pPr>
      <w:r>
        <w:rPr>
          <w:rFonts w:ascii="Times New Roman" w:cs="Times New Roman" w:eastAsia="Times New Roman" w:hAnsi="Times New Roman"/>
          <w:sz w:val="14"/>
          <w:szCs w:val="14"/>
          <w:color w:val="auto"/>
        </w:rPr>
        <w:t>In January 2021, CLO II completed a $300.7 million debt securitization in the form of a collateralized loan obligation (the "2032 Asset- Backed Debt”). In May 2024, the 2032 Asset-Backed Debt was refinanced by a $300.7 million debt securitization in the form of a collateralized loan obligation, (the "2024 Debt Securitization" or the “2036 Asset-Backed Debt”). The 2036 Asset -Backed Debt is secured by a diversified portfolio, CLO II, consisting primarily of middle market loans and participation interests in middle market loans. The 2036 Asset-Backed Debt is scheduled to mature in April 2036. The 2024 Debt Securitization was executed through a private placement of: (i) $174.0 million Class A-1R Senior Secured Floating Rate Loans and Notes maturing 2036, which bear interest at the three-month SOFR plus</w:t>
      </w:r>
    </w:p>
    <w:p>
      <w:pPr>
        <w:spacing w:after="0" w:line="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6"/>
          <w:szCs w:val="16"/>
          <w:color w:val="auto"/>
        </w:rPr>
        <w:t>1.93%, (ii) $5.0 million Class A-2R Senior Secured Floating Rate Notes due 2036, which bear interest at three month SOFR plus 2.20%, (iii) $25.0 million Class B-R Senior Secured Floating Rate Notes due 2036, which bear interest at the three-month SOFR plus 2.35%, (iv) $24.0 million Class C-R Secured Deferrable Floating Rate Notes due 2036, which bear interest at the three-month SOFR plus 3.10%, (v) $18.0 million Class D Secured Deferrable Floating Rate Notes due 2036, which bear interest at the three-month SOFR plus 4.95%, and (vi) $18.0 million Class E Secured Deferrable Floating Rate Notes due 2036, which bear interest at the three-month SOFR plus 7.5%, under a credit agreement by and among the Securitization Issuers, as borrowers, various financial institutions, as lenders, and U.S. Bank National Association, as collateral agent and as loan agent.</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On the closing date of the 2024 Debt Securitization, PSSL retained 100% of the Preferred Shares of CLO II, 100% of the Class E Notes issued by CLO II, and 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portion of the net cash proceeds received from the sale of the 2036 Asset-Backed Debt. The Preferred Shares do not bear interest and had a stated value of approximately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$36.7 million at the closing of the 2024 Debt Securitization. As part of the 2024 Debt Securitization, there was debt modification resulting in debt issuance costs of $1.0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included in the Consolidated Statements of Operations. There was also debt extinguishment resulting in realized loss on debt extinguishment in the amount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 million included in the Consolidated Statements of Operations.  The remaining fees continue to be amortized and are included in amortization of deferred financing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in the Consolidated Statements of Cash Flows.</w:t>
      </w:r>
    </w:p>
    <w:p>
      <w:pPr>
        <w:spacing w:after="0" w:line="158" w:lineRule="exact"/>
        <w:rPr>
          <w:sz w:val="20"/>
          <w:szCs w:val="20"/>
          <w:color w:val="auto"/>
        </w:rPr>
      </w:pPr>
    </w:p>
    <w:p>
      <w:pPr>
        <w:jc w:val="both"/>
        <w:ind w:right="180" w:firstLine="348"/>
        <w:spacing w:after="0" w:line="247" w:lineRule="auto"/>
        <w:rPr>
          <w:sz w:val="20"/>
          <w:szCs w:val="20"/>
          <w:color w:val="auto"/>
        </w:rPr>
      </w:pPr>
      <w:r>
        <w:rPr>
          <w:rFonts w:ascii="Times New Roman" w:cs="Times New Roman" w:eastAsia="Times New Roman" w:hAnsi="Times New Roman"/>
          <w:sz w:val="16"/>
          <w:szCs w:val="16"/>
          <w:color w:val="auto"/>
        </w:rPr>
        <w:t>As of September 30, 2024 and 2023, there was $246.0 million and $246.0 million (2032 Asset-Backed Debt), respectively, of 2036 Asset-Backed Debt and there was $1.6 million and $2.0 million (2032 Asset-Backed Debt) of un-amortized financing costs, respectively. As of September 30, 2024 and 2023, the weighted average interest rate was 7.6% and 8.0% (2032 Asset-Backed Debt), respectively.</w:t>
      </w:r>
    </w:p>
    <w:p>
      <w:pPr>
        <w:spacing w:after="0" w:line="152" w:lineRule="exact"/>
        <w:rPr>
          <w:sz w:val="20"/>
          <w:szCs w:val="20"/>
          <w:color w:val="auto"/>
        </w:rPr>
      </w:pPr>
    </w:p>
    <w:p>
      <w:pPr>
        <w:ind w:right="120" w:firstLine="348"/>
        <w:spacing w:after="0" w:line="259" w:lineRule="auto"/>
        <w:rPr>
          <w:sz w:val="20"/>
          <w:szCs w:val="20"/>
          <w:color w:val="auto"/>
        </w:rPr>
      </w:pPr>
      <w:r>
        <w:rPr>
          <w:rFonts w:ascii="Times New Roman" w:cs="Times New Roman" w:eastAsia="Times New Roman" w:hAnsi="Times New Roman"/>
          <w:sz w:val="16"/>
          <w:szCs w:val="16"/>
          <w:color w:val="auto"/>
        </w:rPr>
        <w:t>The 2036 Asset-Backed Debt is included in the Consolidated Statement of Assets, Liabilities and Members' Equity as debt of the Company and the Class E Notes and the Preferred Shares have been eliminated in consolidation.</w:t>
      </w:r>
    </w:p>
    <w:p>
      <w:pPr>
        <w:spacing w:after="0" w:line="143" w:lineRule="exact"/>
        <w:rPr>
          <w:sz w:val="20"/>
          <w:szCs w:val="20"/>
          <w:color w:val="auto"/>
        </w:rPr>
      </w:pPr>
    </w:p>
    <w:p>
      <w:pPr>
        <w:ind w:right="60" w:firstLine="348"/>
        <w:spacing w:after="0" w:line="237" w:lineRule="auto"/>
        <w:rPr>
          <w:sz w:val="20"/>
          <w:szCs w:val="20"/>
          <w:color w:val="auto"/>
        </w:rPr>
      </w:pPr>
      <w:r>
        <w:rPr>
          <w:rFonts w:ascii="Times New Roman" w:cs="Times New Roman" w:eastAsia="Times New Roman" w:hAnsi="Times New Roman"/>
          <w:sz w:val="16"/>
          <w:szCs w:val="16"/>
          <w:color w:val="auto"/>
        </w:rPr>
        <w:t>In April 2023, CLO VI completed a $297.8 million debt securitization in the form of a collateralized loan obligation (the "2023 Debt Securitization" or the "2035 Asset-Backed Debt”). The 2035 Asset-Backed Debt is secured by a diversified portfolio consisting primarily of middle market loans. The 2023 Debt Securitization was executed through a private placement of: (i) $171.0 million Class A-1 Senior Secured Floating Rate Loans maturing 2035, which bear interest at the three- month SOFR plus 2.68%, (ii) $28.0 million Class B -1 Senior Secured Floating Rate Notes due 2035, which bear interest at the three-month SOFR plus 3.75%, (iii) $5.0 million Class B-2 Senior Secured Fixed Rate Notes due 2035, which bear interest of 7.634%, (v) $24.0 million Class C Secured Deferrable Floating Rate Notes due 2035, which bear interest at the three-month SOFR plus 5.25%, and (vi) $18.0 million Class D Secured Deferrable Floating Rate Notes due 2035, which bear interest at the three-month SOFR plus 7.0%, under a credit agreement by and among the Securitization Issuers, as borrowers, various financial institutions, as lenders, and Wilmington Trust, as collateral agent and as loan agent. As of September 30, 2024 and 2023, there was $246.0 million and $ 246.0 million, of 2035 Asset-Backed Debt and there was $2.1 million and $2.5 million, respectively, of un-amortized financing costs. As of September 30, 2024 and 2023, the weighted average interest rate was 8.6% and 8.5%, respectively.</w:t>
      </w:r>
    </w:p>
    <w:p>
      <w:pPr>
        <w:spacing w:after="0" w:line="164" w:lineRule="exact"/>
        <w:rPr>
          <w:sz w:val="20"/>
          <w:szCs w:val="20"/>
          <w:color w:val="auto"/>
        </w:rPr>
      </w:pPr>
    </w:p>
    <w:p>
      <w:pPr>
        <w:jc w:val="both"/>
        <w:ind w:right="180" w:firstLine="348"/>
        <w:spacing w:after="0" w:line="247" w:lineRule="auto"/>
        <w:rPr>
          <w:sz w:val="20"/>
          <w:szCs w:val="20"/>
          <w:color w:val="auto"/>
        </w:rPr>
      </w:pPr>
      <w:r>
        <w:rPr>
          <w:rFonts w:ascii="Times New Roman" w:cs="Times New Roman" w:eastAsia="Times New Roman" w:hAnsi="Times New Roman"/>
          <w:sz w:val="16"/>
          <w:szCs w:val="16"/>
          <w:color w:val="auto"/>
        </w:rPr>
        <w:t>On the closing date of the 2023 Debt Securitization, in consideration of our transfer to CLO VI of the initial closing date loan portfolio, PSSL received 100% of the Preferred Shares of CLO VI from the sale of the 2035 Asset-Backed Debt. The Preferred Shares do not bear interest and had a stated value of approximately $51.8 million at the closing of the 2023 Debt Securitization.</w:t>
      </w:r>
    </w:p>
    <w:p>
      <w:pPr>
        <w:spacing w:after="0" w:line="152" w:lineRule="exact"/>
        <w:rPr>
          <w:sz w:val="20"/>
          <w:szCs w:val="20"/>
          <w:color w:val="auto"/>
        </w:rPr>
      </w:pPr>
    </w:p>
    <w:p>
      <w:pPr>
        <w:ind w:right="420" w:firstLine="348"/>
        <w:spacing w:after="0" w:line="259" w:lineRule="auto"/>
        <w:rPr>
          <w:sz w:val="20"/>
          <w:szCs w:val="20"/>
          <w:color w:val="auto"/>
        </w:rPr>
      </w:pPr>
      <w:r>
        <w:rPr>
          <w:rFonts w:ascii="Times New Roman" w:cs="Times New Roman" w:eastAsia="Times New Roman" w:hAnsi="Times New Roman"/>
          <w:sz w:val="16"/>
          <w:szCs w:val="16"/>
          <w:color w:val="auto"/>
        </w:rPr>
        <w:t>The 2035 Asset-Backed Debt is included in the Consolidated Statement of Assets, Liabilities and Members' Equity as debt of the Company and the Preferred Shares have been eliminated in consolidation.</w:t>
      </w:r>
    </w:p>
    <w:p>
      <w:pPr>
        <w:spacing w:after="0" w:line="143" w:lineRule="exact"/>
        <w:rPr>
          <w:sz w:val="20"/>
          <w:szCs w:val="20"/>
          <w:color w:val="auto"/>
        </w:rPr>
      </w:pPr>
    </w:p>
    <w:p>
      <w:pPr>
        <w:ind w:right="420" w:firstLine="348"/>
        <w:spacing w:after="0" w:line="259" w:lineRule="auto"/>
        <w:rPr>
          <w:sz w:val="20"/>
          <w:szCs w:val="20"/>
          <w:color w:val="auto"/>
        </w:rPr>
      </w:pPr>
      <w:r>
        <w:rPr>
          <w:rFonts w:ascii="Times New Roman" w:cs="Times New Roman" w:eastAsia="Times New Roman" w:hAnsi="Times New Roman"/>
          <w:sz w:val="16"/>
          <w:szCs w:val="16"/>
          <w:color w:val="auto"/>
        </w:rPr>
        <w:t>PennantPark Investment Adviser, LLC serves as collateral manager of the 2023 Debt Securitization and the 2024 Debt Securitization pursuant to a Collateral Management Agreement. For so long as PennantPark Investment Advisor, LLC serves as</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42" w:name="page143"/>
    <w:bookmarkEnd w:id="14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collateral manager, it will elect to irrevocably waive any collateral management fee to which it may be entitled under the Collateral Management Agreements.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COMMITMENTS AND CONTINGENCY</w:t>
      </w:r>
    </w:p>
    <w:p>
      <w:pPr>
        <w:spacing w:after="0" w:line="178" w:lineRule="exact"/>
        <w:rPr>
          <w:sz w:val="20"/>
          <w:szCs w:val="20"/>
          <w:color w:val="auto"/>
        </w:rPr>
      </w:pPr>
    </w:p>
    <w:p>
      <w:pPr>
        <w:ind w:right="26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2024 and September 30, 2023, the Company had $0.6 million and $1.1 million, respectively, of unfunded commitments to fund existing investments.</w:t>
      </w:r>
    </w:p>
    <w:p>
      <w:pPr>
        <w:spacing w:after="0" w:line="143" w:lineRule="exact"/>
        <w:rPr>
          <w:sz w:val="20"/>
          <w:szCs w:val="20"/>
          <w:color w:val="auto"/>
        </w:rPr>
      </w:pPr>
    </w:p>
    <w:p>
      <w:pPr>
        <w:ind w:firstLine="420"/>
        <w:spacing w:after="0" w:line="243" w:lineRule="auto"/>
        <w:rPr>
          <w:sz w:val="20"/>
          <w:szCs w:val="20"/>
          <w:color w:val="auto"/>
        </w:rPr>
      </w:pPr>
      <w:r>
        <w:rPr>
          <w:rFonts w:ascii="Times New Roman" w:cs="Times New Roman" w:eastAsia="Times New Roman" w:hAnsi="Times New Roman"/>
          <w:sz w:val="16"/>
          <w:szCs w:val="16"/>
          <w:color w:val="auto"/>
        </w:rPr>
        <w:t>The Company has provided general indemnifications to the Members, affiliates of the Members, and any person acting on behalf of the Members or that affiliate when they act, in good faith, in the best interest of the Company. The Company is unable to develop an estimate of the maximum potential amount of future payments that could potentially result from any hypothetical future claim but expects the risk of having to make any payments under these general business indemnifications to be remote.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SUBSEQUENT EVENTS</w:t>
      </w:r>
    </w:p>
    <w:p>
      <w:pPr>
        <w:spacing w:after="0" w:line="178" w:lineRule="exact"/>
        <w:rPr>
          <w:sz w:val="20"/>
          <w:szCs w:val="20"/>
          <w:color w:val="auto"/>
        </w:rPr>
      </w:pPr>
    </w:p>
    <w:p>
      <w:pPr>
        <w:ind w:right="280" w:firstLine="420"/>
        <w:spacing w:after="0" w:line="259" w:lineRule="auto"/>
        <w:rPr>
          <w:sz w:val="20"/>
          <w:szCs w:val="20"/>
          <w:color w:val="auto"/>
        </w:rPr>
      </w:pPr>
      <w:r>
        <w:rPr>
          <w:rFonts w:ascii="Times New Roman" w:cs="Times New Roman" w:eastAsia="Times New Roman" w:hAnsi="Times New Roman"/>
          <w:sz w:val="16"/>
          <w:szCs w:val="16"/>
          <w:color w:val="auto"/>
        </w:rPr>
        <w:t>Subsequent events are evaluated and disclosed as appropriate for events occurring through the date the consolidated financial statements were available to be issued, November 25, 2024. There were no events that required disclosure.</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131" w:right="7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3"/>
          <w:szCs w:val="13"/>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PennantPark Senior Secured Loan Fund I LLC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Consolidated Financial Statements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Independent Auditor’s Report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772795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2" w:right="660"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3"/>
        </w:trPr>
        <w:tc>
          <w:tcPr>
            <w:tcW w:w="8640" w:type="dxa"/>
            <w:vAlign w:val="bottom"/>
          </w:tcPr>
          <w:p>
            <w:pPr>
              <w:ind w:left="5020"/>
              <w:spacing w:after="0"/>
              <w:rPr>
                <w:sz w:val="20"/>
                <w:szCs w:val="20"/>
                <w:color w:val="auto"/>
              </w:rPr>
            </w:pPr>
            <w:r>
              <w:rPr>
                <w:rFonts w:ascii="Times New Roman" w:cs="Times New Roman" w:eastAsia="Times New Roman" w:hAnsi="Times New Roman"/>
                <w:sz w:val="16"/>
                <w:szCs w:val="16"/>
                <w:color w:val="auto"/>
              </w:rPr>
              <w:t>Contents</w:t>
            </w:r>
          </w:p>
        </w:tc>
        <w:tc>
          <w:tcPr>
            <w:tcW w:w="1920" w:type="dxa"/>
            <w:vAlign w:val="bottom"/>
          </w:tcPr>
          <w:p>
            <w:pPr>
              <w:spacing w:after="0"/>
              <w:rPr>
                <w:sz w:val="17"/>
                <w:szCs w:val="17"/>
                <w:color w:val="auto"/>
              </w:rPr>
            </w:pPr>
          </w:p>
        </w:tc>
      </w:tr>
      <w:tr>
        <w:trPr>
          <w:trHeight w:val="432"/>
        </w:trPr>
        <w:tc>
          <w:tcPr>
            <w:tcW w:w="8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Independent Auditor’s Report</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360"/>
        </w:trPr>
        <w:tc>
          <w:tcPr>
            <w:tcW w:w="8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Statements:</w:t>
            </w:r>
          </w:p>
        </w:tc>
        <w:tc>
          <w:tcPr>
            <w:tcW w:w="1920" w:type="dxa"/>
            <w:vAlign w:val="bottom"/>
          </w:tcPr>
          <w:p>
            <w:pPr>
              <w:spacing w:after="0"/>
              <w:rPr>
                <w:sz w:val="24"/>
                <w:szCs w:val="24"/>
                <w:color w:val="auto"/>
              </w:rPr>
            </w:pP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Assets, Liabilities and Members’ Equity as of September 30, 2023 and 2022</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Operations for the years ended September 30, 2023 and 2022</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Changes in Members’ Equity for the years ended September 30, 2023 and 2022</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September 30, 2023 and 2022</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Schedules of Investments as of September 30, 2023 and 2022</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r>
      <w:tr>
        <w:trPr>
          <w:trHeight w:val="1827"/>
        </w:trPr>
        <w:tc>
          <w:tcPr>
            <w:tcW w:w="8640" w:type="dxa"/>
            <w:vAlign w:val="bottom"/>
            <w:tcBorders>
              <w:bottom w:val="single" w:sz="8" w:color="EEEEEE"/>
            </w:tcBorders>
          </w:tcPr>
          <w:p>
            <w:pPr>
              <w:spacing w:after="0"/>
              <w:rPr>
                <w:sz w:val="24"/>
                <w:szCs w:val="24"/>
                <w:color w:val="auto"/>
              </w:rPr>
            </w:pPr>
          </w:p>
        </w:tc>
        <w:tc>
          <w:tcPr>
            <w:tcW w:w="19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45" w:name="page146"/>
    <w:bookmarkEnd w:id="145"/>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Auditor’s Report</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PennantPark Senior Secured Loan Fund I LLC</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We have audited the consolidated financial statements of PennantPark Senior Secured Loan Fund I LLC and its subsidiaries (the Fund), which comprise the consolidated statements of assets, liabilities and members’ equity, including the consolidated schedule of investments, as of September 30, 2023 and 2022, the related consolidated statements of operations, changes in members’ equity and cash flows for the years then ended, and the related notes to the consolidated financial statements (collectively, the financial statements).</w:t>
      </w:r>
    </w:p>
    <w:p>
      <w:pPr>
        <w:spacing w:after="0" w:line="15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our opinion, the accompanying financial statements present fairly, in all material respects, the financial position of the Fund as of September 30, 2023 and 2022, and the results of its operations, changes in members’ equity and its cash flows for the year then ended in accordance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Fund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Emphasis of Matter</w:t>
      </w:r>
    </w:p>
    <w:p>
      <w:pPr>
        <w:spacing w:after="0" w:line="12" w:lineRule="exact"/>
        <w:rPr>
          <w:sz w:val="20"/>
          <w:szCs w:val="20"/>
          <w:color w:val="auto"/>
        </w:rPr>
      </w:pPr>
    </w:p>
    <w:p>
      <w:pPr>
        <w:ind w:right="680"/>
        <w:spacing w:after="0" w:line="244" w:lineRule="auto"/>
        <w:rPr>
          <w:sz w:val="20"/>
          <w:szCs w:val="20"/>
          <w:color w:val="auto"/>
        </w:rPr>
      </w:pPr>
      <w:r>
        <w:rPr>
          <w:rFonts w:ascii="Arial" w:cs="Arial" w:eastAsia="Arial" w:hAnsi="Arial"/>
          <w:sz w:val="16"/>
          <w:szCs w:val="16"/>
          <w:color w:val="auto"/>
        </w:rPr>
        <w:t>As discussed in Note 2 of the consolidated financial statements, the 2022 financial statements have been restated to reclassify certain amounts presented within. Our opinion is not modified with respect to this matter.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 of Management for the Financial Statements</w:t>
      </w:r>
    </w:p>
    <w:p>
      <w:pPr>
        <w:spacing w:after="0" w:line="12"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5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preparing the financial statements, management is required to evaluate whether there are conditions or events, considered in the aggregate, that raise substantial doubt about the Fund’s ability to continue as a going concern within one year after the date that the financial statements are issued or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6" w:name="page147"/>
    <w:bookmarkEnd w:id="146"/>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 Responsibilities for the Audit of the Financial Statements</w:t>
      </w:r>
    </w:p>
    <w:p>
      <w:pPr>
        <w:spacing w:after="0" w:line="12" w:lineRule="exact"/>
        <w:rPr>
          <w:sz w:val="20"/>
          <w:szCs w:val="20"/>
          <w:color w:val="auto"/>
        </w:rPr>
      </w:pPr>
    </w:p>
    <w:p>
      <w:pPr>
        <w:ind w:right="80"/>
        <w:spacing w:after="0" w:line="277" w:lineRule="auto"/>
        <w:rPr>
          <w:sz w:val="20"/>
          <w:szCs w:val="20"/>
          <w:color w:val="auto"/>
        </w:rPr>
      </w:pPr>
      <w:r>
        <w:rPr>
          <w:rFonts w:ascii="Arial" w:cs="Arial" w:eastAsia="Arial" w:hAnsi="Arial"/>
          <w:sz w:val="14"/>
          <w:szCs w:val="14"/>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performing an audit in accordance with GAAS, we:</w:t>
      </w:r>
    </w:p>
    <w:p>
      <w:pPr>
        <w:spacing w:after="0" w:line="2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Exercise professional judgment and maintain professional skepticism throughout the audit.</w:t>
      </w:r>
    </w:p>
    <w:p>
      <w:pPr>
        <w:spacing w:after="0" w:line="91" w:lineRule="exact"/>
        <w:rPr>
          <w:sz w:val="20"/>
          <w:szCs w:val="20"/>
          <w:color w:val="auto"/>
        </w:rPr>
      </w:pPr>
    </w:p>
    <w:p>
      <w:pPr>
        <w:ind w:left="48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Identify and assess the risks of material misstatement of the financial statements, whether due to fraud or error, and design and perform audit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procedures responsive to those risks. Such procedures include examining, on a test basis, evidence regarding the amounts and disclosures in the financial statements.</w:t>
      </w:r>
    </w:p>
    <w:p>
      <w:pPr>
        <w:spacing w:after="0" w:line="64" w:lineRule="exact"/>
        <w:rPr>
          <w:sz w:val="20"/>
          <w:szCs w:val="20"/>
          <w:color w:val="auto"/>
        </w:rPr>
      </w:pPr>
    </w:p>
    <w:p>
      <w:pPr>
        <w:ind w:left="4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Obtain an understanding of internal control relevant to the audit in order to design audit procedures that are appropriate in the circumstances, but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not for the purpose of expressing an opinion on the effectiveness of the Fund’s internal control. Accordingly, no such opinion is expressed.</w:t>
      </w:r>
    </w:p>
    <w:p>
      <w:pPr>
        <w:spacing w:after="0" w:line="51" w:lineRule="exact"/>
        <w:rPr>
          <w:sz w:val="20"/>
          <w:szCs w:val="20"/>
          <w:color w:val="auto"/>
        </w:rPr>
      </w:pPr>
    </w:p>
    <w:p>
      <w:pPr>
        <w:ind w:left="480" w:right="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Evaluate the appropriateness of accounting policies used and the reasonableness of significant accounting estimates made by management, as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well as evaluate the overall presentation of the financial statements.</w:t>
      </w:r>
    </w:p>
    <w:p>
      <w:pPr>
        <w:spacing w:after="0" w:line="51" w:lineRule="exact"/>
        <w:rPr>
          <w:sz w:val="20"/>
          <w:szCs w:val="20"/>
          <w:color w:val="auto"/>
        </w:rPr>
      </w:pPr>
    </w:p>
    <w:p>
      <w:pPr>
        <w:ind w:left="480" w:right="260"/>
        <w:spacing w:after="0" w:line="24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Conclude whether, in our judgment, there are conditions or events, considered in the aggregate, that raise substantial doubt about the Fund’s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ability to continue as a going concern for a reasonable period of time.</w:t>
      </w:r>
    </w:p>
    <w:p>
      <w:pPr>
        <w:ind w:right="520"/>
        <w:spacing w:after="0" w:line="244" w:lineRule="auto"/>
        <w:rPr>
          <w:sz w:val="20"/>
          <w:szCs w:val="20"/>
          <w:color w:val="auto"/>
        </w:rPr>
      </w:pPr>
      <w:r>
        <w:rPr>
          <w:rFonts w:ascii="Arial" w:cs="Arial" w:eastAsia="Arial" w:hAnsi="Arial"/>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December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NOTES TO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Consolidated Statements of Assets, Liabilities and Members' Equity</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cost—$804,608 and $770,280, respectively)</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785,859</w:t>
            </w:r>
          </w:p>
        </w:tc>
        <w:tc>
          <w:tcPr>
            <w:tcW w:w="52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754,722</w:t>
            </w:r>
          </w:p>
        </w:tc>
        <w:tc>
          <w:tcPr>
            <w:tcW w:w="80" w:type="dxa"/>
            <w:vAlign w:val="bottom"/>
          </w:tcPr>
          <w:p>
            <w:pPr>
              <w:spacing w:after="0"/>
              <w:rPr>
                <w:sz w:val="13"/>
                <w:szCs w:val="13"/>
                <w:color w:val="auto"/>
              </w:rPr>
            </w:pP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(cost—$77,446 and $30,152, respectively)</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77,446</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30,152</w:t>
            </w: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3,025</w:t>
            </w:r>
          </w:p>
        </w:tc>
        <w:tc>
          <w:tcPr>
            <w:tcW w:w="80" w:type="dxa"/>
            <w:vAlign w:val="bottom"/>
          </w:tcPr>
          <w:p>
            <w:pPr>
              <w:spacing w:after="0"/>
              <w:rPr>
                <w:sz w:val="13"/>
                <w:szCs w:val="13"/>
                <w:color w:val="auto"/>
              </w:rPr>
            </w:pP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Receivable for investment sold</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3,637</w:t>
            </w: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w:t>
            </w:r>
          </w:p>
        </w:tc>
        <w:tc>
          <w:tcPr>
            <w:tcW w:w="80" w:type="dxa"/>
            <w:vAlign w:val="bottom"/>
          </w:tcPr>
          <w:p>
            <w:pPr>
              <w:spacing w:after="0"/>
              <w:rPr>
                <w:sz w:val="13"/>
                <w:szCs w:val="13"/>
                <w:color w:val="auto"/>
              </w:rPr>
            </w:pP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 (See Note 3)</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3,553</w:t>
            </w: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796,811</w:t>
            </w:r>
          </w:p>
        </w:tc>
        <w:tc>
          <w:tcPr>
            <w:tcW w:w="80" w:type="dxa"/>
            <w:vAlign w:val="bottom"/>
          </w:tcPr>
          <w:p>
            <w:pPr>
              <w:spacing w:after="0"/>
              <w:rPr>
                <w:sz w:val="13"/>
                <w:szCs w:val="13"/>
                <w:color w:val="auto"/>
              </w:rPr>
            </w:pP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48,600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259,500</w:t>
            </w:r>
          </w:p>
        </w:tc>
        <w:tc>
          <w:tcPr>
            <w:tcW w:w="80" w:type="dxa"/>
            <w:vAlign w:val="bottom"/>
          </w:tcPr>
          <w:p>
            <w:pPr>
              <w:spacing w:after="0"/>
              <w:rPr>
                <w:sz w:val="13"/>
                <w:szCs w:val="13"/>
                <w:color w:val="auto"/>
              </w:rPr>
            </w:pP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2032 Asset-backed debt, net (par—$246,000)</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243,973</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243,365</w:t>
            </w: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243,483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240,100</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217,350</w:t>
            </w: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3,817</w:t>
            </w:r>
          </w:p>
        </w:tc>
        <w:tc>
          <w:tcPr>
            <w:tcW w:w="80" w:type="dxa"/>
            <w:vAlign w:val="bottom"/>
          </w:tcPr>
          <w:p>
            <w:pPr>
              <w:spacing w:after="0"/>
              <w:rPr>
                <w:sz w:val="13"/>
                <w:szCs w:val="13"/>
                <w:color w:val="auto"/>
              </w:rPr>
            </w:pP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13,466</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10,414</w:t>
            </w: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4,719</w:t>
            </w:r>
          </w:p>
        </w:tc>
        <w:tc>
          <w:tcPr>
            <w:tcW w:w="80" w:type="dxa"/>
            <w:vAlign w:val="bottom"/>
          </w:tcPr>
          <w:p>
            <w:pPr>
              <w:spacing w:after="0"/>
              <w:rPr>
                <w:sz w:val="13"/>
                <w:szCs w:val="13"/>
                <w:color w:val="auto"/>
              </w:rPr>
            </w:pP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811,260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740,315</w:t>
            </w:r>
          </w:p>
        </w:tc>
        <w:tc>
          <w:tcPr>
            <w:tcW w:w="80" w:type="dxa"/>
            <w:vAlign w:val="bottom"/>
          </w:tcPr>
          <w:p>
            <w:pPr>
              <w:spacing w:after="0"/>
              <w:rPr>
                <w:sz w:val="13"/>
                <w:szCs w:val="13"/>
                <w:color w:val="auto"/>
              </w:rPr>
            </w:pPr>
          </w:p>
        </w:tc>
      </w:tr>
      <w:tr>
        <w:trPr>
          <w:trHeight w:val="156"/>
        </w:trPr>
        <w:tc>
          <w:tcPr>
            <w:tcW w:w="6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300" w:type="dxa"/>
            <w:vAlign w:val="bottom"/>
            <w:shd w:val="clear" w:color="auto" w:fill="CCECFF"/>
          </w:tcPr>
          <w:p>
            <w:pPr>
              <w:spacing w:after="0"/>
              <w:rPr>
                <w:sz w:val="13"/>
                <w:szCs w:val="13"/>
                <w:color w:val="auto"/>
              </w:rPr>
            </w:pPr>
          </w:p>
        </w:tc>
        <w:tc>
          <w:tcPr>
            <w:tcW w:w="1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7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20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58,150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56,496</w:t>
            </w:r>
          </w:p>
        </w:tc>
        <w:tc>
          <w:tcPr>
            <w:tcW w:w="80" w:type="dxa"/>
            <w:vAlign w:val="bottom"/>
          </w:tcPr>
          <w:p>
            <w:pPr>
              <w:spacing w:after="0"/>
              <w:rPr>
                <w:sz w:val="13"/>
                <w:szCs w:val="13"/>
                <w:color w:val="auto"/>
              </w:rPr>
            </w:pPr>
          </w:p>
        </w:tc>
      </w:tr>
      <w:tr>
        <w:trPr>
          <w:trHeight w:val="196"/>
        </w:trPr>
        <w:tc>
          <w:tcPr>
            <w:tcW w:w="6200" w:type="dxa"/>
            <w:vAlign w:val="bottom"/>
            <w:tcBorders>
              <w:bottom w:val="single" w:sz="8" w:color="CCECFF"/>
            </w:tcBorders>
            <w:shd w:val="clear" w:color="auto" w:fill="CCECFF"/>
          </w:tcPr>
          <w:p>
            <w:pPr>
              <w:ind w:left="36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00" w:type="dxa"/>
            <w:vAlign w:val="bottom"/>
            <w:tcBorders>
              <w:bottom w:val="single" w:sz="8" w:color="auto"/>
            </w:tcBorders>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22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796,811</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48" w:name="page149"/>
    <w:bookmarkEnd w:id="148"/>
    <w:p>
      <w:pPr>
        <w:spacing w:after="0" w:line="3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21"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23"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6707505"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Interest</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6707505" cy="990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Total investment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color w:val="auto"/>
        </w:rPr>
        <w:t>Interest and expense on credit facility and asset-backed debt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Interest expense on notes to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color w:val="auto"/>
        </w:rPr>
        <w:t>Administration fees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b w:val="1"/>
          <w:bCs w:val="1"/>
          <w:color w:val="auto"/>
        </w:rPr>
        <w:t>Total expenses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990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6707505" cy="1219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p>
      <w:pPr>
        <w:spacing w:after="0" w:line="387"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9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419735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00" w:type="dxa"/>
            <w:vAlign w:val="bottom"/>
          </w:tcPr>
          <w:p>
            <w:pPr>
              <w:spacing w:after="0"/>
              <w:rPr>
                <w:sz w:val="13"/>
                <w:szCs w:val="13"/>
                <w:color w:val="auto"/>
              </w:rPr>
            </w:pPr>
          </w:p>
        </w:tc>
        <w:tc>
          <w:tcPr>
            <w:tcW w:w="204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89,547</w:t>
            </w:r>
          </w:p>
        </w:tc>
        <w:tc>
          <w:tcPr>
            <w:tcW w:w="220" w:type="dxa"/>
            <w:vAlign w:val="bottom"/>
          </w:tcPr>
          <w:p>
            <w:pPr>
              <w:spacing w:after="0"/>
              <w:rPr>
                <w:sz w:val="24"/>
                <w:szCs w:val="24"/>
                <w:color w:val="auto"/>
              </w:rPr>
            </w:pPr>
          </w:p>
        </w:tc>
        <w:tc>
          <w:tcPr>
            <w:tcW w:w="820" w:type="dxa"/>
            <w:vAlign w:val="bottom"/>
            <w:vMerge w:val="restart"/>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300" w:type="dxa"/>
            <w:vAlign w:val="bottom"/>
            <w:vMerge w:val="continue"/>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90,844</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42,797</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30,325</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76,341</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14,503</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(6,328 )</w:t>
            </w:r>
          </w:p>
        </w:tc>
        <w:tc>
          <w:tcPr>
            <w:tcW w:w="8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(14,948 )</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(3,171 )</w:t>
            </w:r>
          </w:p>
        </w:tc>
        <w:tc>
          <w:tcPr>
            <w:tcW w:w="8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(3,695 )</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(9,499 )</w:t>
            </w:r>
          </w:p>
        </w:tc>
        <w:tc>
          <w:tcPr>
            <w:tcW w:w="8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(18,643 )</w:t>
            </w:r>
          </w:p>
        </w:tc>
        <w:tc>
          <w:tcPr>
            <w:tcW w:w="0" w:type="dxa"/>
            <w:vAlign w:val="bottom"/>
          </w:tcPr>
          <w:p>
            <w:pPr>
              <w:spacing w:after="0"/>
              <w:rPr>
                <w:sz w:val="1"/>
                <w:szCs w:val="1"/>
                <w:color w:val="auto"/>
              </w:rPr>
            </w:pPr>
          </w:p>
        </w:tc>
      </w:tr>
      <w:tr>
        <w:trPr>
          <w:trHeight w:val="168"/>
        </w:trPr>
        <w:tc>
          <w:tcPr>
            <w:tcW w:w="300" w:type="dxa"/>
            <w:vAlign w:val="bottom"/>
          </w:tcPr>
          <w:p>
            <w:pPr>
              <w:jc w:val="right"/>
              <w:ind w:right="1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5,004</w:t>
            </w:r>
          </w:p>
        </w:tc>
        <w:tc>
          <w:tcPr>
            <w:tcW w:w="220" w:type="dxa"/>
            <w:vAlign w:val="bottom"/>
          </w:tcPr>
          <w:p>
            <w:pPr>
              <w:spacing w:after="0"/>
              <w:rPr>
                <w:sz w:val="14"/>
                <w:szCs w:val="14"/>
                <w:color w:val="auto"/>
              </w:rPr>
            </w:pPr>
          </w:p>
        </w:tc>
        <w:tc>
          <w:tcPr>
            <w:tcW w:w="820" w:type="dxa"/>
            <w:vAlign w:val="bottom"/>
          </w:tcPr>
          <w:p>
            <w:pPr>
              <w:jc w:val="right"/>
              <w:ind w:right="67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0"/>
                <w:szCs w:val="10"/>
                <w:color w:val="auto"/>
              </w:rPr>
              <w:t xml:space="preserve">(3,318 </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2">
            <w:col w:w="7380" w:space="260"/>
            <w:col w:w="2860"/>
          </w:cols>
          <w:pgMar w:left="680" w:top="1440" w:right="720" w:bottom="1440" w:gutter="0" w:footer="0" w:header="0"/>
        </w:sectPr>
      </w:pPr>
    </w:p>
    <w:bookmarkStart w:id="149" w:name="page150"/>
    <w:bookmarkEnd w:id="149"/>
    <w:p>
      <w:pPr>
        <w:spacing w:after="0" w:line="21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Members’ Equity</w:t>
      </w:r>
    </w:p>
    <w:p>
      <w:pPr>
        <w:spacing w:after="0" w:line="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5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members’ equity resulting from operations:</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2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Net investment income</w:t>
            </w:r>
          </w:p>
        </w:tc>
        <w:tc>
          <w:tcPr>
            <w:tcW w:w="980" w:type="dxa"/>
            <w:vAlign w:val="bottom"/>
            <w:shd w:val="clear" w:color="auto" w:fill="CCEC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220" w:type="dxa"/>
            <w:vAlign w:val="bottom"/>
            <w:shd w:val="clear" w:color="auto" w:fill="CCECFF"/>
          </w:tcPr>
          <w:p>
            <w:pPr>
              <w:spacing w:after="0"/>
              <w:rPr>
                <w:sz w:val="14"/>
                <w:szCs w:val="14"/>
                <w:color w:val="auto"/>
              </w:rPr>
            </w:pPr>
          </w:p>
        </w:tc>
        <w:tc>
          <w:tcPr>
            <w:tcW w:w="40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15,325</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9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(6,328 )</w:t>
            </w:r>
          </w:p>
        </w:tc>
        <w:tc>
          <w:tcPr>
            <w:tcW w:w="4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(14,948 )</w:t>
            </w:r>
          </w:p>
        </w:tc>
        <w:tc>
          <w:tcPr>
            <w:tcW w:w="0" w:type="dxa"/>
            <w:vAlign w:val="bottom"/>
          </w:tcPr>
          <w:p>
            <w:pPr>
              <w:spacing w:after="0"/>
              <w:rPr>
                <w:sz w:val="1"/>
                <w:szCs w:val="1"/>
                <w:color w:val="auto"/>
              </w:rPr>
            </w:pPr>
          </w:p>
        </w:tc>
      </w:tr>
      <w:tr>
        <w:trPr>
          <w:trHeight w:val="168"/>
        </w:trPr>
        <w:tc>
          <w:tcPr>
            <w:tcW w:w="72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980" w:type="dxa"/>
            <w:vAlign w:val="bottom"/>
            <w:shd w:val="clear" w:color="auto" w:fill="CCECFF"/>
          </w:tcPr>
          <w:p>
            <w:pPr>
              <w:spacing w:after="0"/>
              <w:rPr>
                <w:sz w:val="14"/>
                <w:szCs w:val="14"/>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(3,171 )</w:t>
            </w:r>
          </w:p>
        </w:tc>
        <w:tc>
          <w:tcPr>
            <w:tcW w:w="4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(3,695 )</w:t>
            </w:r>
          </w:p>
        </w:tc>
        <w:tc>
          <w:tcPr>
            <w:tcW w:w="0" w:type="dxa"/>
            <w:vAlign w:val="bottom"/>
          </w:tcPr>
          <w:p>
            <w:pPr>
              <w:spacing w:after="0"/>
              <w:rPr>
                <w:sz w:val="1"/>
                <w:szCs w:val="1"/>
                <w:color w:val="auto"/>
              </w:rPr>
            </w:pPr>
          </w:p>
        </w:tc>
      </w:tr>
      <w:tr>
        <w:trPr>
          <w:trHeight w:val="168"/>
        </w:trPr>
        <w:tc>
          <w:tcPr>
            <w:tcW w:w="7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increase (decrease) in members’ equity resulting from operations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(3,318 )</w:t>
            </w:r>
          </w:p>
        </w:tc>
        <w:tc>
          <w:tcPr>
            <w:tcW w:w="0" w:type="dxa"/>
            <w:vAlign w:val="bottom"/>
          </w:tcPr>
          <w:p>
            <w:pPr>
              <w:spacing w:after="0"/>
              <w:rPr>
                <w:sz w:val="1"/>
                <w:szCs w:val="1"/>
                <w:color w:val="auto"/>
              </w:rPr>
            </w:pPr>
          </w:p>
        </w:tc>
      </w:tr>
      <w:tr>
        <w:trPr>
          <w:trHeight w:val="168"/>
        </w:trPr>
        <w:tc>
          <w:tcPr>
            <w:tcW w:w="72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Capital contributions</w:t>
            </w:r>
          </w:p>
        </w:tc>
        <w:tc>
          <w:tcPr>
            <w:tcW w:w="980" w:type="dxa"/>
            <w:vAlign w:val="bottom"/>
            <w:shd w:val="clear" w:color="auto" w:fill="CCECFF"/>
          </w:tcPr>
          <w:p>
            <w:pPr>
              <w:spacing w:after="0"/>
              <w:rPr>
                <w:sz w:val="14"/>
                <w:szCs w:val="14"/>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22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24,150</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Distributions</w:t>
            </w:r>
          </w:p>
        </w:tc>
        <w:tc>
          <w:tcPr>
            <w:tcW w:w="9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(13,100 )</w:t>
            </w:r>
          </w:p>
        </w:tc>
        <w:tc>
          <w:tcPr>
            <w:tcW w:w="4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(15,600 )</w:t>
            </w:r>
          </w:p>
        </w:tc>
        <w:tc>
          <w:tcPr>
            <w:tcW w:w="0" w:type="dxa"/>
            <w:vAlign w:val="bottom"/>
          </w:tcPr>
          <w:p>
            <w:pPr>
              <w:spacing w:after="0"/>
              <w:rPr>
                <w:sz w:val="1"/>
                <w:szCs w:val="1"/>
                <w:color w:val="auto"/>
              </w:rPr>
            </w:pPr>
          </w:p>
        </w:tc>
      </w:tr>
      <w:tr>
        <w:trPr>
          <w:trHeight w:val="168"/>
        </w:trPr>
        <w:tc>
          <w:tcPr>
            <w:tcW w:w="7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w:t>
            </w:r>
          </w:p>
        </w:tc>
        <w:tc>
          <w:tcPr>
            <w:tcW w:w="980" w:type="dxa"/>
            <w:vAlign w:val="bottom"/>
            <w:shd w:val="clear" w:color="auto" w:fill="CCECFF"/>
          </w:tcPr>
          <w:p>
            <w:pPr>
              <w:spacing w:after="0"/>
              <w:rPr>
                <w:sz w:val="14"/>
                <w:szCs w:val="14"/>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22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Beginning of year</w:t>
            </w:r>
          </w:p>
        </w:tc>
        <w:tc>
          <w:tcPr>
            <w:tcW w:w="980" w:type="dxa"/>
            <w:vAlign w:val="bottom"/>
            <w:shd w:val="clear" w:color="auto" w:fill="CCECFF"/>
          </w:tcPr>
          <w:p>
            <w:pPr>
              <w:spacing w:after="0"/>
              <w:rPr>
                <w:sz w:val="14"/>
                <w:szCs w:val="14"/>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56,496</w:t>
            </w:r>
          </w:p>
        </w:tc>
        <w:tc>
          <w:tcPr>
            <w:tcW w:w="22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51,264</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 of year</w:t>
            </w:r>
          </w:p>
        </w:tc>
        <w:tc>
          <w:tcPr>
            <w:tcW w:w="9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58,150</w:t>
            </w:r>
          </w:p>
        </w:tc>
        <w:tc>
          <w:tcPr>
            <w:tcW w:w="22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0" w:name="page151"/>
    <w:bookmarkEnd w:id="150"/>
    <w:p>
      <w:pPr>
        <w:spacing w:after="0" w:line="39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5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2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increase (decrease) in members’ equity resulting from operations</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w:t>
            </w:r>
          </w:p>
        </w:tc>
        <w:tc>
          <w:tcPr>
            <w:tcW w:w="200" w:type="dxa"/>
            <w:vAlign w:val="bottom"/>
          </w:tcPr>
          <w:p>
            <w:pPr>
              <w:spacing w:after="0"/>
              <w:rPr>
                <w:sz w:val="14"/>
                <w:szCs w:val="1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(3,318 )</w:t>
            </w:r>
          </w:p>
        </w:tc>
      </w:tr>
      <w:tr>
        <w:trPr>
          <w:trHeight w:val="156"/>
        </w:trPr>
        <w:tc>
          <w:tcPr>
            <w:tcW w:w="6840" w:type="dxa"/>
            <w:vAlign w:val="bottom"/>
            <w:shd w:val="clear" w:color="auto" w:fill="CCECFF"/>
          </w:tcPr>
          <w:p>
            <w:pPr>
              <w:ind w:left="80"/>
              <w:spacing w:after="0" w:line="156" w:lineRule="exact"/>
              <w:rPr>
                <w:sz w:val="20"/>
                <w:szCs w:val="20"/>
                <w:color w:val="auto"/>
              </w:rPr>
            </w:pPr>
            <w:r>
              <w:rPr>
                <w:rFonts w:ascii="Times New Roman" w:cs="Times New Roman" w:eastAsia="Times New Roman" w:hAnsi="Times New Roman"/>
                <w:sz w:val="14"/>
                <w:szCs w:val="14"/>
                <w:color w:val="auto"/>
              </w:rPr>
              <w:t>Adjustments to reconcile net increase (decrease) in members’ equity resulting from operations to net cash</w:t>
            </w:r>
          </w:p>
        </w:tc>
        <w:tc>
          <w:tcPr>
            <w:tcW w:w="11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0"/>
        </w:trPr>
        <w:tc>
          <w:tcPr>
            <w:tcW w:w="68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provided by (used in) operating activities:</w:t>
            </w:r>
          </w:p>
        </w:tc>
        <w:tc>
          <w:tcPr>
            <w:tcW w:w="112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12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6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14,948</w:t>
            </w: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1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(3,917 )</w:t>
            </w:r>
          </w:p>
        </w:tc>
        <w:tc>
          <w:tcPr>
            <w:tcW w:w="44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(3,186 )</w:t>
            </w: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12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(190,871 )</w:t>
            </w:r>
          </w:p>
        </w:tc>
        <w:tc>
          <w:tcPr>
            <w:tcW w:w="4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(278,807 )</w:t>
            </w:r>
          </w:p>
        </w:tc>
      </w:tr>
      <w:tr>
        <w:trPr>
          <w:trHeight w:val="16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 interest</w:t>
            </w:r>
          </w:p>
        </w:tc>
        <w:tc>
          <w:tcPr>
            <w:tcW w:w="1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(1,055 )</w:t>
            </w:r>
          </w:p>
        </w:tc>
        <w:tc>
          <w:tcPr>
            <w:tcW w:w="44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(1,069 )</w:t>
            </w: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investments</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155,207</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102,436</w:t>
            </w: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(Increase) Decrease in:</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2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w:t>
            </w: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receivable</w:t>
            </w:r>
          </w:p>
        </w:tc>
        <w:tc>
          <w:tcPr>
            <w:tcW w:w="112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(2,154 )</w:t>
            </w:r>
          </w:p>
        </w:tc>
        <w:tc>
          <w:tcPr>
            <w:tcW w:w="4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(1,612 )</w:t>
            </w:r>
          </w:p>
        </w:tc>
      </w:tr>
      <w:tr>
        <w:trPr>
          <w:trHeight w:val="168"/>
        </w:trPr>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(57 )</w:t>
            </w:r>
          </w:p>
        </w:tc>
      </w:tr>
      <w:tr>
        <w:trPr>
          <w:trHeight w:val="168"/>
        </w:trPr>
        <w:tc>
          <w:tcPr>
            <w:tcW w:w="68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Due from affiliate</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(3,553 )</w:t>
            </w:r>
          </w:p>
        </w:tc>
      </w:tr>
      <w:tr>
        <w:trPr>
          <w:trHeight w:val="16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(Decrease) in:</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Payables for investments purchased</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(21,550 )</w:t>
            </w:r>
          </w:p>
        </w:tc>
      </w:tr>
      <w:tr>
        <w:trPr>
          <w:trHeight w:val="168"/>
        </w:trPr>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10,474</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w:t>
            </w:r>
          </w:p>
        </w:tc>
        <w:tc>
          <w:tcPr>
            <w:tcW w:w="1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(291 )</w:t>
            </w: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12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(4,501 )</w:t>
            </w:r>
          </w:p>
        </w:tc>
        <w:tc>
          <w:tcPr>
            <w:tcW w:w="4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(182,665 )</w:t>
            </w: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Members’ capital contributions</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15,763</w:t>
            </w: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members</w:t>
            </w:r>
          </w:p>
        </w:tc>
        <w:tc>
          <w:tcPr>
            <w:tcW w:w="1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(13,100 )</w:t>
            </w:r>
          </w:p>
        </w:tc>
        <w:tc>
          <w:tcPr>
            <w:tcW w:w="44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(15,600 )</w:t>
            </w: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Notes issued to members</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22,750</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36,780</w:t>
            </w: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2035 asset backed debt issued</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246,000</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Discount on 2035 asset backed debt issued</w:t>
            </w:r>
          </w:p>
        </w:tc>
        <w:tc>
          <w:tcPr>
            <w:tcW w:w="112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(2,705 )</w:t>
            </w:r>
          </w:p>
        </w:tc>
        <w:tc>
          <w:tcPr>
            <w:tcW w:w="4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41,600</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220,500</w:t>
            </w: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Repayments under credit facility</w:t>
            </w:r>
          </w:p>
        </w:tc>
        <w:tc>
          <w:tcPr>
            <w:tcW w:w="112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(252,500 )</w:t>
            </w:r>
          </w:p>
        </w:tc>
        <w:tc>
          <w:tcPr>
            <w:tcW w:w="4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(73,000 )</w:t>
            </w:r>
          </w:p>
        </w:tc>
      </w:tr>
      <w:tr>
        <w:trPr>
          <w:trHeight w:val="24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184,443</w:t>
            </w:r>
          </w:p>
        </w:tc>
        <w:tc>
          <w:tcPr>
            <w:tcW w:w="80" w:type="dxa"/>
            <w:vAlign w:val="bottom"/>
          </w:tcPr>
          <w:p>
            <w:pPr>
              <w:spacing w:after="0"/>
              <w:rPr>
                <w:sz w:val="21"/>
                <w:szCs w:val="21"/>
                <w:color w:val="auto"/>
              </w:rPr>
            </w:pPr>
          </w:p>
        </w:tc>
      </w:tr>
      <w:tr>
        <w:trPr>
          <w:trHeight w:val="64"/>
        </w:trPr>
        <w:tc>
          <w:tcPr>
            <w:tcW w:w="68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68"/>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47,294</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30,152</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28,374</w:t>
            </w: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1120" w:type="dxa"/>
            <w:vAlign w:val="bottom"/>
            <w:shd w:val="clear" w:color="auto" w:fill="CCEC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77,446</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30,152</w:t>
            </w: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1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2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paid on credit facility and asset-backed debt</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32,323</w:t>
            </w:r>
          </w:p>
        </w:tc>
        <w:tc>
          <w:tcPr>
            <w:tcW w:w="200" w:type="dxa"/>
            <w:vAlign w:val="bottom"/>
          </w:tcPr>
          <w:p>
            <w:pPr>
              <w:spacing w:after="0"/>
              <w:rPr>
                <w:sz w:val="14"/>
                <w:szCs w:val="1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16,334</w:t>
            </w:r>
          </w:p>
        </w:tc>
        <w:tc>
          <w:tcPr>
            <w:tcW w:w="80" w:type="dxa"/>
            <w:vAlign w:val="bottom"/>
          </w:tcPr>
          <w:p>
            <w:pPr>
              <w:spacing w:after="0"/>
              <w:rPr>
                <w:sz w:val="14"/>
                <w:szCs w:val="14"/>
                <w:color w:val="auto"/>
              </w:rPr>
            </w:pPr>
          </w:p>
        </w:tc>
      </w:tr>
      <w:tr>
        <w:trPr>
          <w:trHeight w:val="16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paid on notes to members</w:t>
            </w:r>
          </w:p>
        </w:tc>
        <w:tc>
          <w:tcPr>
            <w:tcW w:w="1120" w:type="dxa"/>
            <w:vAlign w:val="bottom"/>
            <w:shd w:val="clear" w:color="auto" w:fill="CCEC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28,556</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15,403</w:t>
            </w:r>
          </w:p>
        </w:tc>
        <w:tc>
          <w:tcPr>
            <w:tcW w:w="80" w:type="dxa"/>
            <w:vAlign w:val="bottom"/>
            <w:shd w:val="clear" w:color="auto" w:fill="CCECFF"/>
          </w:tcPr>
          <w:p>
            <w:pPr>
              <w:spacing w:after="0"/>
              <w:rPr>
                <w:sz w:val="14"/>
                <w:szCs w:val="14"/>
                <w:color w:val="auto"/>
              </w:rPr>
            </w:pP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and Financing activity:</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8"/>
        </w:trPr>
        <w:tc>
          <w:tcPr>
            <w:tcW w:w="6840" w:type="dxa"/>
            <w:vAlign w:val="bottom"/>
            <w:shd w:val="clear" w:color="auto" w:fill="CCECFF"/>
          </w:tcPr>
          <w:p>
            <w:pPr>
              <w:ind w:left="200"/>
              <w:spacing w:after="0" w:line="148" w:lineRule="exact"/>
              <w:rPr>
                <w:sz w:val="20"/>
                <w:szCs w:val="20"/>
                <w:color w:val="auto"/>
              </w:rPr>
            </w:pPr>
            <w:r>
              <w:rPr>
                <w:rFonts w:ascii="Times New Roman" w:cs="Times New Roman" w:eastAsia="Times New Roman" w:hAnsi="Times New Roman"/>
                <w:sz w:val="14"/>
                <w:szCs w:val="14"/>
                <w:color w:val="auto"/>
              </w:rPr>
              <w:t>Purchase of investments from non-cash equity contribution</w:t>
            </w:r>
          </w:p>
        </w:tc>
        <w:tc>
          <w:tcPr>
            <w:tcW w:w="1120" w:type="dxa"/>
            <w:vAlign w:val="bottom"/>
            <w:shd w:val="clear" w:color="auto" w:fill="CCECFF"/>
          </w:tcPr>
          <w:p>
            <w:pPr>
              <w:jc w:val="right"/>
              <w:ind w:right="9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C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8"/>
                <w:szCs w:val="18"/>
                <w:color w:val="auto"/>
              </w:rPr>
            </w:pPr>
          </w:p>
        </w:tc>
        <w:tc>
          <w:tcPr>
            <w:tcW w:w="440" w:type="dxa"/>
            <w:vAlign w:val="bottom"/>
            <w:shd w:val="clear" w:color="auto" w:fill="CCECFF"/>
          </w:tcPr>
          <w:p>
            <w:pPr>
              <w:jc w:val="right"/>
              <w:ind w:right="26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CFF"/>
          </w:tcPr>
          <w:p>
            <w:pPr>
              <w:jc w:val="right"/>
              <w:ind w:right="20"/>
              <w:spacing w:after="0" w:line="148" w:lineRule="exact"/>
              <w:rPr>
                <w:sz w:val="20"/>
                <w:szCs w:val="20"/>
                <w:color w:val="auto"/>
              </w:rPr>
            </w:pPr>
            <w:r>
              <w:rPr>
                <w:rFonts w:ascii="Times New Roman" w:cs="Times New Roman" w:eastAsia="Times New Roman" w:hAnsi="Times New Roman"/>
                <w:sz w:val="11"/>
                <w:szCs w:val="11"/>
                <w:color w:val="auto"/>
              </w:rPr>
              <w:t xml:space="preserve">(27,957 </w:t>
            </w:r>
            <w:r>
              <w:rPr>
                <w:rFonts w:ascii="Times New Roman" w:cs="Times New Roman" w:eastAsia="Times New Roman" w:hAnsi="Times New Roman"/>
                <w:sz w:val="17"/>
                <w:szCs w:val="17"/>
                <w:color w:val="auto"/>
                <w:vertAlign w:val="subscript"/>
              </w:rPr>
              <w:t>)</w:t>
            </w:r>
          </w:p>
        </w:tc>
      </w:tr>
      <w:tr>
        <w:trPr>
          <w:trHeight w:val="192"/>
        </w:trPr>
        <w:tc>
          <w:tcPr>
            <w:tcW w:w="684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4"/>
                <w:szCs w:val="14"/>
                <w:color w:val="auto"/>
              </w:rPr>
              <w:t>Non-Cash equity contribution</w:t>
            </w:r>
          </w:p>
        </w:tc>
        <w:tc>
          <w:tcPr>
            <w:tcW w:w="1120" w:type="dxa"/>
            <w:vAlign w:val="bottom"/>
            <w:tcBorders>
              <w:top w:val="single" w:sz="8" w:color="auto"/>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CFF"/>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8,387</w:t>
            </w:r>
          </w:p>
        </w:tc>
        <w:tc>
          <w:tcPr>
            <w:tcW w:w="80" w:type="dxa"/>
            <w:vAlign w:val="bottom"/>
            <w:tcBorders>
              <w:top w:val="single" w:sz="8" w:color="CCECFF"/>
            </w:tcBorders>
          </w:tcPr>
          <w:p>
            <w:pPr>
              <w:spacing w:after="0"/>
              <w:rPr>
                <w:sz w:val="16"/>
                <w:szCs w:val="16"/>
                <w:color w:val="auto"/>
              </w:rPr>
            </w:pPr>
          </w:p>
        </w:tc>
      </w:tr>
      <w:tr>
        <w:trPr>
          <w:trHeight w:val="20"/>
        </w:trPr>
        <w:tc>
          <w:tcPr>
            <w:tcW w:w="6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4"/>
        </w:trPr>
        <w:tc>
          <w:tcPr>
            <w:tcW w:w="6840" w:type="dxa"/>
            <w:vAlign w:val="bottom"/>
            <w:tcBorders>
              <w:bottom w:val="single" w:sz="8" w:color="CCECFF"/>
            </w:tcBorders>
            <w:shd w:val="clear" w:color="auto" w:fill="CCECFF"/>
          </w:tcPr>
          <w:p>
            <w:pPr>
              <w:ind w:left="200"/>
              <w:spacing w:after="0" w:line="144" w:lineRule="exact"/>
              <w:rPr>
                <w:sz w:val="20"/>
                <w:szCs w:val="20"/>
                <w:color w:val="auto"/>
              </w:rPr>
            </w:pPr>
            <w:r>
              <w:rPr>
                <w:rFonts w:ascii="Times New Roman" w:cs="Times New Roman" w:eastAsia="Times New Roman" w:hAnsi="Times New Roman"/>
                <w:sz w:val="14"/>
                <w:szCs w:val="14"/>
                <w:color w:val="auto"/>
              </w:rPr>
              <w:t>Non-Cash proceeds from notes issued to Members</w:t>
            </w:r>
          </w:p>
        </w:tc>
        <w:tc>
          <w:tcPr>
            <w:tcW w:w="1120" w:type="dxa"/>
            <w:vAlign w:val="bottom"/>
            <w:tcBorders>
              <w:bottom w:val="single" w:sz="8" w:color="auto"/>
            </w:tcBorders>
            <w:shd w:val="clear" w:color="auto" w:fill="CCECFF"/>
          </w:tcPr>
          <w:p>
            <w:pPr>
              <w:jc w:val="right"/>
              <w:ind w:right="948"/>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C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6"/>
                <w:szCs w:val="16"/>
                <w:color w:val="auto"/>
              </w:rPr>
            </w:pPr>
          </w:p>
        </w:tc>
        <w:tc>
          <w:tcPr>
            <w:tcW w:w="440" w:type="dxa"/>
            <w:vAlign w:val="bottom"/>
            <w:tcBorders>
              <w:bottom w:val="single" w:sz="8" w:color="auto"/>
            </w:tcBorders>
            <w:shd w:val="clear" w:color="auto" w:fill="CCECFF"/>
          </w:tcPr>
          <w:p>
            <w:pPr>
              <w:jc w:val="right"/>
              <w:ind w:right="2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CFF"/>
          </w:tcPr>
          <w:p>
            <w:pPr>
              <w:jc w:val="right"/>
              <w:spacing w:after="0" w:line="144" w:lineRule="exact"/>
              <w:rPr>
                <w:sz w:val="20"/>
                <w:szCs w:val="20"/>
                <w:color w:val="auto"/>
              </w:rPr>
            </w:pPr>
            <w:r>
              <w:rPr>
                <w:rFonts w:ascii="Times New Roman" w:cs="Times New Roman" w:eastAsia="Times New Roman" w:hAnsi="Times New Roman"/>
                <w:sz w:val="14"/>
                <w:szCs w:val="14"/>
                <w:color w:val="auto"/>
              </w:rPr>
              <w:t>19,570</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44"/>
        </w:trPr>
        <w:tc>
          <w:tcPr>
            <w:tcW w:w="684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Non-Cash exchanges and conversions</w:t>
            </w:r>
          </w:p>
        </w:tc>
        <w:tc>
          <w:tcPr>
            <w:tcW w:w="1120" w:type="dxa"/>
            <w:vAlign w:val="bottom"/>
          </w:tcPr>
          <w:p>
            <w:pPr>
              <w:jc w:val="right"/>
              <w:ind w:right="948"/>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3,393</w:t>
            </w:r>
          </w:p>
        </w:tc>
        <w:tc>
          <w:tcPr>
            <w:tcW w:w="200" w:type="dxa"/>
            <w:vAlign w:val="bottom"/>
          </w:tcPr>
          <w:p>
            <w:pPr>
              <w:spacing w:after="0"/>
              <w:rPr>
                <w:sz w:val="12"/>
                <w:szCs w:val="12"/>
                <w:color w:val="auto"/>
              </w:rPr>
            </w:pPr>
          </w:p>
        </w:tc>
        <w:tc>
          <w:tcPr>
            <w:tcW w:w="440" w:type="dxa"/>
            <w:vAlign w:val="bottom"/>
          </w:tcPr>
          <w:p>
            <w:pPr>
              <w:jc w:val="right"/>
              <w:ind w:right="2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1" w:name="page152"/>
    <w:bookmarkEnd w:id="151"/>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w:t>
      </w:r>
    </w:p>
    <w:tbl>
      <w:tblPr>
        <w:tblLayout w:type="fixed"/>
        <w:tblInd w:w="0" w:type="dxa"/>
        <w:tblCellMar>
          <w:top w:w="0" w:type="dxa"/>
          <w:left w:w="0" w:type="dxa"/>
          <w:bottom w:w="0" w:type="dxa"/>
          <w:right w:w="0" w:type="dxa"/>
        </w:tblCellMar>
      </w:tblPr>
      <w:tr>
        <w:trPr>
          <w:trHeight w:val="110"/>
        </w:trPr>
        <w:tc>
          <w:tcPr>
            <w:tcW w:w="3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jc w:val="center"/>
              <w:ind w:right="92"/>
              <w:spacing w:after="0" w:line="110" w:lineRule="exact"/>
              <w:rPr>
                <w:sz w:val="20"/>
                <w:szCs w:val="20"/>
                <w:color w:val="auto"/>
              </w:rPr>
            </w:pPr>
            <w:r>
              <w:rPr>
                <w:rFonts w:ascii="Times New Roman" w:cs="Times New Roman" w:eastAsia="Times New Roman" w:hAnsi="Times New Roman"/>
                <w:sz w:val="10"/>
                <w:szCs w:val="10"/>
                <w:b w:val="1"/>
                <w:bCs w:val="1"/>
                <w:color w:val="auto"/>
                <w:w w:val="96"/>
              </w:rPr>
              <w:t>Basis Point</w:t>
            </w: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20"/>
        </w:trPr>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4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Par</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Fair Value (2)</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- 1,347.5%</w:t>
            </w: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12/22/2028</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11.84%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SOFR+660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2,940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$2,886</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$2,925</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5/7/2026</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11.65%</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SOFR+626</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8,798</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8,723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8,754</w:t>
            </w:r>
          </w:p>
        </w:tc>
      </w:tr>
      <w:tr>
        <w:trPr>
          <w:trHeight w:val="132"/>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11/30/2026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SOFR+600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12,852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12,535</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12,338</w:t>
            </w:r>
          </w:p>
        </w:tc>
      </w:tr>
      <w:tr>
        <w:trPr>
          <w:trHeight w:val="121"/>
        </w:trPr>
        <w:tc>
          <w:tcPr>
            <w:tcW w:w="34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04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5/23/2024</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3"/>
              </w:rPr>
              <w:t>Publishing</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11.04%</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5,001</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4,971</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4,913</w:t>
            </w:r>
          </w:p>
        </w:tc>
      </w:tr>
      <w:tr>
        <w:trPr>
          <w:trHeight w:val="121"/>
        </w:trPr>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 March 2023</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5/23/2024</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3"/>
              </w:rPr>
              <w:t>Publishing</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12.04%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4,875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4,814</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7/21/2027</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11.59%</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7,510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7,348</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7,360</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7/31/2025</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10.52%</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7/31/2025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11.04%</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2,187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2,181</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7/31/2025</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10.69%</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11,013</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10,972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10,985</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12/29/2026</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11.54%</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SOFR+615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9,579</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9,475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9,387</w:t>
            </w:r>
          </w:p>
        </w:tc>
      </w:tr>
      <w:tr>
        <w:trPr>
          <w:trHeight w:val="120"/>
        </w:trPr>
        <w:tc>
          <w:tcPr>
            <w:tcW w:w="34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DDTL Unfunded </w:t>
            </w:r>
            <w:r>
              <w:rPr>
                <w:rFonts w:ascii="Times New Roman" w:cs="Times New Roman" w:eastAsia="Times New Roman" w:hAnsi="Times New Roman"/>
                <w:sz w:val="12"/>
                <w:szCs w:val="12"/>
                <w:color w:val="auto"/>
                <w:vertAlign w:val="superscript"/>
              </w:rPr>
              <w:t>(3)</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12/29/2026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8/3/2029</w:t>
            </w:r>
          </w:p>
        </w:tc>
        <w:tc>
          <w:tcPr>
            <w:tcW w:w="1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11.62%</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SOFR+625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9,218</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9,093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9,126</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7/1/2029</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SOFR+575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4,950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4,604</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1/31/2028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11.83%</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8,978</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8,933</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9/17/2026</w:t>
            </w:r>
          </w:p>
        </w:tc>
        <w:tc>
          <w:tcPr>
            <w:tcW w:w="1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Distributors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11.79%</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SOFR+640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15,132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14,928</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14,905</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12/4/2025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11.50%</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SOFR+626</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2,349</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2,349</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2,349</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9/26/2029</w:t>
            </w:r>
          </w:p>
        </w:tc>
        <w:tc>
          <w:tcPr>
            <w:tcW w:w="1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Automotive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10.67%</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447</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418</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420</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5/16/2025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12.43%</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SOFR+688</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13,821</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13,778</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13,579</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Cadence Aerospace, LLC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11/14/2023</w:t>
            </w:r>
          </w:p>
        </w:tc>
        <w:tc>
          <w:tcPr>
            <w:tcW w:w="1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12.07%</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SOFR+665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4,011</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4,010</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4,011</w:t>
            </w:r>
          </w:p>
        </w:tc>
      </w:tr>
      <w:tr>
        <w:trPr>
          <w:trHeight w:val="120"/>
        </w:trPr>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(PIK 2.00%)</w:t>
            </w: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6/14/2028</w:t>
            </w:r>
          </w:p>
        </w:tc>
        <w:tc>
          <w:tcPr>
            <w:tcW w:w="1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Distributors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11.39%</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SOFR+600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9,636</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9,509</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9,636</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8/20/2026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11.60%</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SOFR+619</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6,820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6,722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6,684</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 Holdings,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4/10/2025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10.15%</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SOFR+476</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5,499</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5,455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5,499</w:t>
            </w:r>
          </w:p>
        </w:tc>
      </w:tr>
      <w:tr>
        <w:trPr>
          <w:trHeight w:val="121"/>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8/31/2024</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12.18%</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SOFR+675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9,232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9,201</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8,955</w:t>
            </w:r>
          </w:p>
        </w:tc>
      </w:tr>
      <w:tr>
        <w:trPr>
          <w:trHeight w:val="120"/>
        </w:trPr>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(PIK 1.00%)</w:t>
            </w: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10/28/2028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9.32%</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SOFR+400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6,797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6,559</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6,445</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7/13/2027</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11.16%</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SOFR+576</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3,815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3,681</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8/16/2027</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10.90%</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SOFR+551</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2,089</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2,079</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8/31/2027</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14,712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14,511</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14,712</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12/21/2028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10.67%</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2,627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2,418</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2,394</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11/3/2025</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11.79%</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SOFR+640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14,429</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14,376</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14,256</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6/30/2024</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11.89%</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10,904</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10,838</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10,740</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8/31/2030</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10.07%</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SOFR+475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5,000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4,985</w:t>
            </w:r>
          </w:p>
        </w:tc>
      </w:tr>
      <w:tr>
        <w:trPr>
          <w:trHeight w:val="121"/>
        </w:trPr>
        <w:tc>
          <w:tcPr>
            <w:tcW w:w="34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4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1/10/2029</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Components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11.64%</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SOFR+625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8,955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8,821</w:t>
            </w:r>
          </w:p>
        </w:tc>
      </w:tr>
      <w:tr>
        <w:trPr>
          <w:trHeight w:val="120"/>
        </w:trPr>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1/17/2024</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Components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11.00%</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2,219</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2,200</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2,171</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3/15/2027</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9"/>
              </w:rPr>
              <w:t>Software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11.17%</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12,675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12,422</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5/29/2029</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11.89%</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12,404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12,154</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12,193</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6/17/2028</w:t>
            </w:r>
          </w:p>
        </w:tc>
        <w:tc>
          <w:tcPr>
            <w:tcW w:w="1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10.40%</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SOFR+475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10,195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10,143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10,114</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3/16/2026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11.96%</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SOFR+660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3,736</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3,724</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3,549</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8/10/2027</w:t>
            </w:r>
          </w:p>
        </w:tc>
        <w:tc>
          <w:tcPr>
            <w:tcW w:w="190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10.99%</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SOFR+575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2,345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2,322</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2"/>
              </w:rPr>
              <w:t>Insurance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10.92%</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SOFR+560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2,250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2,194</w:t>
            </w:r>
          </w:p>
        </w:tc>
      </w:tr>
      <w:tr>
        <w:trPr>
          <w:trHeight w:val="148"/>
        </w:trPr>
        <w:tc>
          <w:tcPr>
            <w:tcW w:w="3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740" w:type="dxa"/>
            <w:vAlign w:val="bottom"/>
            <w:tcBorders>
              <w:bottom w:val="single" w:sz="8" w:color="CCECFF"/>
            </w:tcBorders>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11/23/2028</w:t>
            </w:r>
          </w:p>
        </w:tc>
        <w:tc>
          <w:tcPr>
            <w:tcW w:w="1900" w:type="dxa"/>
            <w:vAlign w:val="bottom"/>
            <w:tcBorders>
              <w:bottom w:val="single" w:sz="8" w:color="CCECFF"/>
            </w:tcBorders>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Borders>
              <w:bottom w:val="single" w:sz="8" w:color="CCECFF"/>
            </w:tcBorders>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11.32%</w:t>
            </w:r>
          </w:p>
        </w:tc>
        <w:tc>
          <w:tcPr>
            <w:tcW w:w="1040" w:type="dxa"/>
            <w:vAlign w:val="bottom"/>
            <w:tcBorders>
              <w:bottom w:val="single" w:sz="8" w:color="CCECFF"/>
            </w:tcBorders>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860" w:type="dxa"/>
            <w:vAlign w:val="bottom"/>
            <w:tcBorders>
              <w:bottom w:val="single" w:sz="8" w:color="CCECFF"/>
            </w:tcBorders>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4,913</w:t>
            </w:r>
          </w:p>
        </w:tc>
        <w:tc>
          <w:tcPr>
            <w:tcW w:w="78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4,913</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12/10/2024</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11.75%</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SOFR+640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3,014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2,988</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2,968</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11/15/2027</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9"/>
              </w:rPr>
              <w:t>Software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10.72%</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SOFR+535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9,248</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9,075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9,110</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12/31/2024</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12.51%</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SOFR+715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16,453</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16,257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16,453</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12/28/2028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12.24%</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SOFR+685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6,090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5,979</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6,090</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Integrated Data Services</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8/1/2029</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11.87%</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SOFR+650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18,904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18,532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18,463</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1/31/2025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12.54%</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SOFR+700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11,105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11,083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10,439</w:t>
            </w:r>
          </w:p>
        </w:tc>
      </w:tr>
      <w:tr>
        <w:trPr>
          <w:trHeight w:val="120"/>
        </w:trPr>
        <w:tc>
          <w:tcPr>
            <w:tcW w:w="34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(PIK 2.25%)</w:t>
            </w:r>
          </w:p>
        </w:tc>
        <w:tc>
          <w:tcPr>
            <w:tcW w:w="10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8/27/2026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2"/>
              </w:rPr>
              <w:t>Insurance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11.57%</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SOFR+575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5,906</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5,851</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5,847</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6/30/2025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12.93%</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SOFR+761</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8,246</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8,097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8,081</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3/3/2028</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IT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11.06%</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SOFR+560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3,940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3,886</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3,861</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12/20/2023</w:t>
            </w:r>
          </w:p>
        </w:tc>
        <w:tc>
          <w:tcPr>
            <w:tcW w:w="1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13.42%</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SOFR+810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15,509</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15,487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15,509</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11/10/2027</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SOFR+615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16,662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16,346</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16,412</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2/18/2027</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12.13%</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SOFR+675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14,210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13,989</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14,068</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10/31/2024</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SOFR+643</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15,042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14,997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14,862</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2/3/2026</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10.70%</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SOFR+535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12,056</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11,911</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11,935</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1/31/2030</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11.77%</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SOFR+640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2,585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2,534</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5/26/2028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12.39%</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SOFR+700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7,481</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7,337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7,369</w:t>
            </w:r>
          </w:p>
        </w:tc>
      </w:tr>
      <w:tr>
        <w:trPr>
          <w:trHeight w:val="120"/>
        </w:trPr>
        <w:tc>
          <w:tcPr>
            <w:tcW w:w="34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w:t>
            </w:r>
            <w:r>
              <w:rPr>
                <w:rFonts w:ascii="Times New Roman" w:cs="Times New Roman" w:eastAsia="Times New Roman" w:hAnsi="Times New Roman"/>
                <w:sz w:val="12"/>
                <w:szCs w:val="12"/>
                <w:color w:val="auto"/>
                <w:vertAlign w:val="superscript"/>
              </w:rPr>
              <w:t>(4)</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7/20/2027</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0.00%</w:t>
            </w:r>
          </w:p>
        </w:tc>
        <w:tc>
          <w:tcPr>
            <w:tcW w:w="1040" w:type="dxa"/>
            <w:vAlign w:val="bottom"/>
          </w:tcPr>
          <w:p>
            <w:pPr>
              <w:spacing w:after="0"/>
              <w:rPr>
                <w:sz w:val="10"/>
                <w:szCs w:val="10"/>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4,489</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4,207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1,182</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OpCo DIP Loans</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9/30/2025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15.33%</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SOFR+1000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160</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4/1/2027</w:t>
            </w:r>
          </w:p>
        </w:tc>
        <w:tc>
          <w:tcPr>
            <w:tcW w:w="1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10.99%</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2,097</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1,986</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7/31/2028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9"/>
              </w:rPr>
              <w:t>Software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10.63%</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SOFR+500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3,006</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2,845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2,228</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Term Loan</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9/30/2025</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647</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647</w:t>
            </w:r>
          </w:p>
        </w:tc>
      </w:tr>
      <w:tr>
        <w:trPr>
          <w:trHeight w:val="120"/>
        </w:trPr>
        <w:tc>
          <w:tcPr>
            <w:tcW w:w="34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Unfunded Term Loan </w:t>
            </w:r>
            <w:r>
              <w:rPr>
                <w:rFonts w:ascii="Times New Roman" w:cs="Times New Roman" w:eastAsia="Times New Roman" w:hAnsi="Times New Roman"/>
                <w:sz w:val="12"/>
                <w:szCs w:val="12"/>
                <w:color w:val="auto"/>
                <w:vertAlign w:val="superscript"/>
              </w:rPr>
              <w:t>(3)</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9/30/2025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4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589</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9/30/2026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4,837</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3,782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4,837</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5/14/2026</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11.04%</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SOFR+565</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11,588</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11,476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11,472</w:t>
            </w: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4/16/2027</w:t>
            </w:r>
          </w:p>
        </w:tc>
        <w:tc>
          <w:tcPr>
            <w:tcW w:w="1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11.17%</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SOFR+585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7,859</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7,758</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7,749</w:t>
            </w: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7/25/2028</w:t>
            </w:r>
          </w:p>
        </w:tc>
        <w:tc>
          <w:tcPr>
            <w:tcW w:w="1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11.32%</w:t>
            </w:r>
          </w:p>
        </w:tc>
        <w:tc>
          <w:tcPr>
            <w:tcW w:w="10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SOFR+600</w:t>
            </w:r>
          </w:p>
        </w:tc>
        <w:tc>
          <w:tcPr>
            <w:tcW w:w="8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6,380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6,271</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6,244</w:t>
            </w:r>
          </w:p>
        </w:tc>
      </w:tr>
      <w:tr>
        <w:trPr>
          <w:trHeight w:val="12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12/10/2027</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11.04%</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SOFR+565</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2,372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2,336</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2,312</w:t>
            </w:r>
          </w:p>
        </w:tc>
      </w:tr>
    </w:tbl>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2" w:name="page153"/>
    <w:bookmarkEnd w:id="152"/>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4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40" w:type="dxa"/>
            <w:vAlign w:val="bottom"/>
            <w:shd w:val="clear" w:color="auto" w:fill="CCECFF"/>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0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 /</w:t>
            </w: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4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40" w:type="dxa"/>
            <w:vAlign w:val="bottom"/>
            <w:shd w:val="clear" w:color="auto" w:fill="CCECFF"/>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20" w:type="dxa"/>
            <w:vAlign w:val="bottom"/>
            <w:shd w:val="clear" w:color="auto" w:fill="CCECFF"/>
          </w:tcPr>
          <w:p>
            <w:pPr>
              <w:jc w:val="center"/>
              <w:ind w:right="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0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8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Fair Value (2)</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3/28/2024</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SOFR+515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5,769</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$5,740</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9/28/2027</w:t>
            </w:r>
          </w:p>
        </w:tc>
        <w:tc>
          <w:tcPr>
            <w:tcW w:w="1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Distributors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11.04%</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SOFR+565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3,430</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3,355</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8/19/2026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Education &amp; Childcare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10.93%</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10,711</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10,497</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5/9/2029</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2"/>
              </w:rPr>
              <w:t>Insurance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11.97%</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SOFR+650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5,042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4,970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5,042</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Milani Group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6/6/2024</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14,213</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14,194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14,213</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5/7/2027</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11.68%</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SOFR+636</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15,849</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15,588</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15,849</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9/3/2027</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12.84%</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SOFR+725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2,223</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Output Services Group, Inc. </w:t>
            </w:r>
            <w:r>
              <w:rPr>
                <w:rFonts w:ascii="Times New Roman" w:cs="Times New Roman" w:eastAsia="Times New Roman" w:hAnsi="Times New Roman"/>
                <w:sz w:val="12"/>
                <w:szCs w:val="12"/>
                <w:color w:val="auto"/>
                <w:vertAlign w:val="superscript"/>
              </w:rPr>
              <w:t>(4)</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6/27/2026</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0.00%</w:t>
            </w:r>
          </w:p>
        </w:tc>
        <w:tc>
          <w:tcPr>
            <w:tcW w:w="10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7,759</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7,689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1,513</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2/4/2028</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10.80%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5/18/2026</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Construction and Building</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12.90%</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SOFR+751</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4,345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4,306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4,269</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Peaquod Merger Sub,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12/2/2026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SOFR+640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11,474</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9/29/2025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Wholesale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10.68%</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9,493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9,282</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7,974</w:t>
            </w:r>
          </w:p>
        </w:tc>
        <w:tc>
          <w:tcPr>
            <w:tcW w:w="0" w:type="dxa"/>
            <w:vAlign w:val="bottom"/>
          </w:tcPr>
          <w:p>
            <w:pPr>
              <w:spacing w:after="0"/>
              <w:rPr>
                <w:sz w:val="1"/>
                <w:szCs w:val="1"/>
                <w:color w:val="auto"/>
              </w:rPr>
            </w:pPr>
          </w:p>
        </w:tc>
      </w:tr>
      <w:tr>
        <w:trPr>
          <w:trHeight w:val="121"/>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11/9/2027</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12.42%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SOFR+710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7,565</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7,467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6,809</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(PIK 4.00%)</w:t>
            </w: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5/8/2026</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10.57%</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SOFR+565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2,551</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2,491</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7/6/2028</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8"/>
              </w:rPr>
              <w:t>Education</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11,138</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10,999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10,636</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11/19/2026</w:t>
            </w:r>
          </w:p>
        </w:tc>
        <w:tc>
          <w:tcPr>
            <w:tcW w:w="1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11.74%</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SOFR+635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2,803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2,776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12/18/2025</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SOFR+585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1,029</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2/28/2028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11.54%</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4,938</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4,876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4,740</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1/29/2026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12.54%</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SOFR+700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4,875</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12/20/2024</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11.13%</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SOFR+576</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12,432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12,322</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10,878</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6/15/2029</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SOFR+625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3,749</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1/3/2025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11.59%</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SOFR+620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9,522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9,474</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9,475</w:t>
            </w:r>
          </w:p>
        </w:tc>
        <w:tc>
          <w:tcPr>
            <w:tcW w:w="0" w:type="dxa"/>
            <w:vAlign w:val="bottom"/>
          </w:tcPr>
          <w:p>
            <w:pPr>
              <w:spacing w:after="0"/>
              <w:rPr>
                <w:sz w:val="1"/>
                <w:szCs w:val="1"/>
                <w:color w:val="auto"/>
              </w:rPr>
            </w:pPr>
          </w:p>
        </w:tc>
      </w:tr>
      <w:tr>
        <w:trPr>
          <w:trHeight w:val="121"/>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12/20/2024</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Wholesale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12.92%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SOFR+760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5,167</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5,148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5,116</w:t>
            </w:r>
          </w:p>
        </w:tc>
        <w:tc>
          <w:tcPr>
            <w:tcW w:w="0" w:type="dxa"/>
            <w:vAlign w:val="bottom"/>
          </w:tcPr>
          <w:p>
            <w:pPr>
              <w:spacing w:after="0"/>
              <w:rPr>
                <w:sz w:val="1"/>
                <w:szCs w:val="1"/>
                <w:color w:val="auto"/>
              </w:rPr>
            </w:pPr>
          </w:p>
        </w:tc>
      </w:tr>
      <w:tr>
        <w:trPr>
          <w:trHeight w:val="120"/>
        </w:trPr>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(PIK 1.00%)</w:t>
            </w: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7/14/2025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12.52%</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SOFR+715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11,791</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11,777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11,407</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(PIK 0.50%)</w:t>
            </w:r>
          </w:p>
        </w:tc>
        <w:tc>
          <w:tcPr>
            <w:tcW w:w="10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6/13/2029</w:t>
            </w:r>
          </w:p>
        </w:tc>
        <w:tc>
          <w:tcPr>
            <w:tcW w:w="1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11.54%</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SOFR+615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4,802</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12/18/2025</w:t>
            </w:r>
          </w:p>
        </w:tc>
        <w:tc>
          <w:tcPr>
            <w:tcW w:w="1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14.04%</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SOFR+865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13,787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13,579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13,580</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5/17/2028</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9.93%</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SOFR+450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1,300</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10/14/2025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9.70%</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SOFR+450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11,739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10,598</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7/17/2025</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12.37%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SOFR+700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4,582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4,563</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3/1/2028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11.04%</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SOFR+565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4,112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4,047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4,022</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12/11/2026</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Construction and Building</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SOFR+535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9,075</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8,894</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11/24/2028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10.43%</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SOFR+475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1,779</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8"/>
              </w:rPr>
              <w:t>System Planning and Analysis, Inc. (f/k/a Management Consulting &amp; Research,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8/16/2027</w:t>
            </w:r>
          </w:p>
        </w:tc>
        <w:tc>
          <w:tcPr>
            <w:tcW w:w="1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11.49%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14,738</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14,575</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11/24/2028</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10.75%</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7/18/2025</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SOFR+535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2,262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2,259</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7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10/31/2025</w:t>
            </w:r>
          </w:p>
        </w:tc>
        <w:tc>
          <w:tcPr>
            <w:tcW w:w="1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12.04%</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5,602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5,560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5,518</w:t>
            </w:r>
          </w:p>
        </w:tc>
        <w:tc>
          <w:tcPr>
            <w:tcW w:w="0" w:type="dxa"/>
            <w:vAlign w:val="bottom"/>
          </w:tcPr>
          <w:p>
            <w:pPr>
              <w:spacing w:after="0"/>
              <w:rPr>
                <w:sz w:val="1"/>
                <w:szCs w:val="1"/>
                <w:color w:val="auto"/>
              </w:rPr>
            </w:pPr>
          </w:p>
        </w:tc>
      </w:tr>
      <w:tr>
        <w:trPr>
          <w:trHeight w:val="124"/>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740" w:type="dxa"/>
            <w:vAlign w:val="bottom"/>
            <w:vMerge w:val="restart"/>
          </w:tcPr>
          <w:p>
            <w:pPr>
              <w:jc w:val="center"/>
              <w:ind w:left="32"/>
              <w:spacing w:after="0"/>
              <w:rPr>
                <w:sz w:val="20"/>
                <w:szCs w:val="20"/>
                <w:color w:val="auto"/>
              </w:rPr>
            </w:pPr>
            <w:r>
              <w:rPr>
                <w:rFonts w:ascii="Times New Roman" w:cs="Times New Roman" w:eastAsia="Times New Roman" w:hAnsi="Times New Roman"/>
                <w:sz w:val="10"/>
                <w:szCs w:val="10"/>
                <w:color w:val="auto"/>
                <w:w w:val="93"/>
              </w:rPr>
              <w:t>7/27/2026</w:t>
            </w:r>
          </w:p>
        </w:tc>
        <w:tc>
          <w:tcPr>
            <w:tcW w:w="1900" w:type="dxa"/>
            <w:vAlign w:val="bottom"/>
            <w:vMerge w:val="restart"/>
          </w:tcPr>
          <w:p>
            <w:pPr>
              <w:jc w:val="center"/>
              <w:ind w:right="9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12.79%</w:t>
            </w:r>
          </w:p>
        </w:tc>
        <w:tc>
          <w:tcPr>
            <w:tcW w:w="102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SOFR+700</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5,403</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5,336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5,382</w:t>
            </w:r>
          </w:p>
        </w:tc>
        <w:tc>
          <w:tcPr>
            <w:tcW w:w="0" w:type="dxa"/>
            <w:vAlign w:val="bottom"/>
          </w:tcPr>
          <w:p>
            <w:pPr>
              <w:spacing w:after="0"/>
              <w:rPr>
                <w:sz w:val="1"/>
                <w:szCs w:val="1"/>
                <w:color w:val="auto"/>
              </w:rPr>
            </w:pPr>
          </w:p>
        </w:tc>
      </w:tr>
      <w:tr>
        <w:trPr>
          <w:trHeight w:val="80"/>
        </w:trPr>
        <w:tc>
          <w:tcPr>
            <w:tcW w:w="3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8/31/2027</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11.72%</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SOFR+635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7,716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7,591</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7,656</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7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11/24/2025</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10.95%</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SOFR+565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8,654</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8,654</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6/16/2025</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11.80%</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SOFR+625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4,316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4,316</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4/1/2028</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IT Services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14,670</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14,565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13,379</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6/15/2026</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11.79%</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6,892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3/31/2027</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Wholesale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12.18%</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SOFR+685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3,521</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Revolving Credit Facility</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3/31/2027</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Wholesale</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11.68%</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SOFR+635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3/31/2027</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Wholesale</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333</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4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4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2/27/2026</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Components</w:t>
            </w:r>
          </w:p>
        </w:tc>
        <w:tc>
          <w:tcPr>
            <w:tcW w:w="10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10.54%</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SOFR+515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10,565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10,491</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10,460</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3/1/2024</w:t>
            </w:r>
          </w:p>
        </w:tc>
        <w:tc>
          <w:tcPr>
            <w:tcW w:w="1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Automobiles</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12.67%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SOFR+735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16,732</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16,188</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801,215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783,598</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- 3.9%</w:t>
            </w: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9"/>
              </w:rPr>
              <w:t>—</w:t>
            </w: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74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9"/>
              </w:rPr>
              <w:t>—</w:t>
            </w:r>
          </w:p>
        </w:tc>
        <w:tc>
          <w:tcPr>
            <w:tcW w:w="1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4"/>
              </w:rPr>
              <w:t>Wholesale</w:t>
            </w:r>
          </w:p>
        </w:tc>
        <w:tc>
          <w:tcPr>
            <w:tcW w:w="104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1,766</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- 1,351.4%</w:t>
            </w: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804,608</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785,859</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- 133.2%</w:t>
            </w: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74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0" w:type="dxa"/>
            <w:vAlign w:val="bottom"/>
          </w:tcPr>
          <w:p>
            <w:pPr>
              <w:spacing w:after="0"/>
              <w:rPr>
                <w:sz w:val="1"/>
                <w:szCs w:val="1"/>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0" w:type="dxa"/>
            <w:vAlign w:val="bottom"/>
          </w:tcPr>
          <w:p>
            <w:pPr>
              <w:spacing w:after="0"/>
              <w:rPr>
                <w:sz w:val="1"/>
                <w:szCs w:val="1"/>
                <w:color w:val="auto"/>
              </w:rPr>
            </w:pPr>
          </w:p>
        </w:tc>
      </w:tr>
      <w:tr>
        <w:trPr>
          <w:trHeight w:val="160"/>
        </w:trPr>
        <w:tc>
          <w:tcPr>
            <w:tcW w:w="342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—1,485.4%</w:t>
            </w:r>
          </w:p>
        </w:tc>
        <w:tc>
          <w:tcPr>
            <w:tcW w:w="740" w:type="dxa"/>
            <w:vAlign w:val="bottom"/>
            <w:tcBorders>
              <w:bottom w:val="single" w:sz="8" w:color="CCECFF"/>
            </w:tcBorders>
            <w:shd w:val="clear" w:color="auto" w:fill="CCECFF"/>
          </w:tcPr>
          <w:p>
            <w:pPr>
              <w:spacing w:after="0"/>
              <w:rPr>
                <w:sz w:val="13"/>
                <w:szCs w:val="13"/>
                <w:color w:val="auto"/>
              </w:rPr>
            </w:pPr>
          </w:p>
        </w:tc>
        <w:tc>
          <w:tcPr>
            <w:tcW w:w="1900" w:type="dxa"/>
            <w:vAlign w:val="bottom"/>
            <w:tcBorders>
              <w:bottom w:val="single" w:sz="8" w:color="CCECFF"/>
            </w:tcBorders>
            <w:shd w:val="clear" w:color="auto" w:fill="CCECFF"/>
          </w:tcPr>
          <w:p>
            <w:pPr>
              <w:spacing w:after="0"/>
              <w:rPr>
                <w:sz w:val="13"/>
                <w:szCs w:val="13"/>
                <w:color w:val="auto"/>
              </w:rPr>
            </w:pPr>
          </w:p>
        </w:tc>
        <w:tc>
          <w:tcPr>
            <w:tcW w:w="1040" w:type="dxa"/>
            <w:vAlign w:val="bottom"/>
            <w:tcBorders>
              <w:bottom w:val="single" w:sz="8" w:color="CCECFF"/>
            </w:tcBorders>
            <w:shd w:val="clear" w:color="auto" w:fill="CCECFF"/>
          </w:tcPr>
          <w:p>
            <w:pPr>
              <w:spacing w:after="0"/>
              <w:rPr>
                <w:sz w:val="13"/>
                <w:szCs w:val="13"/>
                <w:color w:val="auto"/>
              </w:rPr>
            </w:pPr>
          </w:p>
        </w:tc>
        <w:tc>
          <w:tcPr>
            <w:tcW w:w="102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$882,054</w:t>
            </w:r>
          </w:p>
        </w:tc>
        <w:tc>
          <w:tcPr>
            <w:tcW w:w="10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863,305</w:t>
            </w:r>
          </w:p>
        </w:tc>
        <w:tc>
          <w:tcPr>
            <w:tcW w:w="0" w:type="dxa"/>
            <w:vAlign w:val="bottom"/>
          </w:tcPr>
          <w:p>
            <w:pPr>
              <w:spacing w:after="0"/>
              <w:rPr>
                <w:sz w:val="1"/>
                <w:szCs w:val="1"/>
                <w:color w:val="auto"/>
              </w:rPr>
            </w:pPr>
          </w:p>
        </w:tc>
      </w:tr>
      <w:tr>
        <w:trPr>
          <w:trHeight w:val="96"/>
        </w:trPr>
        <w:tc>
          <w:tcPr>
            <w:tcW w:w="342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(1,385.4)%</w:t>
            </w:r>
          </w:p>
        </w:tc>
        <w:tc>
          <w:tcPr>
            <w:tcW w:w="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color w:val="auto"/>
              </w:rPr>
              <w:t>(805,155)</w:t>
            </w:r>
          </w:p>
        </w:tc>
        <w:tc>
          <w:tcPr>
            <w:tcW w:w="0" w:type="dxa"/>
            <w:vAlign w:val="bottom"/>
          </w:tcPr>
          <w:p>
            <w:pPr>
              <w:spacing w:after="0"/>
              <w:rPr>
                <w:sz w:val="1"/>
                <w:szCs w:val="1"/>
                <w:color w:val="auto"/>
              </w:rPr>
            </w:pPr>
          </w:p>
        </w:tc>
      </w:tr>
      <w:tr>
        <w:trPr>
          <w:trHeight w:val="160"/>
        </w:trPr>
        <w:tc>
          <w:tcPr>
            <w:tcW w:w="342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740" w:type="dxa"/>
            <w:vAlign w:val="bottom"/>
            <w:tcBorders>
              <w:bottom w:val="single" w:sz="8" w:color="CCECFF"/>
            </w:tcBorders>
            <w:shd w:val="clear" w:color="auto" w:fill="CCECFF"/>
          </w:tcPr>
          <w:p>
            <w:pPr>
              <w:spacing w:after="0"/>
              <w:rPr>
                <w:sz w:val="13"/>
                <w:szCs w:val="13"/>
                <w:color w:val="auto"/>
              </w:rPr>
            </w:pPr>
          </w:p>
        </w:tc>
        <w:tc>
          <w:tcPr>
            <w:tcW w:w="1900" w:type="dxa"/>
            <w:vAlign w:val="bottom"/>
            <w:tcBorders>
              <w:bottom w:val="single" w:sz="8" w:color="CCECFF"/>
            </w:tcBorders>
            <w:shd w:val="clear" w:color="auto" w:fill="CCECFF"/>
          </w:tcPr>
          <w:p>
            <w:pPr>
              <w:spacing w:after="0"/>
              <w:rPr>
                <w:sz w:val="13"/>
                <w:szCs w:val="13"/>
                <w:color w:val="auto"/>
              </w:rPr>
            </w:pPr>
          </w:p>
        </w:tc>
        <w:tc>
          <w:tcPr>
            <w:tcW w:w="1040" w:type="dxa"/>
            <w:vAlign w:val="bottom"/>
            <w:tcBorders>
              <w:bottom w:val="single" w:sz="8" w:color="CCECFF"/>
            </w:tcBorders>
            <w:shd w:val="clear" w:color="auto" w:fill="CCECFF"/>
          </w:tcPr>
          <w:p>
            <w:pPr>
              <w:spacing w:after="0"/>
              <w:rPr>
                <w:sz w:val="13"/>
                <w:szCs w:val="13"/>
                <w:color w:val="auto"/>
              </w:rPr>
            </w:pPr>
          </w:p>
        </w:tc>
        <w:tc>
          <w:tcPr>
            <w:tcW w:w="102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7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58,150</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0" w:right="100" w:hanging="2"/>
        <w:spacing w:after="0" w:line="317" w:lineRule="auto"/>
        <w:tabs>
          <w:tab w:leader="none" w:pos="156" w:val="left"/>
        </w:tabs>
        <w:numPr>
          <w:ilvl w:val="0"/>
          <w:numId w:val="24"/>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All securities are subject to a SOFR or Prime rate floor where a spread is provided, unless noted. The spread provided includes PIK interest and other fee rates, if any.</w:t>
      </w:r>
    </w:p>
    <w:p>
      <w:pPr>
        <w:ind w:left="160" w:hanging="142"/>
        <w:spacing w:after="0"/>
        <w:tabs>
          <w:tab w:leader="none" w:pos="160"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PSSL’s accounting policy.</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Security currently on interest non-accrual status.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3" w:name="page154"/>
    <w:bookmarkEnd w:id="153"/>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8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80" w:type="dxa"/>
            <w:vAlign w:val="bottom"/>
          </w:tcPr>
          <w:p>
            <w:pPr>
              <w:jc w:val="center"/>
              <w:ind w:right="132"/>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Par</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60" w:type="dxa"/>
            <w:vAlign w:val="bottom"/>
          </w:tcPr>
          <w:p>
            <w:pPr>
              <w:jc w:val="right"/>
              <w:ind w:right="52"/>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2"/>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- 1,330.4%</w:t>
            </w: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5/6/2026</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L+600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8,888</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$8,788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$8,821</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Containers and Packaging</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8.22%</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9,975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9,790</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9,576</w:t>
            </w:r>
          </w:p>
        </w:tc>
        <w:tc>
          <w:tcPr>
            <w:tcW w:w="0" w:type="dxa"/>
            <w:vAlign w:val="bottom"/>
          </w:tcPr>
          <w:p>
            <w:pPr>
              <w:spacing w:after="0"/>
              <w:rPr>
                <w:sz w:val="1"/>
                <w:szCs w:val="1"/>
                <w:color w:val="auto"/>
              </w:rPr>
            </w:pPr>
          </w:p>
        </w:tc>
      </w:tr>
      <w:tr>
        <w:trPr>
          <w:trHeight w:val="124"/>
        </w:trPr>
        <w:tc>
          <w:tcPr>
            <w:tcW w:w="306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Technologies,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7/24/2025</w:t>
            </w:r>
          </w:p>
        </w:tc>
        <w:tc>
          <w:tcPr>
            <w:tcW w:w="2480" w:type="dxa"/>
            <w:vAlign w:val="bottom"/>
            <w:vMerge w:val="restart"/>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10.81%</w:t>
            </w:r>
          </w:p>
        </w:tc>
        <w:tc>
          <w:tcPr>
            <w:tcW w:w="98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L+800</w:t>
            </w:r>
          </w:p>
        </w:tc>
        <w:tc>
          <w:tcPr>
            <w:tcW w:w="840" w:type="dxa"/>
            <w:vAlign w:val="bottom"/>
            <w:vMerge w:val="restart"/>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5,225</w:t>
            </w:r>
          </w:p>
        </w:tc>
        <w:tc>
          <w:tcPr>
            <w:tcW w:w="7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5,113</w:t>
            </w: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5,042</w:t>
            </w:r>
          </w:p>
        </w:tc>
        <w:tc>
          <w:tcPr>
            <w:tcW w:w="0" w:type="dxa"/>
            <w:vAlign w:val="bottom"/>
          </w:tcPr>
          <w:p>
            <w:pPr>
              <w:spacing w:after="0"/>
              <w:rPr>
                <w:sz w:val="1"/>
                <w:szCs w:val="1"/>
                <w:color w:val="auto"/>
              </w:rPr>
            </w:pPr>
          </w:p>
        </w:tc>
      </w:tr>
      <w:tr>
        <w:trPr>
          <w:trHeight w:val="92"/>
        </w:trPr>
        <w:tc>
          <w:tcPr>
            <w:tcW w:w="3060" w:type="dxa"/>
            <w:vAlign w:val="bottom"/>
            <w:vMerge w:val="continue"/>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2480" w:type="dxa"/>
            <w:vAlign w:val="bottom"/>
            <w:vMerge w:val="continue"/>
            <w:shd w:val="clear" w:color="auto" w:fill="CCECFF"/>
          </w:tcPr>
          <w:p>
            <w:pPr>
              <w:spacing w:after="0"/>
              <w:rPr>
                <w:sz w:val="8"/>
                <w:szCs w:val="8"/>
                <w:color w:val="auto"/>
              </w:rPr>
            </w:pPr>
          </w:p>
        </w:tc>
        <w:tc>
          <w:tcPr>
            <w:tcW w:w="880" w:type="dxa"/>
            <w:vAlign w:val="bottom"/>
            <w:vMerge w:val="continue"/>
            <w:shd w:val="clear" w:color="auto" w:fill="CCECFF"/>
          </w:tcPr>
          <w:p>
            <w:pPr>
              <w:spacing w:after="0"/>
              <w:rPr>
                <w:sz w:val="8"/>
                <w:szCs w:val="8"/>
                <w:color w:val="auto"/>
              </w:rPr>
            </w:pPr>
          </w:p>
        </w:tc>
        <w:tc>
          <w:tcPr>
            <w:tcW w:w="980" w:type="dxa"/>
            <w:vAlign w:val="bottom"/>
            <w:vMerge w:val="continue"/>
            <w:shd w:val="clear" w:color="auto" w:fill="CCECFF"/>
          </w:tcPr>
          <w:p>
            <w:pPr>
              <w:spacing w:after="0"/>
              <w:rPr>
                <w:sz w:val="8"/>
                <w:szCs w:val="8"/>
                <w:color w:val="auto"/>
              </w:rPr>
            </w:pPr>
          </w:p>
        </w:tc>
        <w:tc>
          <w:tcPr>
            <w:tcW w:w="840" w:type="dxa"/>
            <w:vAlign w:val="bottom"/>
            <w:vMerge w:val="continue"/>
            <w:shd w:val="clear" w:color="auto" w:fill="CCECFF"/>
          </w:tcPr>
          <w:p>
            <w:pPr>
              <w:spacing w:after="0"/>
              <w:rPr>
                <w:sz w:val="8"/>
                <w:szCs w:val="8"/>
                <w:color w:val="auto"/>
              </w:rPr>
            </w:pPr>
          </w:p>
        </w:tc>
        <w:tc>
          <w:tcPr>
            <w:tcW w:w="780" w:type="dxa"/>
            <w:vAlign w:val="bottom"/>
            <w:vMerge w:val="continue"/>
            <w:shd w:val="clear" w:color="auto" w:fill="CCECFF"/>
          </w:tcPr>
          <w:p>
            <w:pPr>
              <w:spacing w:after="0"/>
              <w:rPr>
                <w:sz w:val="8"/>
                <w:szCs w:val="8"/>
                <w:color w:val="auto"/>
              </w:rPr>
            </w:pPr>
          </w:p>
        </w:tc>
        <w:tc>
          <w:tcPr>
            <w:tcW w:w="76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Insulated Glass,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12/21/2023</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7.79%</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L+550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4,883</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4,851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4,883</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5/23/2024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5,284</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5,208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5,284</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7/21/2027</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8.33%</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3,510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3,441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6.72%</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L+525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1,010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9.67%</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L+625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2,202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2,191</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7.86%</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11,115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11,059</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8,421</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8,317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8,211</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3/7/2028</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8.99%</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 + 575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4,677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4,588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4,583</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7.76%</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 + 525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5,000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9/17/2024</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8.62%</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 + 500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15,293</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15,102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14,956</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12/2/2022</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7.39%</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L+600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2,417</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2,417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2,417</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5/16/2024</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L+662</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14,822</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14,771</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14,674</w:t>
            </w: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Cadence Aerospace,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11/14/2023</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11.31%</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L+325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12,412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12,385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12,288</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(PIK 11.31%)</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5/13/2028</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 + 600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6,484</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6,359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6,386</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9.08%</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L+600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4,950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4,876</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 Holdings,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4/10/2025</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Construction and Engineering</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L+450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5,557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5,557</w:t>
            </w: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8/31/2023</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9.27%</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9,271</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9,247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8,993</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(PIK 1.00%)</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3,907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3,842</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3,810</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9.39%</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2,110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2,089</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Douglas Products and Packaging Company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10/19/2022</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8,655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8,653</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8,655</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Douglas Sewer Intermediate,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10/19/2022</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8.87%</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7,248</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7,246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7,248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9.42%</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14,862</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14,610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14,639</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8.37%</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1,832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1,680</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1,643</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15,179</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15,103</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14,693</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6/30/2024</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Containers and Packaging</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8.62%</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L+550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10,278</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10,151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10,031</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5/1/2028</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10.62%</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L+750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2,621</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2,581</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ECM Industries,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12/23/2025</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7.82%</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L+475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4,974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12,935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12,759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12,644</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8.39%</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L+475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10,300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10,238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9,528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Gantech Acquisition Corp.</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L+625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14,638</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14,427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14,199</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8.74%</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L+600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3,904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3,888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2,369</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2,274</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Insurance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8.67%</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L+500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2,392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2,356</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L+600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4,963</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4,874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6M L+575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3,052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3,006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3,014</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III, LP</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5/11/2028</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Automobiles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L+450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2,327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1,701</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IDC Infusion Services,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12/30/2026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SOFR+700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9,950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9,502</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5,364</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5,261</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5,230</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12/7/2023</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SOFR+700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16,620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16,309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16,454</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9/29/2023</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11,187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10,963</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8/27/2025</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Insurance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7.58%</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L+550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5,966</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5,885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5,906</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 + 550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3,980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3,917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3,900</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12/20/2023</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11.12%</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L+800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19,250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19,103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19,250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L+600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16,830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16,451</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16,494</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11.17%</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L+700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14,355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14,074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14,068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10,578</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10,539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10,335</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(PIK 2.00%)</w:t>
            </w:r>
          </w:p>
        </w:tc>
        <w:tc>
          <w:tcPr>
            <w:tcW w:w="9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9.04%</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10,598</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10,428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10,254</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7/20/2027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8.31%</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4,331</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4,258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3,183</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7.87%</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L+475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2,695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2,425</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Term Loan</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8.19%</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L+525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647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w w:val="96"/>
              </w:rPr>
              <w:t xml:space="preserve">Marketplace Events, LLC - Super Priority First Lien Unfunded Term Loan </w:t>
            </w:r>
            <w:r>
              <w:rPr>
                <w:rFonts w:ascii="Times New Roman" w:cs="Times New Roman" w:eastAsia="Times New Roman" w:hAnsi="Times New Roman"/>
                <w:sz w:val="12"/>
                <w:szCs w:val="12"/>
                <w:color w:val="auto"/>
                <w:w w:val="96"/>
                <w:vertAlign w:val="superscript"/>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589</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9/30/2026</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8.19%</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L+525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4,837</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3,527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24"/>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24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8.62%</w:t>
            </w: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1M L+550</w:t>
            </w:r>
          </w:p>
        </w:tc>
        <w:tc>
          <w:tcPr>
            <w:tcW w:w="84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color w:val="auto"/>
              </w:rPr>
              <w:t>9,900</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9,782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9,851</w:t>
            </w:r>
          </w:p>
        </w:tc>
        <w:tc>
          <w:tcPr>
            <w:tcW w:w="0" w:type="dxa"/>
            <w:vAlign w:val="bottom"/>
          </w:tcPr>
          <w:p>
            <w:pPr>
              <w:spacing w:after="0"/>
              <w:rPr>
                <w:sz w:val="1"/>
                <w:szCs w:val="1"/>
                <w:color w:val="auto"/>
              </w:rPr>
            </w:pPr>
          </w:p>
        </w:tc>
      </w:tr>
      <w:tr>
        <w:trPr>
          <w:trHeight w:val="56"/>
        </w:trPr>
        <w:tc>
          <w:tcPr>
            <w:tcW w:w="3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8.56%</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7,406</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7,332</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8.98%</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L+500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5,000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L+650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2,396</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2,353</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2,372</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3/28/2024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SOFR+500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5,829</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5,759</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9/28/2027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3,465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3,405</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3,264</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&amp; Childcare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L+550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10,820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10,641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10,820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Milani Group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6/6/2024</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14,363</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14,319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14,111</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OIS Management Services,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7/9/2026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SOFR+475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5,060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4,991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5,060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L+625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14,598</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14,353</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14,160</w:t>
            </w:r>
          </w:p>
        </w:tc>
        <w:tc>
          <w:tcPr>
            <w:tcW w:w="0" w:type="dxa"/>
            <w:vAlign w:val="bottom"/>
          </w:tcPr>
          <w:p>
            <w:pPr>
              <w:spacing w:after="0"/>
              <w:rPr>
                <w:sz w:val="1"/>
                <w:szCs w:val="1"/>
                <w:color w:val="auto"/>
              </w:rPr>
            </w:pPr>
          </w:p>
        </w:tc>
      </w:tr>
      <w:tr>
        <w:trPr>
          <w:trHeight w:val="132"/>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3/27/2024</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L+425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7,682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7,676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5,838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3,990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3,918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3,890</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9.81%</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L+600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4,925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4,827</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9/29/2025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L+500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9,593</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9,234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7,674</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9.62%</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L+650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8,238</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8,111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8,032</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Plant Health Intermediate,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10/19/2022</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8.87%</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1,562</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1,561</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1,562</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9.17%</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L+550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2,580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2,500</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2,309</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Education</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11,250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11,138</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L+625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4,845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4,755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Quantic Electronics, LLC - Unfunded Term Loan </w:t>
            </w:r>
            <w:r>
              <w:rPr>
                <w:rFonts w:ascii="Times New Roman" w:cs="Times New Roman" w:eastAsia="Times New Roman" w:hAnsi="Times New Roman"/>
                <w:sz w:val="12"/>
                <w:szCs w:val="12"/>
                <w:color w:val="auto"/>
                <w:vertAlign w:val="superscript"/>
              </w:rPr>
              <w:t>(3)</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1,888</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2/28/2028</w:t>
            </w:r>
          </w:p>
        </w:tc>
        <w:tc>
          <w:tcPr>
            <w:tcW w:w="248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9.13%</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SOFR+600</w:t>
            </w:r>
          </w:p>
        </w:tc>
        <w:tc>
          <w:tcPr>
            <w:tcW w:w="84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color w:val="auto"/>
              </w:rPr>
              <w:t>4,975</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4,904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4,751</w:t>
            </w:r>
          </w:p>
        </w:tc>
        <w:tc>
          <w:tcPr>
            <w:tcW w:w="0" w:type="dxa"/>
            <w:vAlign w:val="bottom"/>
          </w:tcPr>
          <w:p>
            <w:pPr>
              <w:spacing w:after="0"/>
              <w:rPr>
                <w:sz w:val="1"/>
                <w:szCs w:val="1"/>
                <w:color w:val="auto"/>
              </w:rPr>
            </w:pPr>
          </w:p>
        </w:tc>
      </w:tr>
      <w:tr>
        <w:trPr>
          <w:trHeight w:val="68"/>
        </w:trPr>
        <w:tc>
          <w:tcPr>
            <w:tcW w:w="30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4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9.92%</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L+600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4,925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4"/>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L+550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12,564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12,354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11,291</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4" w:name="page155"/>
    <w:bookmarkEnd w:id="154"/>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 /</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20" w:type="dxa"/>
            <w:vAlign w:val="bottom"/>
          </w:tcPr>
          <w:p>
            <w:pPr>
              <w:spacing w:after="0"/>
              <w:rPr>
                <w:sz w:val="10"/>
                <w:szCs w:val="10"/>
                <w:color w:val="auto"/>
              </w:rPr>
            </w:pPr>
          </w:p>
        </w:tc>
        <w:tc>
          <w:tcPr>
            <w:tcW w:w="7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9.67%</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5,013</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$4,960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$4,963</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8.62%</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L+550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5,240</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5,202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5,187</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7/14/2025</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10.27%</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11,847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11,829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11,551</w:t>
            </w:r>
          </w:p>
        </w:tc>
      </w:tr>
      <w:tr>
        <w:trPr>
          <w:trHeight w:val="120"/>
        </w:trPr>
        <w:tc>
          <w:tcPr>
            <w:tcW w:w="30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(PIK 0.50%)</w:t>
            </w: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12.17%</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1M L+850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14,716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14,421</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7.05%</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L+450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11,917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11,807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11,470</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1/17/2024</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8.87%</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1M L+575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5,647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5,511</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8.63%</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2,956</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2,916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2,873</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12/11/2026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8.37%</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L+525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9,075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8,985</w:t>
            </w:r>
          </w:p>
        </w:tc>
      </w:tr>
      <w:tr>
        <w:trPr>
          <w:trHeight w:val="121"/>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8.73%</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SOFR+600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14,888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14,623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14,649</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8.38%</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L+625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2,786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2,623</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9.55%</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L+500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5,659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5,600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5,603</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10.67%</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1M L+700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1,724</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Infosoft Group,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9/16/2024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Media: Broadcasting and Subscription</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8.47%</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12,957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12,952</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12,859</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8/30/2027</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Construction and Engineering</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8.62%</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1M L+550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5,578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5,550</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8.30%</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L+475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8,744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8,604</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8,482</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TVC Enterprises,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3/26/2026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8.87%</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L+550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14,952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14,871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14,578</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6/16/2025</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8.76%</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L+625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5,468</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5,450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5,441</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 (New Issue)</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4/1/2028</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IT Services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7.76%</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L+550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15,550</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14,446</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UBEO,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4/3/2024</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8.17%</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L+450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17,390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17,305</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17,129</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Unique Indoor Comfort,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5/24/2027</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 Housewares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8.95%</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4,975</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4,866</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3/31/2027</w:t>
            </w:r>
          </w:p>
        </w:tc>
        <w:tc>
          <w:tcPr>
            <w:tcW w:w="24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12.42%</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12,684</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12,438</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8,473</w:t>
            </w:r>
          </w:p>
        </w:tc>
      </w:tr>
      <w:tr>
        <w:trPr>
          <w:trHeight w:val="120"/>
        </w:trPr>
        <w:tc>
          <w:tcPr>
            <w:tcW w:w="30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(PIK 3.0%)</w:t>
            </w: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9.45%</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8,546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8,261</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Automobiles</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10.35%</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L+725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16,957</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16,711</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16,536</w:t>
            </w:r>
          </w:p>
        </w:tc>
      </w:tr>
      <w:tr>
        <w:trPr>
          <w:trHeight w:val="120"/>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767,316</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751,628</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 - 5.2%</w:t>
            </w: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9/29/2024</w:t>
            </w:r>
          </w:p>
        </w:tc>
        <w:tc>
          <w:tcPr>
            <w:tcW w:w="24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12.17%</w:t>
            </w:r>
          </w:p>
        </w:tc>
        <w:tc>
          <w:tcPr>
            <w:tcW w:w="9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L+850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3,000</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2,963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2,955</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2,955</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- 0.3%</w:t>
            </w: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24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139</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139</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- 1,335.9%</w:t>
            </w: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770,280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754,722</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- 53.4%</w:t>
            </w: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30,152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30,152</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780" w:type="dxa"/>
            <w:vAlign w:val="bottom"/>
            <w:shd w:val="clear" w:color="auto" w:fill="CCECFF"/>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30,152</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30,152</w:t>
            </w:r>
          </w:p>
        </w:tc>
      </w:tr>
      <w:tr>
        <w:trPr>
          <w:trHeight w:val="120"/>
        </w:trPr>
        <w:tc>
          <w:tcPr>
            <w:tcW w:w="306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—1,389.26%</w:t>
            </w: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$800,432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$784,874</w:t>
            </w:r>
          </w:p>
        </w:tc>
      </w:tr>
      <w:tr>
        <w:trPr>
          <w:trHeight w:val="20"/>
        </w:trPr>
        <w:tc>
          <w:tcPr>
            <w:tcW w:w="3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306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(1,289.26)%</w:t>
            </w:r>
          </w:p>
        </w:tc>
        <w:tc>
          <w:tcPr>
            <w:tcW w:w="780" w:type="dxa"/>
            <w:vAlign w:val="bottom"/>
            <w:shd w:val="clear" w:color="auto" w:fill="CCECFF"/>
          </w:tcPr>
          <w:p>
            <w:pPr>
              <w:spacing w:after="0"/>
              <w:rPr>
                <w:sz w:val="8"/>
                <w:szCs w:val="8"/>
                <w:color w:val="auto"/>
              </w:rPr>
            </w:pPr>
          </w:p>
        </w:tc>
        <w:tc>
          <w:tcPr>
            <w:tcW w:w="248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860" w:type="dxa"/>
            <w:vAlign w:val="bottom"/>
            <w:gridSpan w:val="2"/>
            <w:shd w:val="clear" w:color="auto" w:fill="CCECFF"/>
          </w:tcPr>
          <w:p>
            <w:pPr>
              <w:jc w:val="right"/>
              <w:spacing w:after="0" w:line="96" w:lineRule="exact"/>
              <w:rPr>
                <w:sz w:val="20"/>
                <w:szCs w:val="20"/>
                <w:color w:val="auto"/>
              </w:rPr>
            </w:pPr>
            <w:r>
              <w:rPr>
                <w:rFonts w:ascii="Times New Roman" w:cs="Times New Roman" w:eastAsia="Times New Roman" w:hAnsi="Times New Roman"/>
                <w:sz w:val="10"/>
                <w:szCs w:val="10"/>
                <w:color w:val="auto"/>
              </w:rPr>
              <w:t>(728,378)</w:t>
            </w:r>
          </w:p>
        </w:tc>
      </w:tr>
      <w:tr>
        <w:trPr>
          <w:trHeight w:val="120"/>
        </w:trPr>
        <w:tc>
          <w:tcPr>
            <w:tcW w:w="306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$56,496</w:t>
            </w:r>
          </w:p>
        </w:tc>
      </w:tr>
      <w:tr>
        <w:trPr>
          <w:trHeight w:val="20"/>
        </w:trPr>
        <w:tc>
          <w:tcPr>
            <w:tcW w:w="3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30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248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r>
    </w:tbl>
    <w:p>
      <w:pPr>
        <w:spacing w:after="0" w:line="241" w:lineRule="exact"/>
        <w:rPr>
          <w:sz w:val="20"/>
          <w:szCs w:val="20"/>
          <w:color w:val="auto"/>
        </w:rPr>
      </w:pPr>
    </w:p>
    <w:p>
      <w:pPr>
        <w:jc w:val="both"/>
        <w:ind w:left="20" w:right="140" w:hanging="2"/>
        <w:spacing w:after="0" w:line="252" w:lineRule="auto"/>
        <w:tabs>
          <w:tab w:leader="none" w:pos="156"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LIBOR, or “L”, Secured Overnight Financing Rate or "SOFR", or Prime rate or “P”. The spread may change based on the type of rate used. The terms in the Consolidated Schedule of Investments disclose the actual interest rate in effect as of the reporting period. LIBOR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PSSL’s accounting policy.</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1.ORGANIZATION</w:t>
      </w:r>
    </w:p>
    <w:p>
      <w:pPr>
        <w:spacing w:after="0" w:line="178"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PennantPark Senior Secured Loan Fund I LLC ("PSSL"), is organized as a Delaware limited liability company and commenced operations in May 2017. PSSL is a joint venture between PennantPark Floating Rate Capital Ltd. ("PFLT") and Trinity Universal Insurance Company, a subsidiary of Kemper Corporation (NYSE: KMPR), ("Kemper"). In this report, except where the context suggests otherwise, the terms “Company,” “we,” “our,” or “us” refer to PSSL and its consolidated subsidiary.</w:t>
      </w:r>
    </w:p>
    <w:p>
      <w:pPr>
        <w:spacing w:after="0" w:line="155"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The Company's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London Interbank Offered Rate ("LIBOR"), and Secured Overnight Financing Rate ("SOFR"), with or without a floor, plus a fixed spread.</w:t>
      </w:r>
    </w:p>
    <w:p>
      <w:pPr>
        <w:spacing w:after="0" w:line="155" w:lineRule="exact"/>
        <w:rPr>
          <w:sz w:val="20"/>
          <w:szCs w:val="20"/>
          <w:color w:val="auto"/>
        </w:rPr>
      </w:pPr>
    </w:p>
    <w:p>
      <w:pPr>
        <w:ind w:right="160" w:firstLine="348"/>
        <w:spacing w:after="0" w:line="289" w:lineRule="auto"/>
        <w:rPr>
          <w:sz w:val="20"/>
          <w:szCs w:val="20"/>
          <w:color w:val="auto"/>
        </w:rPr>
      </w:pPr>
      <w:r>
        <w:rPr>
          <w:rFonts w:ascii="Times New Roman" w:cs="Times New Roman" w:eastAsia="Times New Roman" w:hAnsi="Times New Roman"/>
          <w:sz w:val="14"/>
          <w:szCs w:val="14"/>
          <w:color w:val="auto"/>
        </w:rPr>
        <w:t>PFLT and Kemper (individually a "Member" and collectively the "Members") provide capital to PSSL in the form of notes and equity interests. As of September 30, 2023 and 2022, PFLT and Kemper owned 87.5% and 12.5%, respectively, of each of the outstanding notes and equity interests. The administrative agent of the Company is PennantPark Investment Administration, LLC, (the "Administrative Agent"). The Bank of New York Mellon Corporation, or the Sub-Administrator, provides certain services to the Administrative Agent with respect to certain accounting matters and has the responsibility for the official books and records.</w:t>
      </w:r>
    </w:p>
    <w:p>
      <w:pPr>
        <w:spacing w:after="0" w:line="125" w:lineRule="exact"/>
        <w:rPr>
          <w:sz w:val="20"/>
          <w:szCs w:val="20"/>
          <w:color w:val="auto"/>
        </w:rPr>
      </w:pPr>
    </w:p>
    <w:p>
      <w:pPr>
        <w:ind w:right="60" w:firstLine="348"/>
        <w:spacing w:after="0" w:line="239" w:lineRule="auto"/>
        <w:rPr>
          <w:sz w:val="20"/>
          <w:szCs w:val="20"/>
          <w:color w:val="auto"/>
        </w:rPr>
      </w:pPr>
      <w:r>
        <w:rPr>
          <w:rFonts w:ascii="Times New Roman" w:cs="Times New Roman" w:eastAsia="Times New Roman" w:hAnsi="Times New Roman"/>
          <w:sz w:val="16"/>
          <w:szCs w:val="16"/>
          <w:color w:val="auto"/>
        </w:rPr>
        <w:t>PFLT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of the Members;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of the Members.</w:t>
      </w:r>
    </w:p>
    <w:p>
      <w:pPr>
        <w:spacing w:after="0" w:line="158" w:lineRule="exact"/>
        <w:rPr>
          <w:sz w:val="20"/>
          <w:szCs w:val="20"/>
          <w:color w:val="auto"/>
        </w:rPr>
      </w:pPr>
    </w:p>
    <w:p>
      <w:pPr>
        <w:ind w:right="180" w:firstLine="348"/>
        <w:spacing w:after="0" w:line="259" w:lineRule="auto"/>
        <w:rPr>
          <w:sz w:val="20"/>
          <w:szCs w:val="20"/>
          <w:color w:val="auto"/>
        </w:rPr>
      </w:pPr>
      <w:r>
        <w:rPr>
          <w:rFonts w:ascii="Times New Roman" w:cs="Times New Roman" w:eastAsia="Times New Roman" w:hAnsi="Times New Roman"/>
          <w:sz w:val="16"/>
          <w:szCs w:val="16"/>
          <w:color w:val="auto"/>
        </w:rPr>
        <w:t>In January 2021, Pennant Park Senior Secured Loan Facility II, LLC ("PSSL II"), a wholly-owned subsidiary of PSSL, was formed as a financing subsidiary for purposes of entering into a senior secured revolving credit facility with Ally Bank (see Note 10).</w:t>
      </w:r>
    </w:p>
    <w:p>
      <w:pPr>
        <w:spacing w:after="0" w:line="143" w:lineRule="exact"/>
        <w:rPr>
          <w:sz w:val="20"/>
          <w:szCs w:val="20"/>
          <w:color w:val="auto"/>
        </w:rPr>
      </w:pPr>
    </w:p>
    <w:p>
      <w:pPr>
        <w:ind w:right="140" w:firstLine="348"/>
        <w:spacing w:after="0" w:line="299" w:lineRule="auto"/>
        <w:rPr>
          <w:sz w:val="20"/>
          <w:szCs w:val="20"/>
          <w:color w:val="auto"/>
        </w:rPr>
      </w:pPr>
      <w:r>
        <w:rPr>
          <w:rFonts w:ascii="Times New Roman" w:cs="Times New Roman" w:eastAsia="Times New Roman" w:hAnsi="Times New Roman"/>
          <w:sz w:val="14"/>
          <w:szCs w:val="14"/>
          <w:color w:val="auto"/>
        </w:rPr>
        <w:t>In January 2021, PSSL completed a $300.7 million debt securitization in the form of a collateralized loan obligation, or the “2032 Asset- Backed Debt”. The 2032 Asset-Backed Debt is secured by a diversified portfolio of PennantPark CLO II, Ltd. ("CLO II"), a wholly-owned and consolidated subsidiary of PSSL, consisting primarily of middle market loans and participation interests in middle market loans. The 2032 Asset-Backed Debt is scheduled to mature in January 2032.</w:t>
      </w:r>
    </w:p>
    <w:p>
      <w:pPr>
        <w:spacing w:after="0" w:line="119" w:lineRule="exact"/>
        <w:rPr>
          <w:sz w:val="20"/>
          <w:szCs w:val="20"/>
          <w:color w:val="auto"/>
        </w:rPr>
      </w:pPr>
    </w:p>
    <w:p>
      <w:pPr>
        <w:jc w:val="both"/>
        <w:ind w:right="280" w:firstLine="348"/>
        <w:spacing w:after="0" w:line="299" w:lineRule="auto"/>
        <w:rPr>
          <w:sz w:val="20"/>
          <w:szCs w:val="20"/>
          <w:color w:val="auto"/>
        </w:rPr>
      </w:pPr>
      <w:r>
        <w:rPr>
          <w:rFonts w:ascii="Times New Roman" w:cs="Times New Roman" w:eastAsia="Times New Roman" w:hAnsi="Times New Roman"/>
          <w:sz w:val="14"/>
          <w:szCs w:val="14"/>
          <w:color w:val="auto"/>
        </w:rPr>
        <w:t>In April 2023, PSSL completed a $297.8 million debt securitization in the form of a collateralized loan obligation, or the “2035 Asset-Backed Debt”. The 2035 Asset-Backed Debt is secured by a diversified portfolio of PennantPark CLO VI, LLC ("CLO VI"), a wholly -owned and consolidated subsidiary of PSSL, consisting primarily of middle market loans and participation interests in middle market loans. The 2035 Asset-Backed Debt is scheduled to mature in April 2035.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SIGNIFICANT ACCOUNTING POLICIES</w:t>
      </w:r>
    </w:p>
    <w:p>
      <w:pPr>
        <w:spacing w:after="0" w:line="178"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PSSL is considered an investment company under U.S. generally accepted accounting principles ("GAAP") and follows the accounting and reporting guidance applicable to investment companies in the Financial Accounting Standards Board Accounting Standards Codification Topic 946. References to the Accounting Standards Codification, as amended ("ASC"), serves as a source of accounting literature. Subsequent events are evaluated and recognized or disclosed as appropriate for events occurring through the date the consolidated financial statements are available to be issued. The preparation of our consolidated financial statements in conformity with GAAP requires the Company to make estimates and assumptions that affect the reported amount of our assets and liabilities at the date of the consolidated financial statements and the reported amounts of income and expenses during the reported periods. In the opinion of the Company,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have eliminated all intercompany balances and transactions.</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56" w:lineRule="exact"/>
        <w:rPr>
          <w:sz w:val="20"/>
          <w:szCs w:val="20"/>
          <w:color w:val="auto"/>
        </w:rPr>
      </w:pPr>
    </w:p>
    <w:p>
      <w:pPr>
        <w:ind w:left="460" w:hanging="226"/>
        <w:spacing w:after="0"/>
        <w:tabs>
          <w:tab w:leader="none" w:pos="460" w:val="left"/>
        </w:tabs>
        <w:numPr>
          <w:ilvl w:val="0"/>
          <w:numId w:val="2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color w:val="auto"/>
        </w:rPr>
        <w:t>Restatement of Previously Issued Financial Statement</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During the preparation of the financial statements as of and for the year ended September 30, 2023, Management identified</w:t>
      </w:r>
    </w:p>
    <w:p>
      <w:pPr>
        <w:spacing w:after="0" w:line="1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6"/>
          <w:szCs w:val="16"/>
          <w:color w:val="auto"/>
        </w:rPr>
        <w:t>an error in the classification and presentation of cash pertaining to the Company’s affiliate, PFLT, in the September 30, 2022 financial statements. The Company recorded cash activity and due from affiliate pertaining to their investments as an increase in the cash account instead of presenting the related cash and cash equivalents as an asset and another asset for due from affiliate. The impact of the error correction is reflected in a $3.6 million decrease to cash and offsetting increase to due from affiliates as of September 30, 2022 and a decrease in due from affiliates within operating activities on the consolidated statement of cash flows totaling $3.6 million for the year ended September 30, 2022. There was no impact from the error correction to total members' equity as reported on the consolidated statement of assets, liabilities and members' equity as of September 30, 2022. In addition, there was no impact from the error correction on net investment income or net increase (decrease) in members' equity resulting from operations in total as reported on the consolidated statement of operations for the year ended September 30, 2022. The corrections were reported in the year ended September 30, 2023.</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significant accounting policies consistently applied are as follows: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(b) Investment Valuations</w:t>
      </w:r>
    </w:p>
    <w:p>
      <w:pPr>
        <w:spacing w:after="0" w:line="180"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in determining our valuation. Due to the inherent uncertainty of determining the fair value of investments that do not have a readily available market value, the price used in an actual transaction may be different than our valuation and the difference may be material. See Note 4.</w:t>
      </w:r>
    </w:p>
    <w:p>
      <w:pPr>
        <w:spacing w:after="0" w:line="161" w:lineRule="exact"/>
        <w:rPr>
          <w:sz w:val="20"/>
          <w:szCs w:val="20"/>
          <w:color w:val="auto"/>
        </w:rPr>
      </w:pPr>
    </w:p>
    <w:p>
      <w:pPr>
        <w:ind w:right="260" w:firstLine="420"/>
        <w:spacing w:after="0" w:line="247" w:lineRule="auto"/>
        <w:rPr>
          <w:sz w:val="20"/>
          <w:szCs w:val="20"/>
          <w:color w:val="auto"/>
        </w:rPr>
      </w:pPr>
      <w:r>
        <w:rPr>
          <w:rFonts w:ascii="Times New Roman" w:cs="Times New Roman" w:eastAsia="Times New Roman" w:hAnsi="Times New Roman"/>
          <w:sz w:val="16"/>
          <w:szCs w:val="16"/>
          <w:color w:val="auto"/>
        </w:rPr>
        <w:t>Our portfolio generally consists of illiquid securities, including debt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52" w:lineRule="exact"/>
        <w:rPr>
          <w:sz w:val="20"/>
          <w:szCs w:val="20"/>
          <w:color w:val="auto"/>
        </w:rPr>
      </w:pPr>
    </w:p>
    <w:p>
      <w:pPr>
        <w:ind w:left="540" w:right="320"/>
        <w:spacing w:after="0" w:line="259" w:lineRule="auto"/>
        <w:rPr>
          <w:sz w:val="20"/>
          <w:szCs w:val="20"/>
          <w:color w:val="auto"/>
        </w:rPr>
      </w:pPr>
      <w:r>
        <w:rPr>
          <w:rFonts w:ascii="Times New Roman" w:cs="Times New Roman" w:eastAsia="Times New Roman" w:hAnsi="Times New Roman"/>
          <w:sz w:val="16"/>
          <w:szCs w:val="16"/>
          <w:color w:val="auto"/>
        </w:rPr>
        <w:t>(1)Our quarterly valuation process begins with each portfolio company or investment being initially valued by the investment professionals of PennantPark Investment Advisers, LLC, the investment adviser to PFLT, responsible for the portfolio investment;</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(2)Preliminary valuation conclusions are then documented and discussed with the management of PennantPark Investment Advisers, LLC;</w:t>
      </w:r>
    </w:p>
    <w:p>
      <w:pPr>
        <w:spacing w:after="0" w:line="176" w:lineRule="exact"/>
        <w:rPr>
          <w:sz w:val="20"/>
          <w:szCs w:val="20"/>
          <w:color w:val="auto"/>
        </w:rPr>
      </w:pPr>
    </w:p>
    <w:p>
      <w:pPr>
        <w:ind w:left="540" w:right="200"/>
        <w:spacing w:after="0" w:line="243" w:lineRule="auto"/>
        <w:rPr>
          <w:sz w:val="20"/>
          <w:szCs w:val="20"/>
          <w:color w:val="auto"/>
        </w:rPr>
      </w:pPr>
      <w:r>
        <w:rPr>
          <w:rFonts w:ascii="Times New Roman" w:cs="Times New Roman" w:eastAsia="Times New Roman" w:hAnsi="Times New Roman"/>
          <w:sz w:val="16"/>
          <w:szCs w:val="16"/>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55" w:lineRule="exact"/>
        <w:rPr>
          <w:sz w:val="20"/>
          <w:szCs w:val="20"/>
          <w:color w:val="auto"/>
        </w:rPr>
      </w:pPr>
    </w:p>
    <w:p>
      <w:pPr>
        <w:ind w:left="540" w:right="440"/>
        <w:spacing w:after="0" w:line="247" w:lineRule="auto"/>
        <w:rPr>
          <w:sz w:val="20"/>
          <w:szCs w:val="20"/>
          <w:color w:val="auto"/>
        </w:rPr>
      </w:pPr>
      <w:r>
        <w:rPr>
          <w:rFonts w:ascii="Times New Roman" w:cs="Times New Roman" w:eastAsia="Times New Roman" w:hAnsi="Times New Roman"/>
          <w:sz w:val="16"/>
          <w:szCs w:val="16"/>
          <w:color w:val="auto"/>
        </w:rPr>
        <w:t>(4)Our board of directors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52" w:lineRule="exact"/>
        <w:rPr>
          <w:sz w:val="20"/>
          <w:szCs w:val="20"/>
          <w:color w:val="auto"/>
        </w:rPr>
      </w:pPr>
    </w:p>
    <w:p>
      <w:pPr>
        <w:ind w:left="540" w:right="580"/>
        <w:spacing w:after="0" w:line="259" w:lineRule="auto"/>
        <w:rPr>
          <w:sz w:val="20"/>
          <w:szCs w:val="20"/>
          <w:color w:val="auto"/>
        </w:rPr>
      </w:pPr>
      <w:r>
        <w:rPr>
          <w:rFonts w:ascii="Times New Roman" w:cs="Times New Roman" w:eastAsia="Times New Roman" w:hAnsi="Times New Roman"/>
          <w:sz w:val="16"/>
          <w:szCs w:val="16"/>
          <w:color w:val="auto"/>
        </w:rPr>
        <w:t>(5)Our board of directors assesses these valuations and determines the fair value of each investment in our portfolio in good faith, based on the input of PennantPark Investment Advisers, LLC and the respective independent valuation firms.</w:t>
      </w:r>
    </w:p>
    <w:p>
      <w:pPr>
        <w:spacing w:after="0" w:line="143"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58"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or dealers, if available, or otherwise from a principal market maker or a primary market dealer. PennantPark Investment Advisers, LLC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 Security Transactions, Revenue Recognition, and Realized/Unrealized Gains or Losses</w:t>
      </w:r>
    </w:p>
    <w:p>
      <w:pPr>
        <w:spacing w:after="0" w:line="180" w:lineRule="exact"/>
        <w:rPr>
          <w:sz w:val="20"/>
          <w:szCs w:val="20"/>
          <w:color w:val="auto"/>
        </w:rPr>
      </w:pPr>
    </w:p>
    <w:p>
      <w:pPr>
        <w:ind w:right="60" w:firstLine="420"/>
        <w:spacing w:after="0" w:line="277" w:lineRule="auto"/>
        <w:rPr>
          <w:sz w:val="20"/>
          <w:szCs w:val="20"/>
          <w:color w:val="auto"/>
        </w:rPr>
      </w:pPr>
      <w:r>
        <w:rPr>
          <w:rFonts w:ascii="Times New Roman" w:cs="Times New Roman" w:eastAsia="Times New Roman" w:hAnsi="Times New Roman"/>
          <w:sz w:val="14"/>
          <w:szCs w:val="14"/>
          <w:color w:val="auto"/>
        </w:rPr>
        <w:t>Security transactions are recorded on a trade date basis. 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4" w:lineRule="exact"/>
        <w:rPr>
          <w:sz w:val="20"/>
          <w:szCs w:val="20"/>
          <w:color w:val="auto"/>
        </w:rPr>
      </w:pPr>
    </w:p>
    <w:p>
      <w:pPr>
        <w:ind w:right="100" w:firstLine="420"/>
        <w:spacing w:after="0" w:line="284"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receivable is generally reversed when a loan is placed on non-accrual status. Interest payments received on non-accrual loans may be recognized as income or applied to principal depending upon the Company’ judgment. Non-accrual loans are restored to accrual status when past due principal and interest is paid and, in the Company’ judgment, are likely to remain current. As of September 30, 2023, we had two portfolio companies on non -accrual, representing 1.5% and 0.3% of our overall portfolio on a cost and fair value basis. As of September 30, 2022, none of our portfolio companies were on non-accrual.</w:t>
      </w:r>
    </w:p>
    <w:p>
      <w:pPr>
        <w:spacing w:after="0" w:line="128" w:lineRule="exact"/>
        <w:rPr>
          <w:sz w:val="20"/>
          <w:szCs w:val="20"/>
          <w:color w:val="auto"/>
        </w:rPr>
      </w:pPr>
    </w:p>
    <w:p>
      <w:pPr>
        <w:jc w:val="both"/>
        <w:ind w:firstLine="420"/>
        <w:spacing w:after="0" w:line="243" w:lineRule="auto"/>
        <w:rPr>
          <w:sz w:val="20"/>
          <w:szCs w:val="20"/>
          <w:color w:val="auto"/>
        </w:rPr>
      </w:pPr>
      <w:r>
        <w:rPr>
          <w:rFonts w:ascii="Times New Roman" w:cs="Times New Roman" w:eastAsia="Times New Roman" w:hAnsi="Times New Roman"/>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(d) Income Taxes</w:t>
      </w:r>
    </w:p>
    <w:p>
      <w:pPr>
        <w:spacing w:after="0" w:line="180"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6"/>
          <w:szCs w:val="16"/>
          <w:color w:val="auto"/>
        </w:rPr>
        <w:t>PSSL is classified as a partnership for U.S. federal income tax purposes and is not subject to U.S. federal income tax. Accordingly, no provisions for U.S. income taxes have been made. The Members are responsible for reporting their share of the PSSL’s income or loss on their U.S. income tax returns.</w:t>
      </w:r>
    </w:p>
    <w:p>
      <w:pPr>
        <w:spacing w:after="0" w:line="143" w:lineRule="exact"/>
        <w:rPr>
          <w:sz w:val="20"/>
          <w:szCs w:val="20"/>
          <w:color w:val="auto"/>
        </w:rPr>
      </w:pPr>
    </w:p>
    <w:p>
      <w:pPr>
        <w:ind w:right="100" w:firstLine="420"/>
        <w:spacing w:after="0" w:line="243" w:lineRule="auto"/>
        <w:rPr>
          <w:sz w:val="20"/>
          <w:szCs w:val="20"/>
          <w:color w:val="auto"/>
        </w:rPr>
      </w:pPr>
      <w:r>
        <w:rPr>
          <w:rFonts w:ascii="Times New Roman" w:cs="Times New Roman" w:eastAsia="Times New Roman" w:hAnsi="Times New Roman"/>
          <w:sz w:val="16"/>
          <w:szCs w:val="16"/>
          <w:color w:val="auto"/>
        </w:rPr>
        <w:t>In accordance with FASB ASC Topic 740, the Company is required to determine whether a tax position of PSSL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PSSL recording a tax liability that would reduce members’ capital.</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As of and for the years ended September 30, 2023 and 2022,management has determined that there were no material uncertain income tax positions.</w:t>
      </w:r>
    </w:p>
    <w:p>
      <w:pPr>
        <w:spacing w:after="0" w:line="172" w:lineRule="exact"/>
        <w:rPr>
          <w:sz w:val="20"/>
          <w:szCs w:val="20"/>
          <w:color w:val="auto"/>
        </w:rPr>
      </w:pPr>
    </w:p>
    <w:p>
      <w:pPr>
        <w:ind w:left="440" w:hanging="206"/>
        <w:spacing w:after="0"/>
        <w:tabs>
          <w:tab w:leader="none" w:pos="440"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Foreign Currency Translation</w:t>
      </w:r>
    </w:p>
    <w:p>
      <w:pPr>
        <w:spacing w:after="0" w:line="180" w:lineRule="exact"/>
        <w:rPr>
          <w:rFonts w:ascii="Times New Roman" w:cs="Times New Roman" w:eastAsia="Times New Roman" w:hAnsi="Times New Roman"/>
          <w:sz w:val="16"/>
          <w:szCs w:val="16"/>
          <w:b w:val="1"/>
          <w:bCs w:val="1"/>
          <w:i w:val="1"/>
          <w:iCs w:val="1"/>
          <w:color w:val="auto"/>
        </w:rPr>
      </w:pPr>
    </w:p>
    <w:p>
      <w:pPr>
        <w:jc w:val="right"/>
        <w:ind w:left="540" w:right="1440" w:hanging="108"/>
        <w:spacing w:after="0" w:line="53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 1.Fair value of investment securities, other assets and liabilities – at the exchange rates prevailing at the end of the applicable period; and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3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2.Purchases and sales of investment securities, income and expenses – at the exchange rates prevailing on the respective dates of such transactions.</w:t>
      </w:r>
    </w:p>
    <w:p>
      <w:pPr>
        <w:spacing w:after="0" w:line="176" w:lineRule="exact"/>
        <w:rPr>
          <w:sz w:val="20"/>
          <w:szCs w:val="20"/>
          <w:color w:val="auto"/>
        </w:rPr>
      </w:pPr>
    </w:p>
    <w:p>
      <w:pPr>
        <w:ind w:right="280" w:firstLine="420"/>
        <w:spacing w:after="0" w:line="247" w:lineRule="auto"/>
        <w:rPr>
          <w:sz w:val="20"/>
          <w:szCs w:val="20"/>
          <w:color w:val="auto"/>
        </w:rPr>
      </w:pPr>
      <w:r>
        <w:rPr>
          <w:rFonts w:ascii="Times New Roman" w:cs="Times New Roman" w:eastAsia="Times New Roman" w:hAnsi="Times New Roman"/>
          <w:sz w:val="16"/>
          <w:szCs w:val="16"/>
          <w:color w:val="auto"/>
        </w:rPr>
        <w:t>Although Members’ capital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w:t>
      </w:r>
    </w:p>
    <w:p>
      <w:pPr>
        <w:spacing w:after="0" w:line="152" w:lineRule="exact"/>
        <w:rPr>
          <w:sz w:val="20"/>
          <w:szCs w:val="20"/>
          <w:color w:val="auto"/>
        </w:rPr>
      </w:pPr>
    </w:p>
    <w:p>
      <w:pPr>
        <w:ind w:right="460" w:firstLine="420"/>
        <w:spacing w:after="0" w:line="243" w:lineRule="auto"/>
        <w:rPr>
          <w:sz w:val="20"/>
          <w:szCs w:val="20"/>
          <w:color w:val="auto"/>
        </w:rPr>
      </w:pPr>
      <w:r>
        <w:rPr>
          <w:rFonts w:ascii="Times New Roman" w:cs="Times New Roman" w:eastAsia="Times New Roman" w:hAnsi="Times New Roman"/>
          <w:sz w:val="16"/>
          <w:szCs w:val="16"/>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(f) Consolidation</w:t>
      </w:r>
    </w:p>
    <w:p>
      <w:pPr>
        <w:spacing w:after="0" w:line="180"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6"/>
          <w:szCs w:val="16"/>
          <w:color w:val="auto"/>
        </w:rPr>
        <w:t>As explained by ASC paragraph 946-810-45, PSSL will generally not consolidate its investment in a company other than an investment company subsidiary or a controlled operating company whose business consists of providing services to us.</w:t>
      </w:r>
    </w:p>
    <w:p>
      <w:pPr>
        <w:spacing w:after="0" w:line="3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(g) Recent Accounting Pronouncements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In August 2018, the FASB issued ASU 2018-13, Fair Value Measurement (Topic 820): </w:t>
      </w:r>
      <w:r>
        <w:rPr>
          <w:rFonts w:ascii="Times New Roman" w:cs="Times New Roman" w:eastAsia="Times New Roman" w:hAnsi="Times New Roman"/>
          <w:sz w:val="16"/>
          <w:szCs w:val="16"/>
          <w:i w:val="1"/>
          <w:iCs w:val="1"/>
          <w:color w:val="auto"/>
        </w:rPr>
        <w:t>Disclosure Framework - Changes in</w:t>
      </w:r>
    </w:p>
    <w:p>
      <w:pPr>
        <w:spacing w:after="0" w:line="1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6"/>
          <w:szCs w:val="16"/>
          <w:i w:val="1"/>
          <w:iCs w:val="1"/>
          <w:color w:val="auto"/>
        </w:rPr>
        <w:t>the Disclosure Requirements for Fair Value Measurement</w:t>
      </w:r>
      <w:r>
        <w:rPr>
          <w:rFonts w:ascii="Times New Roman" w:cs="Times New Roman" w:eastAsia="Times New Roman" w:hAnsi="Times New Roman"/>
          <w:sz w:val="16"/>
          <w:szCs w:val="16"/>
          <w:color w:val="auto"/>
        </w:rPr>
        <w:t>, which changes the fair value measurement disclosure requirements on fair value measurements in Topic 820.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ASU removed the requirements to disclosure the policy for the timing of transfers between levels, the valuation processes for Level 3 fair value measurements, the Level 3 reconciliation from opening balances to closing balances, and the change in unrealized gains and losses of Level 3 fair value measurements held on the balance sheet date. While most changes are applied on a retrospective basis, the ASU still requires the change in unrealized gain and losses of Level 3 fair value measurements held as of the prior year to be disclosed. As a result of these removals certain modifications were made, including disclosure of the amount of and reason for transfers into and out of Level 3 of the fair value hierarchy and the amount of purchases and issues of Level 3 assets and liabilities. PSSL adopted this ASU for the year ended September 30, 2023.</w:t>
      </w:r>
    </w:p>
    <w:p>
      <w:pPr>
        <w:spacing w:after="0" w:line="137" w:lineRule="exact"/>
        <w:rPr>
          <w:sz w:val="20"/>
          <w:szCs w:val="20"/>
          <w:color w:val="auto"/>
        </w:rPr>
      </w:pPr>
    </w:p>
    <w:p>
      <w:pPr>
        <w:ind w:right="20" w:firstLine="420"/>
        <w:spacing w:after="0" w:line="239" w:lineRule="auto"/>
        <w:rPr>
          <w:sz w:val="20"/>
          <w:szCs w:val="20"/>
          <w:color w:val="auto"/>
        </w:rPr>
      </w:pPr>
      <w:r>
        <w:rPr>
          <w:rFonts w:ascii="Times New Roman" w:cs="Times New Roman" w:eastAsia="Times New Roman" w:hAnsi="Times New Roman"/>
          <w:sz w:val="16"/>
          <w:szCs w:val="16"/>
          <w:color w:val="auto"/>
        </w:rPr>
        <w:t>In March 2020, the FASB issued Accounting Standards Update, or ASU, No. 2020 -04, “Reference Rate Reform (Topic 848): Facilitation of the Effects of Reference Rate Reform on Financial Reporting” or ASU 2020-04.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years ended September 30, 2023 and September 30, 2022, the effect of which was not material to the consolidated financial statements and the notes thereto.</w:t>
      </w:r>
    </w:p>
    <w:p>
      <w:pPr>
        <w:spacing w:after="0" w:line="161" w:lineRule="exact"/>
        <w:rPr>
          <w:sz w:val="20"/>
          <w:szCs w:val="20"/>
          <w:color w:val="auto"/>
        </w:rPr>
      </w:pPr>
    </w:p>
    <w:p>
      <w:pPr>
        <w:ind w:firstLine="420"/>
        <w:spacing w:after="0" w:line="239" w:lineRule="auto"/>
        <w:rPr>
          <w:sz w:val="20"/>
          <w:szCs w:val="20"/>
          <w:color w:val="auto"/>
        </w:rPr>
      </w:pPr>
      <w:r>
        <w:rPr>
          <w:rFonts w:ascii="Times New Roman" w:cs="Times New Roman" w:eastAsia="Times New Roman" w:hAnsi="Times New Roman"/>
          <w:sz w:val="16"/>
          <w:szCs w:val="16"/>
          <w:color w:val="auto"/>
        </w:rPr>
        <w:t>In March 2022, the FASB issued ASU 2022-02, “Financial Instruments - Credit Losses (Topic 326)” or ASU 2022-02,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adopted ASU 2022-02 on its consolidated financial statement and disclosures.</w:t>
      </w:r>
    </w:p>
    <w:p>
      <w:pPr>
        <w:spacing w:after="0" w:line="161" w:lineRule="exact"/>
        <w:rPr>
          <w:sz w:val="20"/>
          <w:szCs w:val="20"/>
          <w:color w:val="auto"/>
        </w:rPr>
      </w:pPr>
    </w:p>
    <w:p>
      <w:pPr>
        <w:ind w:right="80" w:firstLine="420"/>
        <w:spacing w:after="0" w:line="239" w:lineRule="auto"/>
        <w:rPr>
          <w:sz w:val="20"/>
          <w:szCs w:val="20"/>
          <w:color w:val="auto"/>
        </w:rPr>
      </w:pPr>
      <w:r>
        <w:rPr>
          <w:rFonts w:ascii="Times New Roman" w:cs="Times New Roman" w:eastAsia="Times New Roman" w:hAnsi="Times New Roman"/>
          <w:sz w:val="16"/>
          <w:szCs w:val="16"/>
          <w:color w:val="auto"/>
        </w:rPr>
        <w:t>In June 2022, the FASB issued Accounting Standards Update No. 2022- 03,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9" w:name="page160"/>
    <w:bookmarkEnd w:id="159"/>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adoption of this new accounting standard will have on its consolidated financial statements, but the impact of the adoption is not expected to be material.</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AGREEMENTS AND RELATED PARTY TRANSACTIONS</w:t>
      </w:r>
    </w:p>
    <w:p>
      <w:pPr>
        <w:spacing w:after="0" w:line="178" w:lineRule="exact"/>
        <w:rPr>
          <w:sz w:val="20"/>
          <w:szCs w:val="20"/>
          <w:color w:val="auto"/>
        </w:rPr>
      </w:pPr>
    </w:p>
    <w:p>
      <w:pPr>
        <w:ind w:right="200" w:firstLine="432"/>
        <w:spacing w:after="0" w:line="259" w:lineRule="auto"/>
        <w:rPr>
          <w:sz w:val="20"/>
          <w:szCs w:val="20"/>
          <w:color w:val="auto"/>
        </w:rPr>
      </w:pPr>
      <w:r>
        <w:rPr>
          <w:rFonts w:ascii="Times New Roman" w:cs="Times New Roman" w:eastAsia="Times New Roman" w:hAnsi="Times New Roman"/>
          <w:sz w:val="16"/>
          <w:szCs w:val="16"/>
          <w:color w:val="auto"/>
        </w:rPr>
        <w:t>On June 10, 2022, PFLT was issued a capital call from the Company totaling $28.4 million consisting of Member notes of $19.9 million and equity interest of $8.5 million. PFLT fulfilled the June 10, 2022 capital call by contributing $28.0 million of securities and $0.4 million in cash to the Company.</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For the years ended September 30, 2023 and 2022, PSSL purchased $158.2 million and $275.8 million, in investments from PFLT, respectively.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September 30, 2023 and 2022, PSSL had a receivable from PFLT of $0.4 million and $3.6 million, respectively,</w:t>
      </w:r>
    </w:p>
    <w:p>
      <w:pPr>
        <w:spacing w:after="0" w:line="1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presented as a Due from Affiliate on the consolidated statements of assets, liabilities and members' equity. These amounts are related to cash owed to PSSL from PFLT in connection with trades between funds.</w:t>
      </w:r>
    </w:p>
    <w:p>
      <w:pPr>
        <w:spacing w:after="0" w:line="157" w:lineRule="exact"/>
        <w:rPr>
          <w:sz w:val="20"/>
          <w:szCs w:val="20"/>
          <w:color w:val="auto"/>
        </w:rPr>
      </w:pPr>
    </w:p>
    <w:p>
      <w:pPr>
        <w:jc w:val="both"/>
        <w:ind w:right="160" w:firstLine="432"/>
        <w:spacing w:after="0" w:line="247" w:lineRule="auto"/>
        <w:rPr>
          <w:sz w:val="20"/>
          <w:szCs w:val="20"/>
          <w:color w:val="auto"/>
        </w:rPr>
      </w:pPr>
      <w:r>
        <w:rPr>
          <w:rFonts w:ascii="Times New Roman" w:cs="Times New Roman" w:eastAsia="Times New Roman" w:hAnsi="Times New Roman"/>
          <w:sz w:val="16"/>
          <w:szCs w:val="16"/>
          <w:color w:val="auto"/>
        </w:rPr>
        <w:t>For the years ended September 30, 2023 and 2022, PSSL incurred $2.1 and $1.8 million of Administration fees to the Administrative Agent, respectively. The Administrative Agent provides administration services to PSSL at an annual rate of 0.25% of average gross assets under management payable quarterly in arrears and calculated based on average gross assets measured at cost at the end of the two recently completed calendar quarters.</w:t>
      </w:r>
    </w:p>
    <w:p>
      <w:pPr>
        <w:spacing w:after="0" w:line="152" w:lineRule="exact"/>
        <w:rPr>
          <w:sz w:val="20"/>
          <w:szCs w:val="20"/>
          <w:color w:val="auto"/>
        </w:rPr>
      </w:pPr>
    </w:p>
    <w:p>
      <w:pPr>
        <w:ind w:right="200" w:firstLine="432"/>
        <w:spacing w:after="0" w:line="259" w:lineRule="auto"/>
        <w:rPr>
          <w:sz w:val="20"/>
          <w:szCs w:val="20"/>
          <w:color w:val="auto"/>
        </w:rPr>
      </w:pPr>
      <w:r>
        <w:rPr>
          <w:rFonts w:ascii="Times New Roman" w:cs="Times New Roman" w:eastAsia="Times New Roman" w:hAnsi="Times New Roman"/>
          <w:sz w:val="16"/>
          <w:szCs w:val="16"/>
          <w:color w:val="auto"/>
        </w:rPr>
        <w:t>For the years ended September 30, 2023 and 2022, PSSL incurred $30.3 million and $17.5 million of interest expense related to the notes outstanding with the Members,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FAIR VALUE OF FINANCIAL INSTRUMENTS</w:t>
      </w:r>
    </w:p>
    <w:p>
      <w:pPr>
        <w:spacing w:after="0" w:line="178" w:lineRule="exact"/>
        <w:rPr>
          <w:sz w:val="20"/>
          <w:szCs w:val="20"/>
          <w:color w:val="auto"/>
        </w:rPr>
      </w:pPr>
    </w:p>
    <w:p>
      <w:pPr>
        <w:ind w:firstLine="420"/>
        <w:spacing w:after="0" w:line="239" w:lineRule="auto"/>
        <w:rPr>
          <w:sz w:val="20"/>
          <w:szCs w:val="20"/>
          <w:color w:val="auto"/>
        </w:rPr>
      </w:pPr>
      <w:r>
        <w:rPr>
          <w:rFonts w:ascii="Times New Roman" w:cs="Times New Roman" w:eastAsia="Times New Roman" w:hAnsi="Times New Roman"/>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ASC 820 classifies the inputs used to measure these fair values into the following hierarchies: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Level 1: Inputs that are quoted prices (unadjusted) in active markets for identical assets or liabilities, accessible by us at the measurement date.</w:t>
      </w:r>
    </w:p>
    <w:p>
      <w:pPr>
        <w:spacing w:after="0" w:line="176" w:lineRule="exact"/>
        <w:rPr>
          <w:sz w:val="20"/>
          <w:szCs w:val="20"/>
          <w:color w:val="auto"/>
        </w:rPr>
      </w:pPr>
    </w:p>
    <w:p>
      <w:pPr>
        <w:jc w:val="both"/>
        <w:ind w:left="1320" w:right="340" w:hanging="899"/>
        <w:spacing w:after="0" w:line="247" w:lineRule="auto"/>
        <w:rPr>
          <w:sz w:val="20"/>
          <w:szCs w:val="20"/>
          <w:color w:val="auto"/>
        </w:rPr>
      </w:pPr>
      <w:r>
        <w:rPr>
          <w:rFonts w:ascii="Times New Roman" w:cs="Times New Roman" w:eastAsia="Times New Roman" w:hAnsi="Times New Roman"/>
          <w:sz w:val="16"/>
          <w:szCs w:val="16"/>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52" w:lineRule="exact"/>
        <w:rPr>
          <w:sz w:val="20"/>
          <w:szCs w:val="20"/>
          <w:color w:val="auto"/>
        </w:rPr>
      </w:pPr>
    </w:p>
    <w:p>
      <w:pPr>
        <w:ind w:left="1320" w:right="40" w:hanging="899"/>
        <w:spacing w:after="0" w:line="259" w:lineRule="auto"/>
        <w:rPr>
          <w:sz w:val="20"/>
          <w:szCs w:val="20"/>
          <w:color w:val="auto"/>
        </w:rPr>
      </w:pPr>
      <w:r>
        <w:rPr>
          <w:rFonts w:ascii="Times New Roman" w:cs="Times New Roman" w:eastAsia="Times New Roman" w:hAnsi="Times New Roman"/>
          <w:sz w:val="16"/>
          <w:szCs w:val="16"/>
          <w:color w:val="auto"/>
        </w:rPr>
        <w:t>Level 3: Inputs that are unobservable for an asset or liability because they are based on our own assumptions about how market participants would price the asset or liability.</w:t>
      </w:r>
    </w:p>
    <w:p>
      <w:pPr>
        <w:spacing w:after="0" w:line="143" w:lineRule="exact"/>
        <w:rPr>
          <w:sz w:val="20"/>
          <w:szCs w:val="20"/>
          <w:color w:val="auto"/>
        </w:rPr>
      </w:pPr>
    </w:p>
    <w:p>
      <w:pPr>
        <w:ind w:right="260" w:firstLine="420"/>
        <w:spacing w:after="0" w:line="247" w:lineRule="auto"/>
        <w:rPr>
          <w:sz w:val="20"/>
          <w:szCs w:val="20"/>
          <w:color w:val="auto"/>
        </w:rPr>
      </w:pPr>
      <w:r>
        <w:rPr>
          <w:rFonts w:ascii="Times New Roman" w:cs="Times New Roman" w:eastAsia="Times New Roman" w:hAnsi="Times New Roman"/>
          <w:sz w:val="16"/>
          <w:szCs w:val="16"/>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31" w:right="720"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338" w:lineRule="exact"/>
        <w:rPr>
          <w:sz w:val="20"/>
          <w:szCs w:val="20"/>
          <w:color w:val="auto"/>
        </w:rPr>
      </w:pPr>
    </w:p>
    <w:p>
      <w:pPr>
        <w:ind w:right="40" w:firstLine="420"/>
        <w:spacing w:after="0" w:line="239" w:lineRule="auto"/>
        <w:rPr>
          <w:sz w:val="20"/>
          <w:szCs w:val="20"/>
          <w:color w:val="auto"/>
        </w:rPr>
      </w:pPr>
      <w:r>
        <w:rPr>
          <w:rFonts w:ascii="Times New Roman" w:cs="Times New Roman" w:eastAsia="Times New Roman" w:hAnsi="Times New Roman"/>
          <w:sz w:val="16"/>
          <w:szCs w:val="16"/>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61" w:lineRule="exact"/>
        <w:rPr>
          <w:sz w:val="20"/>
          <w:szCs w:val="20"/>
          <w:color w:val="auto"/>
        </w:rPr>
      </w:pPr>
    </w:p>
    <w:p>
      <w:pPr>
        <w:ind w:right="20" w:firstLine="420"/>
        <w:spacing w:after="0" w:line="241" w:lineRule="auto"/>
        <w:rPr>
          <w:sz w:val="20"/>
          <w:szCs w:val="20"/>
          <w:color w:val="auto"/>
        </w:rPr>
      </w:pPr>
      <w:r>
        <w:rPr>
          <w:rFonts w:ascii="Times New Roman" w:cs="Times New Roman" w:eastAsia="Times New Roman" w:hAnsi="Times New Roman"/>
          <w:sz w:val="16"/>
          <w:szCs w:val="16"/>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5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6"/>
          <w:szCs w:val="16"/>
          <w:color w:val="auto"/>
        </w:rPr>
        <w:t>A review of fair value hierarchy classifications is conducted on a quarterly basis. Changes in our ability to observe valuation inputs may result in a reclassification for certain financial assets or liabilities.</w:t>
      </w:r>
    </w:p>
    <w:p>
      <w:pPr>
        <w:spacing w:after="0" w:line="143" w:lineRule="exact"/>
        <w:rPr>
          <w:sz w:val="20"/>
          <w:szCs w:val="20"/>
          <w:color w:val="auto"/>
        </w:rPr>
      </w:pPr>
    </w:p>
    <w:p>
      <w:pPr>
        <w:ind w:right="420" w:firstLine="420"/>
        <w:spacing w:after="0" w:line="247" w:lineRule="auto"/>
        <w:rPr>
          <w:sz w:val="20"/>
          <w:szCs w:val="20"/>
          <w:color w:val="auto"/>
        </w:rPr>
      </w:pPr>
      <w:r>
        <w:rPr>
          <w:rFonts w:ascii="Times New Roman" w:cs="Times New Roman" w:eastAsia="Times New Roman" w:hAnsi="Times New Roman"/>
          <w:sz w:val="16"/>
          <w:szCs w:val="16"/>
          <w:color w:val="auto"/>
        </w:rPr>
        <w:t>In addition to using the above inputs in valuing cash equivalents and investments,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52" w:lineRule="exact"/>
        <w:rPr>
          <w:sz w:val="20"/>
          <w:szCs w:val="20"/>
          <w:color w:val="auto"/>
        </w:rPr>
      </w:pPr>
    </w:p>
    <w:p>
      <w:pPr>
        <w:ind w:firstLine="420"/>
        <w:spacing w:after="0" w:line="241" w:lineRule="auto"/>
        <w:rPr>
          <w:sz w:val="20"/>
          <w:szCs w:val="20"/>
          <w:color w:val="auto"/>
        </w:rPr>
      </w:pPr>
      <w:r>
        <w:rPr>
          <w:rFonts w:ascii="Times New Roman" w:cs="Times New Roman" w:eastAsia="Times New Roman" w:hAnsi="Times New Roman"/>
          <w:sz w:val="16"/>
          <w:szCs w:val="16"/>
          <w:color w:val="auto"/>
        </w:rPr>
        <w:t>As outlined in the table below, some of our Level 3 investments using a market comparable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7" w:lineRule="exact"/>
        <w:rPr>
          <w:sz w:val="20"/>
          <w:szCs w:val="20"/>
          <w:color w:val="auto"/>
        </w:rPr>
      </w:pPr>
    </w:p>
    <w:p>
      <w:pPr>
        <w:ind w:right="20" w:firstLine="420"/>
        <w:spacing w:after="0" w:line="275" w:lineRule="auto"/>
        <w:rPr>
          <w:sz w:val="20"/>
          <w:szCs w:val="20"/>
          <w:color w:val="auto"/>
        </w:rPr>
      </w:pPr>
      <w:r>
        <w:rPr>
          <w:rFonts w:ascii="Times New Roman" w:cs="Times New Roman" w:eastAsia="Times New Roman" w:hAnsi="Times New Roman"/>
          <w:sz w:val="14"/>
          <w:szCs w:val="14"/>
          <w:color w:val="auto"/>
        </w:rPr>
        <w:t>Some of our investments can also be valued using a market comparable or an enterprise market value technique.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200" w:lineRule="exact"/>
        <w:rPr>
          <w:sz w:val="20"/>
          <w:szCs w:val="20"/>
          <w:color w:val="auto"/>
        </w:rPr>
      </w:pP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Our Level 3 valuation techniques, unobservable inputs and ranges were categorized as follows for ASC 820 purposes: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61" w:name="page162"/>
    <w:bookmarkEnd w:id="161"/>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7"/>
              </w:rPr>
              <w:t>Fair value at September 30,</w:t>
            </w:r>
          </w:p>
        </w:tc>
        <w:tc>
          <w:tcPr>
            <w:tcW w:w="2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Range of Input</w:t>
            </w: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40" w:type="dxa"/>
            <w:vAlign w:val="bottom"/>
          </w:tcPr>
          <w:p>
            <w:pPr>
              <w:spacing w:after="0"/>
              <w:rPr>
                <w:sz w:val="18"/>
                <w:szCs w:val="18"/>
                <w:color w:val="auto"/>
              </w:rPr>
            </w:pPr>
          </w:p>
        </w:tc>
        <w:tc>
          <w:tcPr>
            <w:tcW w:w="202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3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Valuation Technique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Unobservable Input</w:t>
            </w:r>
          </w:p>
        </w:tc>
        <w:tc>
          <w:tcPr>
            <w:tcW w:w="20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(Weighted Average) </w:t>
            </w:r>
            <w:r>
              <w:rPr>
                <w:rFonts w:ascii="Times New Roman" w:cs="Times New Roman" w:eastAsia="Times New Roman" w:hAnsi="Times New Roman"/>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167"/>
        </w:trPr>
        <w:tc>
          <w:tcPr>
            <w:tcW w:w="2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91,489</w:t>
            </w:r>
          </w:p>
        </w:tc>
        <w:tc>
          <w:tcPr>
            <w:tcW w:w="2300" w:type="dxa"/>
            <w:vAlign w:val="bottom"/>
            <w:vMerge w:val="restart"/>
            <w:shd w:val="clear" w:color="auto" w:fill="CFF0FC"/>
          </w:tcPr>
          <w:p>
            <w:pPr>
              <w:jc w:val="center"/>
              <w:ind w:left="122"/>
              <w:spacing w:after="0"/>
              <w:rPr>
                <w:sz w:val="20"/>
                <w:szCs w:val="20"/>
                <w:color w:val="auto"/>
              </w:rPr>
            </w:pPr>
            <w:r>
              <w:rPr>
                <w:rFonts w:ascii="Times New Roman" w:cs="Times New Roman" w:eastAsia="Times New Roman" w:hAnsi="Times New Roman"/>
                <w:sz w:val="16"/>
                <w:szCs w:val="16"/>
                <w:color w:val="auto"/>
                <w:w w:val="98"/>
              </w:rPr>
              <w:t>Market Comparable</w:t>
            </w:r>
          </w:p>
        </w:tc>
        <w:tc>
          <w:tcPr>
            <w:tcW w:w="1900" w:type="dxa"/>
            <w:vAlign w:val="bottom"/>
            <w:shd w:val="clear" w:color="auto" w:fill="CFF0FC"/>
          </w:tcPr>
          <w:p>
            <w:pPr>
              <w:jc w:val="center"/>
              <w:spacing w:after="0" w:line="167" w:lineRule="exact"/>
              <w:rPr>
                <w:sz w:val="20"/>
                <w:szCs w:val="20"/>
                <w:color w:val="auto"/>
              </w:rPr>
            </w:pPr>
            <w:r>
              <w:rPr>
                <w:rFonts w:ascii="Times New Roman" w:cs="Times New Roman" w:eastAsia="Times New Roman" w:hAnsi="Times New Roman"/>
                <w:sz w:val="16"/>
                <w:szCs w:val="16"/>
                <w:color w:val="auto"/>
                <w:w w:val="96"/>
              </w:rPr>
              <w:t>Broker/Dealer bids or</w:t>
            </w:r>
          </w:p>
        </w:tc>
        <w:tc>
          <w:tcPr>
            <w:tcW w:w="2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0" w:type="dxa"/>
            <w:vAlign w:val="bottom"/>
          </w:tcPr>
          <w:p>
            <w:pPr>
              <w:spacing w:after="0"/>
              <w:rPr>
                <w:sz w:val="1"/>
                <w:szCs w:val="1"/>
                <w:color w:val="auto"/>
              </w:rPr>
            </w:pPr>
          </w:p>
        </w:tc>
      </w:tr>
      <w:tr>
        <w:trPr>
          <w:trHeight w:val="107"/>
        </w:trPr>
        <w:tc>
          <w:tcPr>
            <w:tcW w:w="2160" w:type="dxa"/>
            <w:vAlign w:val="bottom"/>
            <w:vMerge w:val="continue"/>
            <w:shd w:val="clear" w:color="auto" w:fill="CFF0FC"/>
          </w:tcPr>
          <w:p>
            <w:pPr>
              <w:spacing w:after="0"/>
              <w:rPr>
                <w:sz w:val="9"/>
                <w:szCs w:val="9"/>
                <w:color w:val="auto"/>
              </w:rPr>
            </w:pPr>
          </w:p>
        </w:tc>
        <w:tc>
          <w:tcPr>
            <w:tcW w:w="140" w:type="dxa"/>
            <w:vAlign w:val="bottom"/>
            <w:vMerge w:val="continue"/>
            <w:shd w:val="clear" w:color="auto" w:fill="CFF0FC"/>
          </w:tcPr>
          <w:p>
            <w:pPr>
              <w:spacing w:after="0"/>
              <w:rPr>
                <w:sz w:val="9"/>
                <w:szCs w:val="9"/>
                <w:color w:val="auto"/>
              </w:rPr>
            </w:pPr>
          </w:p>
        </w:tc>
        <w:tc>
          <w:tcPr>
            <w:tcW w:w="2020" w:type="dxa"/>
            <w:vAlign w:val="bottom"/>
            <w:vMerge w:val="continue"/>
            <w:shd w:val="clear" w:color="auto" w:fill="CFF0FC"/>
          </w:tcPr>
          <w:p>
            <w:pPr>
              <w:spacing w:after="0"/>
              <w:rPr>
                <w:sz w:val="9"/>
                <w:szCs w:val="9"/>
                <w:color w:val="auto"/>
              </w:rPr>
            </w:pPr>
          </w:p>
        </w:tc>
        <w:tc>
          <w:tcPr>
            <w:tcW w:w="2300" w:type="dxa"/>
            <w:vAlign w:val="bottom"/>
            <w:vMerge w:val="continue"/>
            <w:shd w:val="clear" w:color="auto" w:fill="CFF0FC"/>
          </w:tcPr>
          <w:p>
            <w:pPr>
              <w:spacing w:after="0"/>
              <w:rPr>
                <w:sz w:val="9"/>
                <w:szCs w:val="9"/>
                <w:color w:val="auto"/>
              </w:rPr>
            </w:pPr>
          </w:p>
        </w:tc>
        <w:tc>
          <w:tcPr>
            <w:tcW w:w="19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quotes</w:t>
            </w:r>
          </w:p>
        </w:tc>
        <w:tc>
          <w:tcPr>
            <w:tcW w:w="20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1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020" w:type="dxa"/>
            <w:vAlign w:val="bottom"/>
            <w:shd w:val="clear" w:color="auto" w:fill="CFF0FC"/>
          </w:tcPr>
          <w:p>
            <w:pPr>
              <w:spacing w:after="0"/>
              <w:rPr>
                <w:sz w:val="7"/>
                <w:szCs w:val="7"/>
                <w:color w:val="auto"/>
              </w:rPr>
            </w:pPr>
          </w:p>
        </w:tc>
        <w:tc>
          <w:tcPr>
            <w:tcW w:w="2300" w:type="dxa"/>
            <w:vAlign w:val="bottom"/>
            <w:shd w:val="clear" w:color="auto" w:fill="CFF0FC"/>
          </w:tcPr>
          <w:p>
            <w:pPr>
              <w:spacing w:after="0"/>
              <w:rPr>
                <w:sz w:val="7"/>
                <w:szCs w:val="7"/>
                <w:color w:val="auto"/>
              </w:rPr>
            </w:pPr>
          </w:p>
        </w:tc>
        <w:tc>
          <w:tcPr>
            <w:tcW w:w="1900" w:type="dxa"/>
            <w:vAlign w:val="bottom"/>
            <w:vMerge w:val="continue"/>
            <w:shd w:val="clear" w:color="auto" w:fill="CFF0FC"/>
          </w:tcPr>
          <w:p>
            <w:pPr>
              <w:spacing w:after="0"/>
              <w:rPr>
                <w:sz w:val="7"/>
                <w:szCs w:val="7"/>
                <w:color w:val="auto"/>
              </w:rPr>
            </w:pPr>
          </w:p>
        </w:tc>
        <w:tc>
          <w:tcPr>
            <w:tcW w:w="20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tcPr>
          <w:p>
            <w:pPr>
              <w:spacing w:after="0"/>
              <w:rPr>
                <w:sz w:val="15"/>
                <w:szCs w:val="15"/>
                <w:color w:val="auto"/>
              </w:rPr>
            </w:pP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691,949</w:t>
            </w:r>
          </w:p>
        </w:tc>
        <w:tc>
          <w:tcPr>
            <w:tcW w:w="230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8"/>
              </w:rPr>
              <w:t>Market Comparable</w:t>
            </w:r>
          </w:p>
        </w:tc>
        <w:tc>
          <w:tcPr>
            <w:tcW w:w="1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Market Yield</w:t>
            </w:r>
          </w:p>
        </w:tc>
        <w:tc>
          <w:tcPr>
            <w:tcW w:w="2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10.0% – 18.8% (12.3%)</w:t>
            </w: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shd w:val="clear" w:color="auto" w:fill="CFF0FC"/>
          </w:tcPr>
          <w:p>
            <w:pPr>
              <w:spacing w:after="0"/>
              <w:rPr>
                <w:sz w:val="15"/>
                <w:szCs w:val="15"/>
                <w:color w:val="auto"/>
              </w:rPr>
            </w:pPr>
          </w:p>
        </w:tc>
        <w:tc>
          <w:tcPr>
            <w:tcW w:w="2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2300" w:type="dxa"/>
            <w:vAlign w:val="bottom"/>
            <w:shd w:val="clear" w:color="auto" w:fill="CFF0FC"/>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8"/>
              </w:rPr>
              <w:t>Market Comparable</w:t>
            </w:r>
          </w:p>
        </w:tc>
        <w:tc>
          <w:tcPr>
            <w:tcW w:w="1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EBITDA Multiple</w:t>
            </w:r>
          </w:p>
        </w:tc>
        <w:tc>
          <w:tcPr>
            <w:tcW w:w="2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2"/>
              </w:rPr>
              <w:t>2.8x</w:t>
            </w:r>
          </w:p>
        </w:tc>
        <w:tc>
          <w:tcPr>
            <w:tcW w:w="0" w:type="dxa"/>
            <w:vAlign w:val="bottom"/>
          </w:tcPr>
          <w:p>
            <w:pPr>
              <w:spacing w:after="0"/>
              <w:rPr>
                <w:sz w:val="1"/>
                <w:szCs w:val="1"/>
                <w:color w:val="auto"/>
              </w:rPr>
            </w:pPr>
          </w:p>
        </w:tc>
      </w:tr>
      <w:tr>
        <w:trPr>
          <w:trHeight w:val="180"/>
        </w:trPr>
        <w:tc>
          <w:tcPr>
            <w:tcW w:w="2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5"/>
                <w:szCs w:val="15"/>
                <w:color w:val="auto"/>
              </w:rPr>
            </w:pP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2,261</w:t>
            </w:r>
          </w:p>
        </w:tc>
        <w:tc>
          <w:tcPr>
            <w:tcW w:w="230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7"/>
              </w:rPr>
              <w:t>Enterprise Market Value</w:t>
            </w:r>
          </w:p>
        </w:tc>
        <w:tc>
          <w:tcPr>
            <w:tcW w:w="1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EBITDA Multiple</w:t>
            </w:r>
          </w:p>
        </w:tc>
        <w:tc>
          <w:tcPr>
            <w:tcW w:w="2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5.3x – 10.9x (6.5x)</w:t>
            </w:r>
          </w:p>
        </w:tc>
        <w:tc>
          <w:tcPr>
            <w:tcW w:w="0" w:type="dxa"/>
            <w:vAlign w:val="bottom"/>
          </w:tcPr>
          <w:p>
            <w:pPr>
              <w:spacing w:after="0"/>
              <w:rPr>
                <w:sz w:val="1"/>
                <w:szCs w:val="1"/>
                <w:color w:val="auto"/>
              </w:rPr>
            </w:pPr>
          </w:p>
        </w:tc>
      </w:tr>
      <w:tr>
        <w:trPr>
          <w:trHeight w:val="220"/>
        </w:trPr>
        <w:tc>
          <w:tcPr>
            <w:tcW w:w="216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Level 3 investments</w:t>
            </w: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785,859</w:t>
            </w:r>
          </w:p>
        </w:tc>
        <w:tc>
          <w:tcPr>
            <w:tcW w:w="230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7"/>
              </w:rPr>
              <w:t>Fair value at September 30,</w:t>
            </w: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Range of Input</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40" w:type="dxa"/>
            <w:vAlign w:val="bottom"/>
          </w:tcPr>
          <w:p>
            <w:pPr>
              <w:spacing w:after="0"/>
              <w:rPr>
                <w:sz w:val="17"/>
                <w:szCs w:val="17"/>
                <w:color w:val="auto"/>
              </w:rPr>
            </w:pPr>
          </w:p>
        </w:tc>
        <w:tc>
          <w:tcPr>
            <w:tcW w:w="202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3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Valuation Technique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Unobservable Input</w:t>
            </w:r>
          </w:p>
        </w:tc>
        <w:tc>
          <w:tcPr>
            <w:tcW w:w="204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95"/>
              </w:rPr>
              <w:t xml:space="preserve">(Weighted Average) </w:t>
            </w:r>
            <w:r>
              <w:rPr>
                <w:rFonts w:ascii="Times New Roman" w:cs="Times New Roman" w:eastAsia="Times New Roman" w:hAnsi="Times New Roman"/>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180"/>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127,355</w:t>
            </w:r>
          </w:p>
        </w:tc>
        <w:tc>
          <w:tcPr>
            <w:tcW w:w="2300" w:type="dxa"/>
            <w:vAlign w:val="bottom"/>
            <w:vMerge w:val="restart"/>
          </w:tcPr>
          <w:p>
            <w:pPr>
              <w:jc w:val="center"/>
              <w:ind w:left="122"/>
              <w:spacing w:after="0"/>
              <w:rPr>
                <w:sz w:val="20"/>
                <w:szCs w:val="20"/>
                <w:color w:val="auto"/>
              </w:rPr>
            </w:pPr>
            <w:r>
              <w:rPr>
                <w:rFonts w:ascii="Times New Roman" w:cs="Times New Roman" w:eastAsia="Times New Roman" w:hAnsi="Times New Roman"/>
                <w:sz w:val="16"/>
                <w:szCs w:val="16"/>
                <w:color w:val="auto"/>
                <w:w w:val="98"/>
              </w:rPr>
              <w:t>Market Comparable</w:t>
            </w:r>
          </w:p>
        </w:tc>
        <w:tc>
          <w:tcPr>
            <w:tcW w:w="1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Broker/Dealer bids or</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quotes</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shd w:val="clear" w:color="auto" w:fill="CFF0FC"/>
          </w:tcPr>
          <w:p>
            <w:pPr>
              <w:spacing w:after="0"/>
              <w:rPr>
                <w:sz w:val="15"/>
                <w:szCs w:val="15"/>
                <w:color w:val="auto"/>
              </w:rPr>
            </w:pPr>
          </w:p>
        </w:tc>
        <w:tc>
          <w:tcPr>
            <w:tcW w:w="2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615,800</w:t>
            </w:r>
          </w:p>
        </w:tc>
        <w:tc>
          <w:tcPr>
            <w:tcW w:w="2300" w:type="dxa"/>
            <w:vAlign w:val="bottom"/>
            <w:shd w:val="clear" w:color="auto" w:fill="CFF0FC"/>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8"/>
              </w:rPr>
              <w:t>Market Comparable</w:t>
            </w:r>
          </w:p>
        </w:tc>
        <w:tc>
          <w:tcPr>
            <w:tcW w:w="1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Market Yield</w:t>
            </w:r>
          </w:p>
        </w:tc>
        <w:tc>
          <w:tcPr>
            <w:tcW w:w="2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6.0% – 12.2% (9.1%)</w:t>
            </w:r>
          </w:p>
        </w:tc>
        <w:tc>
          <w:tcPr>
            <w:tcW w:w="0" w:type="dxa"/>
            <w:vAlign w:val="bottom"/>
          </w:tcPr>
          <w:p>
            <w:pPr>
              <w:spacing w:after="0"/>
              <w:rPr>
                <w:sz w:val="1"/>
                <w:szCs w:val="1"/>
                <w:color w:val="auto"/>
              </w:rPr>
            </w:pPr>
          </w:p>
        </w:tc>
      </w:tr>
      <w:tr>
        <w:trPr>
          <w:trHeight w:val="180"/>
        </w:trPr>
        <w:tc>
          <w:tcPr>
            <w:tcW w:w="2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tcPr>
          <w:p>
            <w:pPr>
              <w:spacing w:after="0"/>
              <w:rPr>
                <w:sz w:val="15"/>
                <w:szCs w:val="15"/>
                <w:color w:val="auto"/>
              </w:rPr>
            </w:pP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8,473</w:t>
            </w:r>
          </w:p>
        </w:tc>
        <w:tc>
          <w:tcPr>
            <w:tcW w:w="230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7"/>
              </w:rPr>
              <w:t>Enterprise Market Value</w:t>
            </w:r>
          </w:p>
        </w:tc>
        <w:tc>
          <w:tcPr>
            <w:tcW w:w="1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EBITDA Multiple</w:t>
            </w:r>
          </w:p>
        </w:tc>
        <w:tc>
          <w:tcPr>
            <w:tcW w:w="2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4"/>
              </w:rPr>
              <w:t>14.0x</w:t>
            </w: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Second Lien</w:t>
            </w:r>
          </w:p>
        </w:tc>
        <w:tc>
          <w:tcPr>
            <w:tcW w:w="140" w:type="dxa"/>
            <w:vAlign w:val="bottom"/>
            <w:shd w:val="clear" w:color="auto" w:fill="CFF0FC"/>
          </w:tcPr>
          <w:p>
            <w:pPr>
              <w:spacing w:after="0"/>
              <w:rPr>
                <w:sz w:val="15"/>
                <w:szCs w:val="15"/>
                <w:color w:val="auto"/>
              </w:rPr>
            </w:pPr>
          </w:p>
        </w:tc>
        <w:tc>
          <w:tcPr>
            <w:tcW w:w="2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2,955</w:t>
            </w:r>
          </w:p>
        </w:tc>
        <w:tc>
          <w:tcPr>
            <w:tcW w:w="2300" w:type="dxa"/>
            <w:vAlign w:val="bottom"/>
            <w:shd w:val="clear" w:color="auto" w:fill="CFF0FC"/>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8"/>
              </w:rPr>
              <w:t>Market Comparable</w:t>
            </w:r>
          </w:p>
        </w:tc>
        <w:tc>
          <w:tcPr>
            <w:tcW w:w="1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Market Yield</w:t>
            </w:r>
          </w:p>
        </w:tc>
        <w:tc>
          <w:tcPr>
            <w:tcW w:w="2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12.2% - 12.2% (12.2%)</w:t>
            </w: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3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7"/>
              </w:rPr>
              <w:t>Enterprise Market Value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EBITDA Multiple</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8.0x</w:t>
            </w:r>
          </w:p>
        </w:tc>
        <w:tc>
          <w:tcPr>
            <w:tcW w:w="0" w:type="dxa"/>
            <w:vAlign w:val="bottom"/>
          </w:tcPr>
          <w:p>
            <w:pPr>
              <w:spacing w:after="0"/>
              <w:rPr>
                <w:sz w:val="1"/>
                <w:szCs w:val="1"/>
                <w:color w:val="auto"/>
              </w:rPr>
            </w:pPr>
          </w:p>
        </w:tc>
      </w:tr>
      <w:tr>
        <w:trPr>
          <w:trHeight w:val="227"/>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Level 3 investments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754,722</w:t>
            </w:r>
          </w:p>
        </w:tc>
        <w:tc>
          <w:tcPr>
            <w:tcW w:w="230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26" w:hanging="126"/>
        <w:spacing w:after="0"/>
        <w:tabs>
          <w:tab w:leader="none" w:pos="126" w:val="left"/>
        </w:tabs>
        <w:numPr>
          <w:ilvl w:val="0"/>
          <w:numId w:val="2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weighted averages disclosed in the table above were weighted by their relative fair value.</w:t>
      </w:r>
    </w:p>
    <w:p>
      <w:pPr>
        <w:spacing w:after="0" w:line="200" w:lineRule="exact"/>
        <w:rPr>
          <w:sz w:val="20"/>
          <w:szCs w:val="20"/>
          <w:color w:val="auto"/>
        </w:rPr>
      </w:pPr>
    </w:p>
    <w:p>
      <w:pPr>
        <w:spacing w:after="0" w:line="323"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6"/>
          <w:szCs w:val="16"/>
          <w:color w:val="auto"/>
        </w:rPr>
        <w:t>Our investments and cash and cash equivalents were categorized as follows in the fair value hierarchy for ASC 820 purposes:</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4"/>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w w:val="98"/>
              </w:rPr>
              <w:t>Fair Value at September 30, 2023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6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0"/>
        </w:trPr>
        <w:tc>
          <w:tcPr>
            <w:tcW w:w="4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 lien</w:t>
            </w:r>
          </w:p>
        </w:tc>
        <w:tc>
          <w:tcPr>
            <w:tcW w:w="2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ind w:left="11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783,598</w:t>
            </w:r>
          </w:p>
        </w:tc>
        <w:tc>
          <w:tcPr>
            <w:tcW w:w="40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783,598</w:t>
            </w:r>
          </w:p>
        </w:tc>
        <w:tc>
          <w:tcPr>
            <w:tcW w:w="100" w:type="dxa"/>
            <w:vAlign w:val="bottom"/>
            <w:shd w:val="clear" w:color="auto" w:fill="CFF0FC"/>
          </w:tcPr>
          <w:p>
            <w:pPr>
              <w:spacing w:after="0"/>
              <w:rPr>
                <w:sz w:val="15"/>
                <w:szCs w:val="15"/>
                <w:color w:val="auto"/>
              </w:rPr>
            </w:pPr>
          </w:p>
        </w:tc>
      </w:tr>
      <w:tr>
        <w:trPr>
          <w:trHeight w:val="180"/>
        </w:trPr>
        <w:tc>
          <w:tcPr>
            <w:tcW w:w="4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11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2,261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2,261</w:t>
            </w:r>
          </w:p>
        </w:tc>
        <w:tc>
          <w:tcPr>
            <w:tcW w:w="100" w:type="dxa"/>
            <w:vAlign w:val="bottom"/>
          </w:tcPr>
          <w:p>
            <w:pPr>
              <w:spacing w:after="0"/>
              <w:rPr>
                <w:sz w:val="15"/>
                <w:szCs w:val="15"/>
                <w:color w:val="auto"/>
              </w:rPr>
            </w:pPr>
          </w:p>
        </w:tc>
      </w:tr>
      <w:tr>
        <w:trPr>
          <w:trHeight w:val="220"/>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785,859</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785,859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0"/>
        </w:trPr>
        <w:tc>
          <w:tcPr>
            <w:tcW w:w="4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77,446</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11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77,446</w:t>
            </w:r>
          </w:p>
        </w:tc>
        <w:tc>
          <w:tcPr>
            <w:tcW w:w="100" w:type="dxa"/>
            <w:vAlign w:val="bottom"/>
          </w:tcPr>
          <w:p>
            <w:pPr>
              <w:spacing w:after="0"/>
              <w:rPr>
                <w:sz w:val="15"/>
                <w:szCs w:val="15"/>
                <w:color w:val="auto"/>
              </w:rPr>
            </w:pPr>
          </w:p>
        </w:tc>
      </w:tr>
      <w:tr>
        <w:trPr>
          <w:trHeight w:val="220"/>
        </w:trPr>
        <w:tc>
          <w:tcPr>
            <w:tcW w:w="448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investments, cash and cash equivalents</w:t>
            </w: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77,446</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ind w:left="11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785,859</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863,305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4"/>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w w:val="98"/>
              </w:rPr>
              <w:t>Fair Value at September 30, 2022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4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260" w:type="dxa"/>
            <w:vAlign w:val="bottom"/>
          </w:tcPr>
          <w:p>
            <w:pPr>
              <w:spacing w:after="0"/>
              <w:rPr>
                <w:sz w:val="15"/>
                <w:szCs w:val="15"/>
                <w:color w:val="auto"/>
              </w:rPr>
            </w:pPr>
          </w:p>
        </w:tc>
        <w:tc>
          <w:tcPr>
            <w:tcW w:w="1080" w:type="dxa"/>
            <w:vAlign w:val="bottom"/>
          </w:tcPr>
          <w:p>
            <w:pPr>
              <w:jc w:val="right"/>
              <w:ind w:right="362"/>
              <w:spacing w:after="0" w:line="182"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340"/>
              <w:spacing w:after="0" w:line="182"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382"/>
              <w:spacing w:after="0" w:line="182"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751,628</w:t>
            </w:r>
          </w:p>
        </w:tc>
        <w:tc>
          <w:tcPr>
            <w:tcW w:w="4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751,628</w:t>
            </w:r>
          </w:p>
        </w:tc>
        <w:tc>
          <w:tcPr>
            <w:tcW w:w="100" w:type="dxa"/>
            <w:vAlign w:val="bottom"/>
          </w:tcPr>
          <w:p>
            <w:pPr>
              <w:spacing w:after="0"/>
              <w:rPr>
                <w:sz w:val="16"/>
                <w:szCs w:val="16"/>
                <w:color w:val="auto"/>
              </w:rPr>
            </w:pPr>
          </w:p>
        </w:tc>
      </w:tr>
      <w:tr>
        <w:trPr>
          <w:trHeight w:val="180"/>
        </w:trPr>
        <w:tc>
          <w:tcPr>
            <w:tcW w:w="4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Second Lien</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ind w:left="11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2,955</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2,955</w:t>
            </w:r>
          </w:p>
        </w:tc>
        <w:tc>
          <w:tcPr>
            <w:tcW w:w="100" w:type="dxa"/>
            <w:vAlign w:val="bottom"/>
            <w:shd w:val="clear" w:color="auto" w:fill="CFF0FC"/>
          </w:tcPr>
          <w:p>
            <w:pPr>
              <w:spacing w:after="0"/>
              <w:rPr>
                <w:sz w:val="15"/>
                <w:szCs w:val="15"/>
                <w:color w:val="auto"/>
              </w:rPr>
            </w:pPr>
          </w:p>
        </w:tc>
      </w:tr>
      <w:tr>
        <w:trPr>
          <w:trHeight w:val="180"/>
        </w:trPr>
        <w:tc>
          <w:tcPr>
            <w:tcW w:w="4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11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5"/>
                <w:szCs w:val="15"/>
                <w:color w:val="auto"/>
              </w:rPr>
            </w:pPr>
          </w:p>
        </w:tc>
      </w:tr>
      <w:tr>
        <w:trPr>
          <w:trHeight w:val="180"/>
        </w:trPr>
        <w:tc>
          <w:tcPr>
            <w:tcW w:w="4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investments</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ind w:left="11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754,722</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754,722</w:t>
            </w:r>
          </w:p>
        </w:tc>
        <w:tc>
          <w:tcPr>
            <w:tcW w:w="100" w:type="dxa"/>
            <w:vAlign w:val="bottom"/>
            <w:shd w:val="clear" w:color="auto" w:fill="CFF0FC"/>
          </w:tcPr>
          <w:p>
            <w:pPr>
              <w:spacing w:after="0"/>
              <w:rPr>
                <w:sz w:val="15"/>
                <w:szCs w:val="15"/>
                <w:color w:val="auto"/>
              </w:rPr>
            </w:pPr>
          </w:p>
        </w:tc>
      </w:tr>
      <w:tr>
        <w:trPr>
          <w:trHeight w:val="180"/>
        </w:trPr>
        <w:tc>
          <w:tcPr>
            <w:tcW w:w="4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30,152</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11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30,152</w:t>
            </w:r>
          </w:p>
        </w:tc>
        <w:tc>
          <w:tcPr>
            <w:tcW w:w="100" w:type="dxa"/>
            <w:vAlign w:val="bottom"/>
          </w:tcPr>
          <w:p>
            <w:pPr>
              <w:spacing w:after="0"/>
              <w:rPr>
                <w:sz w:val="15"/>
                <w:szCs w:val="15"/>
                <w:color w:val="auto"/>
              </w:rPr>
            </w:pPr>
          </w:p>
        </w:tc>
      </w:tr>
      <w:tr>
        <w:trPr>
          <w:trHeight w:val="220"/>
        </w:trPr>
        <w:tc>
          <w:tcPr>
            <w:tcW w:w="448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investments, cash and cash equivalents</w:t>
            </w: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30,152</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ind w:left="116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754,722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784,874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ind w:left="6" w:right="500"/>
        <w:spacing w:after="0" w:line="247" w:lineRule="auto"/>
        <w:rPr>
          <w:sz w:val="20"/>
          <w:szCs w:val="20"/>
          <w:color w:val="auto"/>
        </w:rPr>
      </w:pPr>
      <w:r>
        <w:rPr>
          <w:rFonts w:ascii="Times New Roman" w:cs="Times New Roman" w:eastAsia="Times New Roman" w:hAnsi="Times New Roman"/>
          <w:sz w:val="16"/>
          <w:szCs w:val="16"/>
          <w:color w:val="auto"/>
        </w:rPr>
        <w:t>Net Change in unrealized depreciation reported within the net change in unrealized (depreciation) appreciation on investments in our Consolidated Statements of Operations attributable to our level 3 assets still held as of September 30, 2022 was ($8.3) million related to debt investments, ($0.5) million related to equity investments and ($8.8) million related to total investments.</w:t>
      </w:r>
    </w:p>
    <w:p>
      <w:pPr>
        <w:spacing w:after="0" w:line="152" w:lineRule="exact"/>
        <w:rPr>
          <w:sz w:val="20"/>
          <w:szCs w:val="20"/>
          <w:color w:val="auto"/>
        </w:rPr>
      </w:pPr>
    </w:p>
    <w:p>
      <w:pPr>
        <w:ind w:left="6" w:right="440"/>
        <w:spacing w:after="0" w:line="259" w:lineRule="auto"/>
        <w:rPr>
          <w:sz w:val="20"/>
          <w:szCs w:val="20"/>
          <w:color w:val="auto"/>
        </w:rPr>
      </w:pPr>
      <w:r>
        <w:rPr>
          <w:rFonts w:ascii="Times New Roman" w:cs="Times New Roman" w:eastAsia="Times New Roman" w:hAnsi="Times New Roman"/>
          <w:sz w:val="16"/>
          <w:szCs w:val="16"/>
          <w:color w:val="auto"/>
        </w:rPr>
        <w:t>For the year ended September 30, 2023, the amount of Level 3 purchases, including PIK interest, net discount accretion and non-cash exchanges for the year were $195.8 million. There were no Level 3 transfers.</w:t>
      </w:r>
    </w:p>
    <w:p>
      <w:pPr>
        <w:spacing w:after="0" w:line="143" w:lineRule="exact"/>
        <w:rPr>
          <w:sz w:val="20"/>
          <w:szCs w:val="20"/>
          <w:color w:val="auto"/>
        </w:rPr>
      </w:pPr>
    </w:p>
    <w:p>
      <w:pPr>
        <w:ind w:left="6" w:right="440"/>
        <w:spacing w:after="0" w:line="259" w:lineRule="auto"/>
        <w:rPr>
          <w:sz w:val="20"/>
          <w:szCs w:val="20"/>
          <w:color w:val="auto"/>
        </w:rPr>
      </w:pPr>
      <w:r>
        <w:rPr>
          <w:rFonts w:ascii="Times New Roman" w:cs="Times New Roman" w:eastAsia="Times New Roman" w:hAnsi="Times New Roman"/>
          <w:sz w:val="16"/>
          <w:szCs w:val="16"/>
          <w:color w:val="auto"/>
        </w:rPr>
        <w:t>For the year ended September 30, 2022, the amount of Level 3 purchases, including PIK interest, net discount accretion and non-cash exchanges for the year were $311.0 million. There were no Level 3 transfers.</w:t>
      </w:r>
    </w:p>
    <w:p>
      <w:pPr>
        <w:spacing w:after="0" w:line="14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1131" w:right="680"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CASH AND CASH EQUIVALENTS</w:t>
      </w:r>
    </w:p>
    <w:p>
      <w:pPr>
        <w:spacing w:after="0" w:line="178" w:lineRule="exact"/>
        <w:rPr>
          <w:sz w:val="20"/>
          <w:szCs w:val="20"/>
          <w:color w:val="auto"/>
        </w:rPr>
      </w:pPr>
    </w:p>
    <w:p>
      <w:pPr>
        <w:ind w:firstLine="420"/>
        <w:spacing w:after="0" w:line="239" w:lineRule="auto"/>
        <w:rPr>
          <w:sz w:val="20"/>
          <w:szCs w:val="20"/>
          <w:color w:val="auto"/>
        </w:rPr>
      </w:pPr>
      <w:r>
        <w:rPr>
          <w:rFonts w:ascii="Times New Roman" w:cs="Times New Roman" w:eastAsia="Times New Roman" w:hAnsi="Times New Roman"/>
          <w:sz w:val="16"/>
          <w:szCs w:val="16"/>
          <w:color w:val="auto"/>
        </w:rPr>
        <w:t>Cash equivalents represent cash invested in overnight money market funds. These temporary investments with original maturities of 90 days or less are deemed cash equivalents. Cash deposited at financial institutions is insured by the Federal Deposit Insurance Corporation (“FDIC”), up to specified limits. At times, such balances may exceed FDIC insured amounts. As of September 30, 2023, the entire amount of $77.4 million included in the cash and cash equivalents balance on the Consolidated Statement of Assets and Liabilities is comprised of money market funds, which are not subject to FDIC insurance. As of September 30, 2022, cash and cash equivalents consisted of money market funds in the amounts of $30.2 million at fair value. PSSL believes it is not exposed to any significant risk of loss on its cash and cash equivalents.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MEMBERS’ EQUITY</w:t>
      </w:r>
    </w:p>
    <w:p>
      <w:pPr>
        <w:spacing w:after="0" w:line="178" w:lineRule="exact"/>
        <w:rPr>
          <w:sz w:val="20"/>
          <w:szCs w:val="20"/>
          <w:color w:val="auto"/>
        </w:rPr>
      </w:pPr>
    </w:p>
    <w:p>
      <w:pPr>
        <w:ind w:right="340" w:firstLine="420"/>
        <w:spacing w:after="0" w:line="259" w:lineRule="auto"/>
        <w:rPr>
          <w:sz w:val="20"/>
          <w:szCs w:val="20"/>
          <w:color w:val="auto"/>
        </w:rPr>
      </w:pPr>
      <w:r>
        <w:rPr>
          <w:rFonts w:ascii="Times New Roman" w:cs="Times New Roman" w:eastAsia="Times New Roman" w:hAnsi="Times New Roman"/>
          <w:sz w:val="16"/>
          <w:szCs w:val="16"/>
          <w:color w:val="auto"/>
        </w:rPr>
        <w:t>PFLT and Kemper provide capital to PSSL in the form of equity interests. As of September 30, 2023 and 2022, PFLT and Kemper owned 87.5% and 12.5%, respectively, of equity interests in PSSL.</w:t>
      </w:r>
    </w:p>
    <w:p>
      <w:pPr>
        <w:spacing w:after="0" w:line="143"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2023 and 2022, PFLT had commitments to fund equity interests to PSSL of $101.9 million and $90.0 million, respectively, of which $11.8 million and $8.5 million, respectively, were unfunded.</w:t>
      </w:r>
    </w:p>
    <w:p>
      <w:pPr>
        <w:spacing w:after="0" w:line="143" w:lineRule="exact"/>
        <w:rPr>
          <w:sz w:val="20"/>
          <w:szCs w:val="20"/>
          <w:color w:val="auto"/>
        </w:rPr>
      </w:pPr>
    </w:p>
    <w:p>
      <w:pPr>
        <w:ind w:right="16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2023 and 2022, Kemper had commitments to fund equity interests to PSSL of $14.6 million and $12.9 million, respectively, of which $1.7 million and $1.2 million, respectively were unfunded.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NOTES PAYABLE TO MEMBERS</w:t>
      </w:r>
    </w:p>
    <w:p>
      <w:pPr>
        <w:spacing w:after="0" w:line="178" w:lineRule="exact"/>
        <w:rPr>
          <w:sz w:val="20"/>
          <w:szCs w:val="20"/>
          <w:color w:val="auto"/>
        </w:rPr>
      </w:pPr>
    </w:p>
    <w:p>
      <w:pPr>
        <w:ind w:right="180" w:firstLine="420"/>
        <w:spacing w:after="0" w:line="281" w:lineRule="auto"/>
        <w:rPr>
          <w:sz w:val="20"/>
          <w:szCs w:val="20"/>
          <w:color w:val="auto"/>
        </w:rPr>
      </w:pPr>
      <w:r>
        <w:rPr>
          <w:rFonts w:ascii="Times New Roman" w:cs="Times New Roman" w:eastAsia="Times New Roman" w:hAnsi="Times New Roman"/>
          <w:sz w:val="14"/>
          <w:szCs w:val="14"/>
          <w:color w:val="auto"/>
        </w:rPr>
        <w:t>PFLT and Kemper provide capital to PSSL in the form of first lien secured debt (“Member Notes”). The Member Notes were previously subordinated debt that were modified during the year ended September 30, 2018 to eliminate the subordination provision. The Member Notes bear an interest rate of 3-month LIBOR plus</w:t>
      </w:r>
    </w:p>
    <w:p>
      <w:pPr>
        <w:spacing w:after="0" w:line="1"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6"/>
          <w:szCs w:val="16"/>
          <w:color w:val="auto"/>
        </w:rPr>
        <w:t>8.0% through June 30, 2023 and 3-month SOFR plus 8.0% after June 30, 2023 and mature on May 6, 2024. As of September 30, 2023 and 2022, PFLT and Kemper owned 87.5% and 12.5% of the Member Notes, respectively.</w:t>
      </w:r>
    </w:p>
    <w:p>
      <w:pPr>
        <w:spacing w:after="0" w:line="15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2023 and 2022, PFLT had commitments to fund Member Notes to PSSL of $237.7 million and $210.1 million, respectively, of which $27.6 million and $19.9 million, respectively, were unfunded.</w:t>
      </w:r>
    </w:p>
    <w:p>
      <w:pPr>
        <w:spacing w:after="0" w:line="143" w:lineRule="exact"/>
        <w:rPr>
          <w:sz w:val="20"/>
          <w:szCs w:val="20"/>
          <w:color w:val="auto"/>
        </w:rPr>
      </w:pPr>
    </w:p>
    <w:p>
      <w:pPr>
        <w:ind w:right="18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2023 and 2022, Kemper had commitments to fund Member Notes to PSSL of $34.0 million and $30.0 million, respectively, of which $3.9 million and $2.8 million, respectively, were unfunded.</w:t>
      </w:r>
    </w:p>
    <w:p>
      <w:pPr>
        <w:spacing w:after="0" w:line="141" w:lineRule="exact"/>
        <w:rPr>
          <w:sz w:val="20"/>
          <w:szCs w:val="20"/>
          <w:color w:val="auto"/>
        </w:rPr>
      </w:pPr>
    </w:p>
    <w:p>
      <w:pPr>
        <w:ind w:right="8220" w:firstLine="6"/>
        <w:spacing w:after="0" w:line="529" w:lineRule="auto"/>
        <w:tabs>
          <w:tab w:leader="none" w:pos="156"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RISKS AND UNCERTAINTIES Investment risk</w:t>
      </w:r>
    </w:p>
    <w:p>
      <w:pPr>
        <w:spacing w:after="0" w:line="1" w:lineRule="exact"/>
        <w:rPr>
          <w:sz w:val="20"/>
          <w:szCs w:val="20"/>
          <w:color w:val="auto"/>
        </w:rPr>
      </w:pPr>
    </w:p>
    <w:p>
      <w:pPr>
        <w:ind w:right="80" w:firstLine="420"/>
        <w:spacing w:after="0" w:line="241" w:lineRule="auto"/>
        <w:rPr>
          <w:sz w:val="20"/>
          <w:szCs w:val="20"/>
          <w:color w:val="auto"/>
        </w:rPr>
      </w:pPr>
      <w:r>
        <w:rPr>
          <w:rFonts w:ascii="Times New Roman" w:cs="Times New Roman" w:eastAsia="Times New Roman" w:hAnsi="Times New Roman"/>
          <w:sz w:val="16"/>
          <w:szCs w:val="16"/>
          <w:color w:val="auto"/>
        </w:rPr>
        <w:t>PSSL seeks investment opportunities that offer the possibility of attaining income generation, capital preservation and capital appreciation including investments in private companies. Certain events particular to each industry in which PSSL’s investments conduct their operations, as well as general economic and political conditions, may have a significant negative impact on the investee’s operations and profitability. Such events are beyond PSSL’s controls, and the likelihood that they may occur cannot be predicted. Furthermore, investments of PSSL are made in private companies and there are generally no public markets for these securities at the current time. The ability of PSSL to liquidate these investments and realize value is subject to significant limitations and uncertainties.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Leverage Risk</w:t>
      </w:r>
    </w:p>
    <w:p>
      <w:pPr>
        <w:spacing w:after="0" w:line="178" w:lineRule="exact"/>
        <w:rPr>
          <w:sz w:val="20"/>
          <w:szCs w:val="20"/>
          <w:color w:val="auto"/>
        </w:rPr>
      </w:pPr>
    </w:p>
    <w:p>
      <w:pPr>
        <w:ind w:right="140" w:firstLine="420"/>
        <w:spacing w:after="0" w:line="289" w:lineRule="auto"/>
        <w:rPr>
          <w:sz w:val="20"/>
          <w:szCs w:val="20"/>
          <w:color w:val="auto"/>
        </w:rPr>
      </w:pPr>
      <w:r>
        <w:rPr>
          <w:rFonts w:ascii="Times New Roman" w:cs="Times New Roman" w:eastAsia="Times New Roman" w:hAnsi="Times New Roman"/>
          <w:sz w:val="14"/>
          <w:szCs w:val="14"/>
          <w:color w:val="auto"/>
        </w:rPr>
        <w:t>PSSL may borrow funds in order to increase the amount of capital available for investment. The use of leverage can improve the return on invested equity, however, such use may also magnify the potential for loss on invested equity capital. If the value of PSSL’s assets decreases, leveraging would cause Members’ equity to decline more sharply than it otherwise would have had PSSL not used leverage. Similarly, any decrease in PSSL’s income would cause Members’ equity to decline more sharply than it would have had PSSL not borrowed. Borrowings will usually be from credit facilities and/or debt securitization which will typically be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5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secured by PSSL’s securities and other assets. Under certain circumstances, such debt may demand an increase in the collateral that secures PSSL’s obligations and if PSSL was unable to provide additional collateral, the debt could liquidate assets held in the account to satisfy PSSL’s obligations. Liquidation in this manner could have adverse consequences. Additionally, the amount of PSSL’s borrowings and the interest rates on those borrowings, which will fluctuate, could have a significant effect on PSSL’s profitability.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78" w:lineRule="exact"/>
        <w:rPr>
          <w:sz w:val="20"/>
          <w:szCs w:val="20"/>
          <w:color w:val="auto"/>
        </w:rPr>
      </w:pPr>
    </w:p>
    <w:p>
      <w:pPr>
        <w:ind w:right="220" w:firstLine="420"/>
        <w:spacing w:after="0" w:line="247" w:lineRule="auto"/>
        <w:rPr>
          <w:sz w:val="20"/>
          <w:szCs w:val="20"/>
          <w:color w:val="auto"/>
        </w:rPr>
      </w:pPr>
      <w:r>
        <w:rPr>
          <w:rFonts w:ascii="Times New Roman" w:cs="Times New Roman" w:eastAsia="Times New Roman" w:hAnsi="Times New Roman"/>
          <w:sz w:val="16"/>
          <w:szCs w:val="16"/>
          <w:color w:val="auto"/>
        </w:rPr>
        <w:t>PSSL primarily invests in first lien secured debt to middle-market companies. A majority of the investments held by PSSL are subject to restrictions on their resale or are otherwise illiquid. PSSL assumes the credit risk of the borrower. In the event that the borrower becomes insolvent or enters bankruptcy, PSSL may incur certain costs and delays in realizing payment, or may suffer a loss of principal and/or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FINANCIAL HIGHLIGHTS</w:t>
      </w:r>
    </w:p>
    <w:p>
      <w:pPr>
        <w:spacing w:after="0" w:line="178" w:lineRule="exact"/>
        <w:rPr>
          <w:sz w:val="20"/>
          <w:szCs w:val="20"/>
          <w:color w:val="auto"/>
        </w:rPr>
      </w:pPr>
    </w:p>
    <w:p>
      <w:pPr>
        <w:ind w:right="360" w:firstLine="420"/>
        <w:spacing w:after="0" w:line="259" w:lineRule="auto"/>
        <w:rPr>
          <w:sz w:val="20"/>
          <w:szCs w:val="20"/>
          <w:color w:val="auto"/>
        </w:rPr>
      </w:pPr>
      <w:r>
        <w:rPr>
          <w:rFonts w:ascii="Times New Roman" w:cs="Times New Roman" w:eastAsia="Times New Roman" w:hAnsi="Times New Roman"/>
          <w:sz w:val="16"/>
          <w:szCs w:val="16"/>
          <w:color w:val="auto"/>
        </w:rPr>
        <w:t>The Members are responsible for all investment making and business decisions, therefore, there is no requirement to show financial highlights per ASC 946, which have been omitted accordingly.</w:t>
      </w:r>
    </w:p>
    <w:p>
      <w:pPr>
        <w:spacing w:after="0" w:line="321" w:lineRule="exact"/>
        <w:rPr>
          <w:sz w:val="20"/>
          <w:szCs w:val="20"/>
          <w:color w:val="auto"/>
        </w:rPr>
      </w:pPr>
    </w:p>
    <w:p>
      <w:pPr>
        <w:ind w:right="9460" w:firstLine="6"/>
        <w:spacing w:after="0" w:line="529" w:lineRule="auto"/>
        <w:tabs>
          <w:tab w:leader="none" w:pos="228"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LEVERAGE Credit Facility</w:t>
      </w:r>
    </w:p>
    <w:p>
      <w:pPr>
        <w:spacing w:after="0" w:line="1" w:lineRule="exact"/>
        <w:rPr>
          <w:sz w:val="20"/>
          <w:szCs w:val="20"/>
          <w:color w:val="auto"/>
        </w:rPr>
      </w:pPr>
    </w:p>
    <w:p>
      <w:pPr>
        <w:ind w:right="60" w:firstLine="348"/>
        <w:spacing w:after="0" w:line="241" w:lineRule="auto"/>
        <w:rPr>
          <w:sz w:val="20"/>
          <w:szCs w:val="20"/>
          <w:color w:val="auto"/>
        </w:rPr>
      </w:pPr>
      <w:r>
        <w:rPr>
          <w:rFonts w:ascii="Times New Roman" w:cs="Times New Roman" w:eastAsia="Times New Roman" w:hAnsi="Times New Roman"/>
          <w:sz w:val="16"/>
          <w:szCs w:val="16"/>
          <w:color w:val="auto"/>
        </w:rPr>
        <w:t>On January 26, 2021, PSSL II entered into a $ 125.0 million senior secured revolving credit facility with Ally Bank (the "Ally Credit Facility"). Between June 3, 2021 and May 2, 2022, the Ally Credit Facility was amended to increase the total commitment to $325 million. On August 16, 2023, the total commitment was decreased to $ 260 million. Interest on the Ally Credit Facility ranged from LIBOR plus 2.5% to SOFR plus 2.6%. The Ally credit facility matures on January 26, 2026 and is secured by substantially all of the assets held by PSSL II. As of September 30, 2023 there were $48.6 million in outstanding borrowings under the Ally Credit Facility and we were in compliance with all required covenants in the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 Backed Debt</w:t>
      </w:r>
    </w:p>
    <w:p>
      <w:pPr>
        <w:spacing w:after="0" w:line="16" w:lineRule="exact"/>
        <w:rPr>
          <w:sz w:val="20"/>
          <w:szCs w:val="20"/>
          <w:color w:val="auto"/>
        </w:rPr>
      </w:pPr>
    </w:p>
    <w:p>
      <w:pPr>
        <w:ind w:right="40" w:firstLine="348"/>
        <w:spacing w:after="0" w:line="268" w:lineRule="auto"/>
        <w:rPr>
          <w:sz w:val="20"/>
          <w:szCs w:val="20"/>
          <w:color w:val="auto"/>
        </w:rPr>
      </w:pPr>
      <w:r>
        <w:rPr>
          <w:rFonts w:ascii="Times New Roman" w:cs="Times New Roman" w:eastAsia="Times New Roman" w:hAnsi="Times New Roman"/>
          <w:sz w:val="14"/>
          <w:szCs w:val="14"/>
          <w:color w:val="auto"/>
        </w:rPr>
        <w:t>In January 2021, CLO II completed a $300.7 million debt securitization in the form of a collateralized loan obligation (the "Debt Securitization" or the "2032 Asset-Backed Debt”). The 2032 Asset-Backed Debt is secured by a diversified portfolio consisting primarily of middle market loans. The Debt Securitization was executed through a private placement of: (i) $171.0 million Class A-1 Senior Secured Floating Rate Loans maturing 2032, which bear interest at the three-month SOFR plus 1.9%, (ii) $6.0 million Class A-2 Senior Secured Floating Rate Notes due 2032, which bear interest at three month SOFR plus 2.25%, (iii) $15.5 million Class B-1 Senior Secured Floating Rate Notes due 2032, which bear interest at the three-month SOFR plus 2.6%, (iv) $8.5 million Class B-2 Senior Secured Fixed Rate Notes due 2032, which bear interest of 3.14%, (v) $27.0 million Class C Secured Deferrable Floating Rate Notes due 2032, which bear interest at the three-month SOFR plus</w:t>
      </w:r>
    </w:p>
    <w:p>
      <w:pPr>
        <w:spacing w:after="0" w:line="2"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6"/>
          <w:szCs w:val="16"/>
          <w:color w:val="auto"/>
        </w:rPr>
        <w:t>4.25%, (vi) $18.0 million Class D Secured Deferrable Floating Rate Notes due 2032, which bear interest at the three-month SOFR plus 6.5%, and (vii) $18.0 million Class E Secured Deferrable Floating Rate Notes due 2032, which bear interest at the three-month SOFR plus 8.5%, under a credit agreement by and among the Securitization Issuers, as borrowers, various financial institutions, as lenders, and U.S. Bank National Association, as collateral agent and as loan agent. As of September 30, 2023 there was $246.0 million of 2032 Asset-Backed Debt and there was $2.0 million of un-amortized financing costs. As of September 30, 2023 the weighted average interest rate was 8.0%.</w:t>
      </w:r>
    </w:p>
    <w:p>
      <w:pPr>
        <w:spacing w:after="0" w:line="158" w:lineRule="exact"/>
        <w:rPr>
          <w:sz w:val="20"/>
          <w:szCs w:val="20"/>
          <w:color w:val="auto"/>
        </w:rPr>
      </w:pPr>
    </w:p>
    <w:p>
      <w:pPr>
        <w:ind w:right="100" w:firstLine="348"/>
        <w:spacing w:after="0" w:line="247" w:lineRule="auto"/>
        <w:rPr>
          <w:sz w:val="20"/>
          <w:szCs w:val="20"/>
          <w:color w:val="auto"/>
        </w:rPr>
      </w:pPr>
      <w:r>
        <w:rPr>
          <w:rFonts w:ascii="Times New Roman" w:cs="Times New Roman" w:eastAsia="Times New Roman" w:hAnsi="Times New Roman"/>
          <w:sz w:val="16"/>
          <w:szCs w:val="16"/>
          <w:color w:val="auto"/>
        </w:rPr>
        <w:t>On the closing date of the Debt Securitization, in consideration of our transfer to CLO II of the initial closing date loan portfolio, PSSL received 100% of the Preferred Shares of CLO II, 100% of the Class E Notes issued by CLO II, and a portion of the net cash proceeds received from the sale of the 2032 Asset-Backed Debt. The Preferred Shares do not bear interest and had a stated value of approximately $36.7 million at the closing of the Debt Securitization.</w:t>
      </w:r>
    </w:p>
    <w:p>
      <w:pPr>
        <w:spacing w:after="0" w:line="152"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The 2032 Asset-Backed Debt is included in the Consolidated Statement of Assets, Liabilities and Members' Equity as debt of the Company and the Class E Notes and the Preferred Shares have been eliminated in consolidation.</w:t>
      </w:r>
    </w:p>
    <w:p>
      <w:pPr>
        <w:spacing w:after="0" w:line="143"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In April 2023, CLO VI completed a $297.8 million debt securitization in the form of a collateralized loan obligation (the "Debt Securitization" or the "2035 Asset-Backed Debt”). The 2035 Asset -Backed Debt is secured by a diversified portfolio consisting primarily of middle market loans. The Debt Securitization was executed through a private placement of: (i) $171.0 million Class A-1 Senior Secured Floating Rate Loans maturing 2035, which bear interest at the three-month SOFR plus 2.68%, (ii) $28.0 million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4" w:name="page165"/>
    <w:bookmarkEnd w:id="164"/>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PENNANTPARK SENIOR SECURED LOAN FUND I LLC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5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Class B-1 Senior Secured Floating Rate Notes due 2035, which bear interest at the three -month SOFR plus 3.75%, (iii) $5.0 million Class B-2 Senior Secured Fixed Rate Notes due 2035, which bear interest of 7.634%, (v) $24.0 million Class C Secured Deferrable Floating Rate Notes due 2035, which bear interest at the three-month SOFR plus 5.25%, and (vi) $18.0 million Class D Secured Deferrable Floating Rate Notes due 2035, which bear interest at the three-month SOFR plus 7.0%, under a credit agreement by and among the Securitization Issuers, as borrowers, various financial institutions, as lenders, and Wilmington Trust, as collateral agent and as loan agent. As of September 30, 2023 there was $246.0 million of 2035 Asset-Backed Debt and there was $2.5 million of un-amortized financing costs. As of September 30, 2023 the weighted average interest rate was 8.5%.</w:t>
      </w:r>
    </w:p>
    <w:p>
      <w:pPr>
        <w:spacing w:after="0" w:line="161" w:lineRule="exact"/>
        <w:rPr>
          <w:sz w:val="20"/>
          <w:szCs w:val="20"/>
          <w:color w:val="auto"/>
        </w:rPr>
      </w:pPr>
    </w:p>
    <w:p>
      <w:pPr>
        <w:jc w:val="both"/>
        <w:ind w:right="300" w:firstLine="348"/>
        <w:spacing w:after="0" w:line="247" w:lineRule="auto"/>
        <w:rPr>
          <w:sz w:val="20"/>
          <w:szCs w:val="20"/>
          <w:color w:val="auto"/>
        </w:rPr>
      </w:pPr>
      <w:r>
        <w:rPr>
          <w:rFonts w:ascii="Times New Roman" w:cs="Times New Roman" w:eastAsia="Times New Roman" w:hAnsi="Times New Roman"/>
          <w:sz w:val="16"/>
          <w:szCs w:val="16"/>
          <w:color w:val="auto"/>
        </w:rPr>
        <w:t>On the closing date of the Debt Securitization, in consideration of our transfer to CLO VI of the initial closing date loan portfolio, PSSL received 100% of the Preferred Shares of CLO VI from the sale of the 2035 Asset-Backed Debt. The Preferred Shares do not bear interest and had a stated value of approximately $51.8 million at the closing of the Debt Securitization.</w:t>
      </w:r>
    </w:p>
    <w:p>
      <w:pPr>
        <w:spacing w:after="0" w:line="152" w:lineRule="exact"/>
        <w:rPr>
          <w:sz w:val="20"/>
          <w:szCs w:val="20"/>
          <w:color w:val="auto"/>
        </w:rPr>
      </w:pPr>
    </w:p>
    <w:p>
      <w:pPr>
        <w:ind w:right="360" w:firstLine="348"/>
        <w:spacing w:after="0" w:line="259" w:lineRule="auto"/>
        <w:rPr>
          <w:sz w:val="20"/>
          <w:szCs w:val="20"/>
          <w:color w:val="auto"/>
        </w:rPr>
      </w:pPr>
      <w:r>
        <w:rPr>
          <w:rFonts w:ascii="Times New Roman" w:cs="Times New Roman" w:eastAsia="Times New Roman" w:hAnsi="Times New Roman"/>
          <w:sz w:val="16"/>
          <w:szCs w:val="16"/>
          <w:color w:val="auto"/>
        </w:rPr>
        <w:t>The 2035 Asset-Backed Debt is included in the Consolidated Statement of Assets, Liabilities and Members' Equity as debt of the Company and the Preferred Shares have been eliminated in consolidation.</w:t>
      </w:r>
    </w:p>
    <w:p>
      <w:pPr>
        <w:spacing w:after="0" w:line="143" w:lineRule="exact"/>
        <w:rPr>
          <w:sz w:val="20"/>
          <w:szCs w:val="20"/>
          <w:color w:val="auto"/>
        </w:rPr>
      </w:pPr>
    </w:p>
    <w:p>
      <w:pPr>
        <w:jc w:val="both"/>
        <w:ind w:right="140" w:firstLine="348"/>
        <w:spacing w:after="0" w:line="247" w:lineRule="auto"/>
        <w:rPr>
          <w:sz w:val="20"/>
          <w:szCs w:val="20"/>
          <w:color w:val="auto"/>
        </w:rPr>
      </w:pPr>
      <w:r>
        <w:rPr>
          <w:rFonts w:ascii="Times New Roman" w:cs="Times New Roman" w:eastAsia="Times New Roman" w:hAnsi="Times New Roman"/>
          <w:sz w:val="16"/>
          <w:szCs w:val="16"/>
          <w:color w:val="auto"/>
        </w:rPr>
        <w:t>PennantPark Investment Adviser, LLC serves as collateral manager to the Securitization Issuers pursuant to a Collateral Management Agreement. For so long as PennantPark Investment Advisor, LLC serves as collateral manager, it will elect to irrevocably waive any collateral management fee to which it may be entitled under the Collateral Management Agreements.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COMMITMENTS AND CONTINGENCY</w:t>
      </w:r>
    </w:p>
    <w:p>
      <w:pPr>
        <w:spacing w:after="0" w:line="178" w:lineRule="exact"/>
        <w:rPr>
          <w:sz w:val="20"/>
          <w:szCs w:val="20"/>
          <w:color w:val="auto"/>
        </w:rPr>
      </w:pPr>
    </w:p>
    <w:p>
      <w:pPr>
        <w:ind w:right="28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2023 and September 30, 2022, the Company had $1.1 million and $2.5 million, respectively, of unfunded commitments to fund existing investments.</w:t>
      </w:r>
    </w:p>
    <w:p>
      <w:pPr>
        <w:spacing w:after="0" w:line="143" w:lineRule="exact"/>
        <w:rPr>
          <w:sz w:val="20"/>
          <w:szCs w:val="20"/>
          <w:color w:val="auto"/>
        </w:rPr>
      </w:pPr>
    </w:p>
    <w:p>
      <w:pPr>
        <w:ind w:right="20" w:firstLine="420"/>
        <w:spacing w:after="0" w:line="243" w:lineRule="auto"/>
        <w:rPr>
          <w:sz w:val="20"/>
          <w:szCs w:val="20"/>
          <w:color w:val="auto"/>
        </w:rPr>
      </w:pPr>
      <w:r>
        <w:rPr>
          <w:rFonts w:ascii="Times New Roman" w:cs="Times New Roman" w:eastAsia="Times New Roman" w:hAnsi="Times New Roman"/>
          <w:sz w:val="16"/>
          <w:szCs w:val="16"/>
          <w:color w:val="auto"/>
        </w:rPr>
        <w:t>The Company has provided general indemnifications to the Members, affiliates of the Members, and any person acting on behalf of the Members or that affiliate when they act, in good faith, in the best interest of the Company. The Company is unable to develop an estimate of the maximum potential amount of future payments that could potentially result from any hypothetical future claim but expects the risk of having to make any payments under these general business indemnifications to be remote.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SUBSEQUENT EVENTS</w:t>
      </w:r>
    </w:p>
    <w:p>
      <w:pPr>
        <w:spacing w:after="0" w:line="178" w:lineRule="exact"/>
        <w:rPr>
          <w:sz w:val="20"/>
          <w:szCs w:val="20"/>
          <w:color w:val="auto"/>
        </w:rPr>
      </w:pPr>
    </w:p>
    <w:p>
      <w:pPr>
        <w:ind w:right="300" w:firstLine="420"/>
        <w:spacing w:after="0" w:line="259" w:lineRule="auto"/>
        <w:rPr>
          <w:sz w:val="20"/>
          <w:szCs w:val="20"/>
          <w:color w:val="auto"/>
        </w:rPr>
      </w:pPr>
      <w:r>
        <w:rPr>
          <w:rFonts w:ascii="Times New Roman" w:cs="Times New Roman" w:eastAsia="Times New Roman" w:hAnsi="Times New Roman"/>
          <w:sz w:val="16"/>
          <w:szCs w:val="16"/>
          <w:color w:val="auto"/>
        </w:rPr>
        <w:t>Subsequent events are evaluated and disclosed as appropriate for events occurring through the date the consolidated financial statements were available to be issued, December 7, 2023. There were no events that required disclosure.</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31" w:right="720" w:bottom="1440" w:gutter="0" w:footer="0" w:header="0"/>
        </w:sectPr>
      </w:pPr>
    </w:p>
    <w:bookmarkStart w:id="165" w:name="page166"/>
    <w:bookmarkEnd w:id="16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
      <w:numFmt w:val="bullet"/>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lowerRoman"/>
      <w:start w:val="5"/>
    </w:lvl>
  </w:abstractNum>
  <w:abstractNum w:abstractNumId="6">
    <w:nsid w:val="3F2DBA31"/>
    <w:multiLevelType w:val="hybridMultilevel"/>
    <w:lvl w:ilvl="0">
      <w:lvlJc w:val="left"/>
      <w:lvlText w:val="(%1)"/>
      <w:numFmt w:val="upperLetter"/>
      <w:start w:val="3"/>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lowerLetter"/>
      <w:start w:val="5"/>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Roman"/>
      <w:start w:val="4"/>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
      <w:numFmt w:val="bullet"/>
      <w:start w:val="1"/>
    </w:lvl>
    <w:lvl w:ilvl="1">
      <w:lvlJc w:val="left"/>
      <w:lvlText w:val="%2"/>
      <w:numFmt w:val="decimal"/>
      <w:start w:val="104"/>
    </w:lvl>
  </w:abstractNum>
  <w:abstractNum w:abstractNumId="14">
    <w:nsid w:val="2443A858"/>
    <w:multiLevelType w:val="hybridMultilevel"/>
    <w:lvl w:ilvl="0">
      <w:lvlJc w:val="left"/>
      <w:lvlText w:val="%1."/>
      <w:numFmt w:val="decimal"/>
      <w:start w:val="1"/>
    </w:lvl>
    <w:lvl w:ilvl="1">
      <w:lvlJc w:val="left"/>
      <w:lvlText w:val="%2)"/>
      <w:numFmt w:val="lowerLetter"/>
      <w:start w:val="1"/>
    </w:lvl>
  </w:abstractNum>
  <w:abstractNum w:abstractNumId="15">
    <w:nsid w:val="2D1D5AE9"/>
    <w:multiLevelType w:val="hybridMultilevel"/>
    <w:lvl w:ilvl="0">
      <w:lvlJc w:val="left"/>
      <w:lvlText w:val="%1."/>
      <w:numFmt w:val="decimal"/>
      <w:start w:val="1"/>
    </w:lvl>
    <w:lvl w:ilvl="1">
      <w:lvlJc w:val="left"/>
      <w:lvlText w:val="%2)"/>
      <w:numFmt w:val="lowerLetter"/>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8"/>
    </w:lvl>
  </w:abstractNum>
  <w:abstractNum w:abstractNumId="22">
    <w:nsid w:val="189A769B"/>
    <w:multiLevelType w:val="hybridMultilevel"/>
    <w:lvl w:ilvl="0">
      <w:lvlJc w:val="left"/>
      <w:lvlText w:val="%1."/>
      <w:numFmt w:val="decimal"/>
      <w:start w:val="10"/>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5"/>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8"/>
    </w:lvl>
  </w:abstractNum>
  <w:abstractNum w:abstractNumId="29">
    <w:nsid w:val="813864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9"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121" Type="http://schemas.openxmlformats.org/officeDocument/2006/relationships/hyperlink" Target="https://www.sec.gov/Archives/edgar/data/1504619/000119312511080862/dex99a.htm" TargetMode="External"/><Relationship Id="rId122" Type="http://schemas.openxmlformats.org/officeDocument/2006/relationships/hyperlink" Target="https://www.sec.gov/Archives/edgar/data/1504619/000156459020024167/pflt-ex32_144.htm" TargetMode="External"/><Relationship Id="rId123" Type="http://schemas.openxmlformats.org/officeDocument/2006/relationships/hyperlink" Target="https://www.sec.gov/Archives/edgar/data/1504619/000119312511088977/dex99d.htm" TargetMode="External"/><Relationship Id="rId124" Type="http://schemas.openxmlformats.org/officeDocument/2006/relationships/hyperlink" Target="https://www.sec.gov/Archives/edgar/data/1504619/000119312519250688/d808045dex992.htm" TargetMode="External"/><Relationship Id="rId125" Type="http://schemas.openxmlformats.org/officeDocument/2006/relationships/hyperlink" Target="https://www.sec.gov/Archives/edgar/data/0001504619/000119312521091350/d156339dex41.htm" TargetMode="External"/><Relationship Id="rId126" Type="http://schemas.openxmlformats.org/officeDocument/2006/relationships/hyperlink" Target="https://www.sec.gov/Archives/edgar/data/0001504619/000119312521091350/d156339dex42.htm" TargetMode="External"/><Relationship Id="rId127" Type="http://schemas.openxmlformats.org/officeDocument/2006/relationships/hyperlink" Target="https://www.sec.gov/Archives/edgar/data/1504619/000156459019043972/pflt-ex44_124.htm" TargetMode="External"/><Relationship Id="rId128" Type="http://schemas.openxmlformats.org/officeDocument/2006/relationships/hyperlink" Target="https://www.sec.gov/ix?doc=/Archives/edgar/data/0001504619/000119312524147057/d836080dn2.htm" TargetMode="External"/><Relationship Id="rId129" Type="http://schemas.openxmlformats.org/officeDocument/2006/relationships/hyperlink" Target="https://www.sec.gov/Archives/edgar/data/1504619/000119312511080862/dex99e.htm" TargetMode="External"/><Relationship Id="rId130" Type="http://schemas.openxmlformats.org/officeDocument/2006/relationships/hyperlink" Target="https://www.sec.gov/ix?doc=/Archives/edgar/data/0001504619/000119312524179102/d836080dn2a.htm" TargetMode="External"/><Relationship Id="rId131" Type="http://schemas.openxmlformats.org/officeDocument/2006/relationships/hyperlink" Target="https://www.sec.gov/Archives/edgar/data/1504619/000156459017016504/pflt-ex101_78.htm" TargetMode="External"/><Relationship Id="rId132" Type="http://schemas.openxmlformats.org/officeDocument/2006/relationships/hyperlink" Target="https://www.sec.gov/Archives/edgar/data/1504619/000119312516775064/d290892dex106.htm" TargetMode="External"/><Relationship Id="rId133" Type="http://schemas.openxmlformats.org/officeDocument/2006/relationships/hyperlink" Target="https://www.sec.gov/Archives/edgar/data/1504619/000119312519250688/d808045dex993.htm" TargetMode="External"/><Relationship Id="rId134" Type="http://schemas.openxmlformats.org/officeDocument/2006/relationships/hyperlink" Target="https://www.sec.gov/Archives/edgar/data/1504619/000119312519250688/d808045dex996.htm" TargetMode="External"/><Relationship Id="rId135" Type="http://schemas.openxmlformats.org/officeDocument/2006/relationships/hyperlink" Target="https://www.sec.gov/Archives/edgar/data/1504619/000119312518322533/d642622dex101.htm" TargetMode="External"/><Relationship Id="rId136" Type="http://schemas.openxmlformats.org/officeDocument/2006/relationships/hyperlink" Target="https://www.sec.gov/Archives/edgar/data/1504619/000119312521250566/d198449dex102.htm" TargetMode="External"/><Relationship Id="rId137" Type="http://schemas.openxmlformats.org/officeDocument/2006/relationships/hyperlink" Target="https://www.sec.gov/Archives/edgar/data/1504619/000119312524181031/d867754dex11.htm" TargetMode="External"/><Relationship Id="rId138" Type="http://schemas.openxmlformats.org/officeDocument/2006/relationships/hyperlink" Target="https://www.sec.gov/ix?doc=/Archives/edgar/data/0001504619/000119312524181031/d867754d8k.htm" TargetMode="External"/><Relationship Id="rId140" Type="http://schemas.openxmlformats.org/officeDocument/2006/relationships/hyperlink" Target="https://www.sec.gov/Archives/edgar/data/1504619/000095017022016832/pflt-ex1_1.htm" TargetMode="External"/><Relationship Id="rId141" Type="http://schemas.openxmlformats.org/officeDocument/2006/relationships/hyperlink" Target="https://www.sec.gov/Archives/edgar/data/1504619/000119312523016239/d451102dex11.htm" TargetMode="External"/><Relationship Id="rId142" Type="http://schemas.openxmlformats.org/officeDocument/2006/relationships/hyperlink" Target="https://www.sec.gov/Archives/edgar/data/1504619/000095017022018730/pflt-ex10_1.htm" TargetMode="External"/><Relationship Id="rId143" Type="http://schemas.openxmlformats.org/officeDocument/2006/relationships/hyperlink" Target="https://www.sec.gov/ix?doc=/Archives/edgar/data/0001504619/000119312524047922/d620677d8k.htm" TargetMode="External"/><Relationship Id="rId144" Type="http://schemas.openxmlformats.org/officeDocument/2006/relationships/hyperlink" Target="https://www.sec.gov/ix?doc=/Archives/edgar/data/0001504619/000119312524186729/d811290d8k.htm" TargetMode="External"/><Relationship Id="rId145" Type="http://schemas.openxmlformats.org/officeDocument/2006/relationships/hyperlink" Target="https://www.sec.gov/ix?doc=/Archives/edgar/data/0001504619/000119312524197872/d701936d8k.htm" TargetMode="External"/><Relationship Id="rId146" Type="http://schemas.openxmlformats.org/officeDocument/2006/relationships/hyperlink" Target="https://www.sec.gov/Archives/edgar/data/1504619/000095017023068908/pflt-ex14_1.htm" TargetMode="External"/><Relationship Id="rId147" Type="http://schemas.openxmlformats.org/officeDocument/2006/relationships/hyperlink" Target="https://www.sec.gov/Archives/edgar/data/1504619/000095017023068908/pflt-ex99_1.htm" TargetMode="External"/><Relationship Id="rId151" Type="http://schemas.openxmlformats.org/officeDocument/2006/relationships/hyperlink" Target="https://www.sec.gov/Archives/edgar/data/1504619/000095017023068908/pfl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2024-11-26T05:21:13Z</dcterms:created>
  <dcterms:modified xsi:type="dcterms:W3CDTF">2024-11-26T05:21:13Z</dcterms:modified>
</cp:coreProperties>
</file>