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MARCH 31, 2016</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3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37" w:lineRule="exact"/>
        <w:rPr>
          <w:sz w:val="24"/>
          <w:szCs w:val="24"/>
          <w:color w:val="auto"/>
        </w:rPr>
      </w:pPr>
    </w:p>
    <w:p>
      <w:pPr>
        <w:ind w:left="3560"/>
        <w:spacing w:after="0"/>
        <w:tabs>
          <w:tab w:leader="none" w:pos="67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3974465</wp:posOffset>
            </wp:positionH>
            <wp:positionV relativeFrom="paragraph">
              <wp:posOffset>-1270</wp:posOffset>
            </wp:positionV>
            <wp:extent cx="274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PENNANTPARK FLOATING RATE CAPITAL LTD.</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0" w:lineRule="exact"/>
        <w:rPr>
          <w:sz w:val="24"/>
          <w:szCs w:val="24"/>
          <w:color w:val="auto"/>
        </w:rPr>
      </w:pPr>
    </w:p>
    <w:tbl>
      <w:tblPr>
        <w:tblLayout w:type="fixed"/>
        <w:tblInd w:w="1340" w:type="dxa"/>
        <w:tblCellMar>
          <w:top w:w="0" w:type="dxa"/>
          <w:left w:w="0" w:type="dxa"/>
          <w:bottom w:w="0" w:type="dxa"/>
          <w:right w:w="0" w:type="dxa"/>
        </w:tblCellMar>
      </w:tblPr>
      <w:tr>
        <w:trPr>
          <w:trHeight w:val="163"/>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rPr>
              <w:t>MARYLAND</w:t>
            </w:r>
          </w:p>
        </w:tc>
        <w:tc>
          <w:tcPr>
            <w:tcW w:w="2080" w:type="dxa"/>
            <w:vAlign w:val="bottom"/>
          </w:tcPr>
          <w:p>
            <w:pPr>
              <w:jc w:val="right"/>
              <w:ind w:right="475"/>
              <w:spacing w:after="0"/>
              <w:rPr>
                <w:sz w:val="20"/>
                <w:szCs w:val="20"/>
                <w:color w:val="auto"/>
              </w:rPr>
            </w:pPr>
            <w:r>
              <w:rPr>
                <w:rFonts w:ascii="Arial" w:cs="Arial" w:eastAsia="Arial" w:hAnsi="Arial"/>
                <w:sz w:val="14"/>
                <w:szCs w:val="14"/>
                <w:b w:val="1"/>
                <w:bCs w:val="1"/>
                <w:color w:val="auto"/>
              </w:rPr>
              <w:t>27-3794690</w:t>
            </w:r>
          </w:p>
        </w:tc>
      </w:tr>
      <w:tr>
        <w:trPr>
          <w:trHeight w:val="150"/>
        </w:trPr>
        <w:tc>
          <w:tcPr>
            <w:tcW w:w="5980" w:type="dxa"/>
            <w:vAlign w:val="bottom"/>
          </w:tcPr>
          <w:p>
            <w:pPr>
              <w:jc w:val="center"/>
              <w:ind w:right="2894"/>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(I.R.S. Employer Identification No.)</w:t>
            </w:r>
          </w:p>
        </w:tc>
      </w:tr>
      <w:tr>
        <w:trPr>
          <w:trHeight w:val="443"/>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2080" w:type="dxa"/>
            <w:vAlign w:val="bottom"/>
          </w:tcPr>
          <w:p>
            <w:pPr>
              <w:spacing w:after="0"/>
              <w:rPr>
                <w:sz w:val="24"/>
                <w:szCs w:val="24"/>
                <w:color w:val="auto"/>
              </w:rPr>
            </w:pPr>
          </w:p>
        </w:tc>
      </w:tr>
      <w:tr>
        <w:trPr>
          <w:trHeight w:val="177"/>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7"/>
              </w:rPr>
              <w:t>New York, N.Y.</w:t>
            </w:r>
          </w:p>
        </w:tc>
        <w:tc>
          <w:tcPr>
            <w:tcW w:w="2080" w:type="dxa"/>
            <w:vAlign w:val="bottom"/>
          </w:tcPr>
          <w:p>
            <w:pPr>
              <w:jc w:val="right"/>
              <w:ind w:right="635"/>
              <w:spacing w:after="0"/>
              <w:rPr>
                <w:sz w:val="20"/>
                <w:szCs w:val="20"/>
                <w:color w:val="auto"/>
              </w:rPr>
            </w:pPr>
            <w:r>
              <w:rPr>
                <w:rFonts w:ascii="Arial" w:cs="Arial" w:eastAsia="Arial" w:hAnsi="Arial"/>
                <w:sz w:val="14"/>
                <w:szCs w:val="14"/>
                <w:b w:val="1"/>
                <w:bCs w:val="1"/>
                <w:color w:val="auto"/>
              </w:rPr>
              <w:t>10022</w:t>
            </w:r>
          </w:p>
        </w:tc>
      </w:tr>
      <w:tr>
        <w:trPr>
          <w:trHeight w:val="150"/>
        </w:trPr>
        <w:tc>
          <w:tcPr>
            <w:tcW w:w="5980" w:type="dxa"/>
            <w:vAlign w:val="bottom"/>
          </w:tcPr>
          <w:p>
            <w:pPr>
              <w:jc w:val="center"/>
              <w:ind w:right="2914"/>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(Zip Code)</w:t>
            </w:r>
          </w:p>
        </w:tc>
      </w:tr>
      <w:tr>
        <w:trPr>
          <w:trHeight w:val="349"/>
        </w:trPr>
        <w:tc>
          <w:tcPr>
            <w:tcW w:w="5980" w:type="dxa"/>
            <w:vAlign w:val="bottom"/>
          </w:tcPr>
          <w:p>
            <w:pPr>
              <w:jc w:val="right"/>
              <w:ind w:right="1174"/>
              <w:spacing w:after="0"/>
              <w:rPr>
                <w:sz w:val="20"/>
                <w:szCs w:val="20"/>
                <w:color w:val="auto"/>
              </w:rPr>
            </w:pPr>
            <w:r>
              <w:rPr>
                <w:rFonts w:ascii="Arial" w:cs="Arial" w:eastAsia="Arial" w:hAnsi="Arial"/>
                <w:sz w:val="14"/>
                <w:szCs w:val="14"/>
                <w:b w:val="1"/>
                <w:bCs w:val="1"/>
                <w:color w:val="auto"/>
              </w:rPr>
              <w:t>(212) 905-1000</w:t>
            </w:r>
          </w:p>
        </w:tc>
        <w:tc>
          <w:tcPr>
            <w:tcW w:w="2080" w:type="dxa"/>
            <w:vAlign w:val="bottom"/>
          </w:tcPr>
          <w:p>
            <w:pPr>
              <w:spacing w:after="0"/>
              <w:rPr>
                <w:sz w:val="24"/>
                <w:szCs w:val="24"/>
                <w:color w:val="auto"/>
              </w:rPr>
            </w:pPr>
          </w:p>
        </w:tc>
      </w:tr>
      <w:tr>
        <w:trPr>
          <w:trHeight w:val="150"/>
        </w:trPr>
        <w:tc>
          <w:tcPr>
            <w:tcW w:w="5980" w:type="dxa"/>
            <w:vAlign w:val="bottom"/>
          </w:tcPr>
          <w:p>
            <w:pPr>
              <w:jc w:val="center"/>
              <w:ind w:left="2514"/>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208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4"/>
          <w:szCs w:val="24"/>
          <w:color w:val="auto"/>
        </w:rPr>
      </w:pPr>
    </w:p>
    <w:p>
      <w:pPr>
        <w:ind w:right="80" w:firstLine="337"/>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0" w:lineRule="exact"/>
        <w:rPr>
          <w:sz w:val="24"/>
          <w:szCs w:val="24"/>
          <w:color w:val="auto"/>
        </w:rPr>
      </w:pPr>
    </w:p>
    <w:p>
      <w:pPr>
        <w:ind w:right="400" w:firstLine="337"/>
        <w:spacing w:after="0" w:line="17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1" w:lineRule="exact"/>
        <w:rPr>
          <w:sz w:val="24"/>
          <w:szCs w:val="24"/>
          <w:color w:val="auto"/>
        </w:rPr>
      </w:pPr>
    </w:p>
    <w:p>
      <w:pPr>
        <w:ind w:firstLine="337"/>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40"/>
          </w:cols>
          <w:pgMar w:left="320" w:top="230" w:right="339" w:bottom="1440" w:gutter="0" w:footer="0" w:header="0"/>
        </w:sectPr>
      </w:pP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4">
            <w:col w:w="1300" w:space="500"/>
            <w:col w:w="6460" w:space="720"/>
            <w:col w:w="1400" w:space="720"/>
            <w:col w:w="140"/>
          </w:cols>
          <w:pgMar w:left="320" w:top="230" w:right="339" w:bottom="1440" w:gutter="0" w:footer="0" w:header="0"/>
          <w:type w:val="continuous"/>
        </w:sectPr>
      </w:pP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5">
            <w:col w:w="1220" w:space="580"/>
            <w:col w:w="140" w:space="80"/>
            <w:col w:w="6240" w:space="720"/>
            <w:col w:w="1580" w:space="540"/>
            <w:col w:w="140"/>
          </w:cols>
          <w:pgMar w:left="320" w:top="230" w:right="339" w:bottom="1440" w:gutter="0" w:footer="0" w:header="0"/>
          <w:type w:val="continuous"/>
        </w:sectPr>
      </w:pPr>
    </w:p>
    <w:p>
      <w:pPr>
        <w:spacing w:after="0" w:line="29"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15" w:lineRule="exact"/>
        <w:rPr>
          <w:sz w:val="24"/>
          <w:szCs w:val="24"/>
          <w:color w:val="auto"/>
        </w:rPr>
      </w:pPr>
    </w:p>
    <w:p>
      <w:pPr>
        <w:sectPr>
          <w:pgSz w:w="11900" w:h="16838" w:orient="portrait"/>
          <w:cols w:equalWidth="0" w:num="4">
            <w:col w:w="6880" w:space="140"/>
            <w:col w:w="200" w:space="80"/>
            <w:col w:w="120" w:space="160"/>
            <w:col w:w="3660"/>
          </w:cols>
          <w:pgMar w:left="320" w:top="230" w:right="339" w:bottom="1440" w:gutter="0" w:footer="0" w:header="0"/>
          <w:type w:val="continuous"/>
        </w:sectPr>
      </w:pPr>
    </w:p>
    <w:p>
      <w:pPr>
        <w:spacing w:after="0" w:line="29" w:lineRule="exact"/>
        <w:rPr>
          <w:sz w:val="24"/>
          <w:szCs w:val="24"/>
          <w:color w:val="auto"/>
        </w:rPr>
      </w:pPr>
    </w:p>
    <w:p>
      <w:pPr>
        <w:ind w:left="340"/>
        <w:spacing w:after="0"/>
        <w:rPr>
          <w:sz w:val="20"/>
          <w:szCs w:val="20"/>
          <w:color w:val="auto"/>
        </w:rPr>
      </w:pPr>
      <w:r>
        <w:rPr>
          <w:rFonts w:ascii="Arial" w:cs="Arial" w:eastAsia="Arial" w:hAnsi="Arial"/>
          <w:sz w:val="12"/>
          <w:szCs w:val="12"/>
          <w:color w:val="auto"/>
        </w:rPr>
        <w:t>The number of shares of the registrant’s common stock, $0.001 par value per share, outstanding as of May 5, 2016 was 26,730,074.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FLOATING RATE CAPITAL LTD.</w:t>
      </w:r>
    </w:p>
    <w:p>
      <w:pPr>
        <w:jc w:val="center"/>
        <w:ind w:right="-79"/>
        <w:spacing w:after="0" w:line="226" w:lineRule="auto"/>
        <w:rPr>
          <w:sz w:val="20"/>
          <w:szCs w:val="20"/>
          <w:color w:val="auto"/>
        </w:rPr>
      </w:pPr>
      <w:r>
        <w:rPr>
          <w:rFonts w:ascii="Arial" w:cs="Arial" w:eastAsia="Arial" w:hAnsi="Arial"/>
          <w:sz w:val="14"/>
          <w:szCs w:val="14"/>
          <w:b w:val="1"/>
          <w:bCs w:val="1"/>
          <w:color w:val="auto"/>
        </w:rPr>
        <w:t>FORM 10-Q FOR THE QUARTER ENDED MARCH 31, 2016</w:t>
      </w:r>
    </w:p>
    <w:p>
      <w:pPr>
        <w:jc w:val="center"/>
        <w:ind w:right="-79"/>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ind w:left="356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060" w:type="dxa"/>
            <w:vAlign w:val="bottom"/>
          </w:tcPr>
          <w:p>
            <w:pPr>
              <w:spacing w:after="0"/>
              <w:rPr>
                <w:sz w:val="16"/>
                <w:szCs w:val="16"/>
                <w:color w:val="auto"/>
              </w:rPr>
            </w:pPr>
          </w:p>
        </w:tc>
      </w:tr>
      <w:tr>
        <w:trPr>
          <w:trHeight w:val="256"/>
        </w:trPr>
        <w:tc>
          <w:tcPr>
            <w:tcW w:w="910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060" w:type="dxa"/>
            <w:vAlign w:val="bottom"/>
          </w:tcPr>
          <w:p>
            <w:pPr>
              <w:spacing w:after="0"/>
              <w:rPr>
                <w:sz w:val="22"/>
                <w:szCs w:val="22"/>
                <w:color w:val="auto"/>
              </w:rPr>
            </w:pPr>
          </w:p>
        </w:tc>
      </w:tr>
      <w:tr>
        <w:trPr>
          <w:trHeight w:val="257"/>
        </w:trPr>
        <w:tc>
          <w:tcPr>
            <w:tcW w:w="9100" w:type="dxa"/>
            <w:vAlign w:val="bottom"/>
          </w:tcPr>
          <w:p>
            <w:pPr>
              <w:ind w:left="30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March 31, 2016 (unaudited) and September 30, 2015</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57"/>
        </w:trPr>
        <w:tc>
          <w:tcPr>
            <w:tcW w:w="9100" w:type="dxa"/>
            <w:vAlign w:val="bottom"/>
          </w:tcPr>
          <w:p>
            <w:pPr>
              <w:ind w:left="30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six months ended March 31, 2016 and 2015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57"/>
        </w:trPr>
        <w:tc>
          <w:tcPr>
            <w:tcW w:w="9100" w:type="dxa"/>
            <w:vAlign w:val="bottom"/>
          </w:tcPr>
          <w:p>
            <w:pPr>
              <w:ind w:left="30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six months ended March 31, 2016 and 2015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56"/>
        </w:trPr>
        <w:tc>
          <w:tcPr>
            <w:tcW w:w="9100" w:type="dxa"/>
            <w:vAlign w:val="bottom"/>
          </w:tcPr>
          <w:p>
            <w:pPr>
              <w:ind w:left="30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six months ended March 31, 2016 and 2015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57"/>
        </w:trPr>
        <w:tc>
          <w:tcPr>
            <w:tcW w:w="9100" w:type="dxa"/>
            <w:vAlign w:val="bottom"/>
          </w:tcPr>
          <w:p>
            <w:pPr>
              <w:ind w:left="30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March 31, 2016 (unaudited) and September 30, 2015</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57"/>
        </w:trPr>
        <w:tc>
          <w:tcPr>
            <w:tcW w:w="9100" w:type="dxa"/>
            <w:vAlign w:val="bottom"/>
          </w:tcPr>
          <w:p>
            <w:pPr>
              <w:ind w:left="30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Notes to Consolidated Financial Statements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57"/>
        </w:trPr>
        <w:tc>
          <w:tcPr>
            <w:tcW w:w="9100" w:type="dxa"/>
            <w:vAlign w:val="bottom"/>
          </w:tcPr>
          <w:p>
            <w:pPr>
              <w:ind w:left="300"/>
              <w:spacing w:after="0"/>
              <w:rPr>
                <w:rFonts w:ascii="Arial" w:cs="Arial" w:eastAsia="Arial" w:hAnsi="Arial"/>
                <w:sz w:val="14"/>
                <w:szCs w:val="14"/>
                <w:u w:val="single" w:color="auto"/>
                <w:color w:val="0000EE"/>
              </w:rPr>
            </w:pPr>
            <w:hyperlink w:anchor="page24">
              <w:r>
                <w:rPr>
                  <w:rFonts w:ascii="Arial" w:cs="Arial" w:eastAsia="Arial" w:hAnsi="Arial"/>
                  <w:sz w:val="14"/>
                  <w:szCs w:val="14"/>
                  <w:u w:val="single" w:color="auto"/>
                  <w:color w:val="0000EE"/>
                </w:rPr>
                <w:t>Report of Independent Registered Public Accounting Firm</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25">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56"/>
        </w:trPr>
        <w:tc>
          <w:tcPr>
            <w:tcW w:w="9100" w:type="dxa"/>
            <w:vAlign w:val="bottom"/>
          </w:tcPr>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3. Quantitative And Qualitative Disclosures About Market Risk</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4. Controls and Procedures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57"/>
        </w:trPr>
        <w:tc>
          <w:tcPr>
            <w:tcW w:w="9100" w:type="dxa"/>
            <w:vAlign w:val="bottom"/>
          </w:tcPr>
          <w:p>
            <w:pPr>
              <w:ind w:left="4280"/>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PART II. OTHER INFORMATION</w:t>
              </w:r>
            </w:hyperlink>
          </w:p>
        </w:tc>
        <w:tc>
          <w:tcPr>
            <w:tcW w:w="2060" w:type="dxa"/>
            <w:vAlign w:val="bottom"/>
          </w:tcPr>
          <w:p>
            <w:pPr>
              <w:spacing w:after="0"/>
              <w:rPr>
                <w:sz w:val="22"/>
                <w:szCs w:val="22"/>
                <w:color w:val="auto"/>
              </w:rPr>
            </w:pP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1. Legal Proceedings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6"/>
        </w:trPr>
        <w:tc>
          <w:tcPr>
            <w:tcW w:w="91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1A. Risk Factors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2. Unregistered Sales of Equity Securities and Use of Proceeds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3. Defaults Upon Senior Securities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4. Mine Safety Disclosures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5. Other Information</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6. Exhibits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56"/>
        </w:trPr>
        <w:tc>
          <w:tcPr>
            <w:tcW w:w="910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SIGNATURES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97"/>
        </w:trPr>
        <w:tc>
          <w:tcPr>
            <w:tcW w:w="9100" w:type="dxa"/>
            <w:vAlign w:val="bottom"/>
          </w:tcPr>
          <w:p>
            <w:pPr>
              <w:ind w:left="5580"/>
              <w:spacing w:after="0"/>
              <w:rPr>
                <w:sz w:val="20"/>
                <w:szCs w:val="20"/>
                <w:color w:val="auto"/>
              </w:rPr>
            </w:pPr>
            <w:r>
              <w:rPr>
                <w:rFonts w:ascii="Arial" w:cs="Arial" w:eastAsia="Arial" w:hAnsi="Arial"/>
                <w:sz w:val="14"/>
                <w:szCs w:val="14"/>
                <w:color w:val="auto"/>
              </w:rPr>
              <w:t>2</w:t>
            </w:r>
          </w:p>
        </w:tc>
        <w:tc>
          <w:tcPr>
            <w:tcW w:w="2060" w:type="dxa"/>
            <w:vAlign w:val="bottom"/>
          </w:tcPr>
          <w:p>
            <w:pPr>
              <w:spacing w:after="0"/>
              <w:rPr>
                <w:sz w:val="24"/>
                <w:szCs w:val="24"/>
                <w:color w:val="auto"/>
              </w:rPr>
            </w:pPr>
          </w:p>
        </w:tc>
      </w:tr>
    </w:tbl>
    <w:p>
      <w:pPr>
        <w:sectPr>
          <w:pgSz w:w="11900" w:h="16838" w:orient="portrait"/>
          <w:cols w:equalWidth="0" w:num="1">
            <w:col w:w="11160"/>
          </w:cols>
          <w:pgMar w:left="32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08"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We are filing this Quarterly Report on Form 10-Q, or the Report, in compliance with Rule 13a-13 promulgated by the Securities and Exchange Commission, or the SEC. In this Report, except where the context suggests otherwise, the terms “Company,” “we,” “our” or “us” refer to PennantPark Floating Rate Capital Ltd. and its wholly-owned consolidated subsidiaries; “Funding I” refers to PennantPark Floating Rate Funding I, LLC; “PennantPark Investment Advisers” or “Investment Adviser” refers to PennantPark Investment Advisers, LLC; “PennantPark Investment Administration” or “Administrator” refers to PennantPark Investment Administration, LLC; “1940 Act” refers to the Investment Company Act of 1940, as amended; “Code” refers to the Internal Revenue Code of 1986, as amended; “RIC” refers to a regulated investment company under the Code; “BDC” refers to a business development company under the 1940 Act. References to our portfolio, our investments, our multi-currency, senior secured revolving credit facility, as amended and restated, or the Credit Facility, and our business include investments we make through our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180"/>
          </w:cols>
          <w:pgMar w:left="32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7740" w:type="dxa"/>
            <w:vAlign w:val="bottom"/>
          </w:tcPr>
          <w:p>
            <w:pPr>
              <w:ind w:left="280"/>
              <w:spacing w:after="0"/>
              <w:rPr>
                <w:sz w:val="20"/>
                <w:szCs w:val="20"/>
                <w:color w:val="auto"/>
              </w:rPr>
            </w:pPr>
            <w:r>
              <w:rPr>
                <w:rFonts w:ascii="Arial" w:cs="Arial" w:eastAsia="Arial" w:hAnsi="Arial"/>
                <w:sz w:val="14"/>
                <w:szCs w:val="14"/>
                <w:b w:val="1"/>
                <w:bCs w:val="1"/>
                <w:color w:val="auto"/>
              </w:rPr>
              <w:t>Consolidated Financial Statements</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35"/>
        </w:trPr>
        <w:tc>
          <w:tcPr>
            <w:tcW w:w="520" w:type="dxa"/>
            <w:vAlign w:val="bottom"/>
          </w:tcPr>
          <w:p>
            <w:pPr>
              <w:spacing w:after="0"/>
              <w:rPr>
                <w:sz w:val="24"/>
                <w:szCs w:val="24"/>
                <w:color w:val="auto"/>
              </w:rPr>
            </w:pPr>
          </w:p>
        </w:tc>
        <w:tc>
          <w:tcPr>
            <w:tcW w:w="7740" w:type="dxa"/>
            <w:vAlign w:val="bottom"/>
          </w:tcPr>
          <w:p>
            <w:pPr>
              <w:ind w:left="2740"/>
              <w:spacing w:after="0"/>
              <w:rPr>
                <w:sz w:val="20"/>
                <w:szCs w:val="20"/>
                <w:color w:val="auto"/>
              </w:rPr>
            </w:pPr>
            <w:r>
              <w:rPr>
                <w:rFonts w:ascii="Arial" w:cs="Arial" w:eastAsia="Arial" w:hAnsi="Arial"/>
                <w:sz w:val="14"/>
                <w:szCs w:val="14"/>
                <w:b w:val="1"/>
                <w:bCs w:val="1"/>
                <w:color w:val="auto"/>
              </w:rPr>
              <w:t>PENNANTPARK FLOATING RATE CAPITAL LTD. AND SUBSIDIARIES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520" w:type="dxa"/>
            <w:vAlign w:val="bottom"/>
          </w:tcPr>
          <w:p>
            <w:pPr>
              <w:spacing w:after="0"/>
              <w:rPr>
                <w:sz w:val="16"/>
                <w:szCs w:val="16"/>
                <w:color w:val="auto"/>
              </w:rPr>
            </w:pPr>
          </w:p>
        </w:tc>
        <w:tc>
          <w:tcPr>
            <w:tcW w:w="7740" w:type="dxa"/>
            <w:vAlign w:val="bottom"/>
          </w:tcPr>
          <w:p>
            <w:pPr>
              <w:ind w:left="2980"/>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7"/>
        </w:trPr>
        <w:tc>
          <w:tcPr>
            <w:tcW w:w="5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March 31, 2016</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7"/>
              </w:rPr>
              <w:t>September 30, 2015</w:t>
            </w:r>
          </w:p>
        </w:tc>
      </w:tr>
      <w:tr>
        <w:trPr>
          <w:trHeight w:val="171"/>
        </w:trPr>
        <w:tc>
          <w:tcPr>
            <w:tcW w:w="5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7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8260" w:type="dxa"/>
            <w:vAlign w:val="bottom"/>
            <w:gridSpan w:val="2"/>
          </w:tcPr>
          <w:p>
            <w:pPr>
              <w:spacing w:after="0" w:line="149" w:lineRule="exact"/>
              <w:rPr>
                <w:sz w:val="20"/>
                <w:szCs w:val="20"/>
                <w:color w:val="auto"/>
              </w:rPr>
            </w:pPr>
            <w:r>
              <w:rPr>
                <w:rFonts w:ascii="Arial" w:cs="Arial" w:eastAsia="Arial" w:hAnsi="Arial"/>
                <w:sz w:val="14"/>
                <w:szCs w:val="14"/>
                <w:color w:val="auto"/>
              </w:rPr>
              <w:t>Investments at fair value</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8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Non-controlled, non-affiliated investments (cost—$492,786,683 and $394,561,175, respectively)</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5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480,503,287</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388,535,383</w:t>
            </w:r>
          </w:p>
        </w:tc>
      </w:tr>
      <w:tr>
        <w:trPr>
          <w:trHeight w:val="148"/>
        </w:trPr>
        <w:tc>
          <w:tcPr>
            <w:tcW w:w="8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Controlled, affiliated investments (cost—$2,777,132 and $2,777,132, respectively)</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2,776,507</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2,776,507</w:t>
            </w:r>
          </w:p>
        </w:tc>
      </w:tr>
      <w:tr>
        <w:trPr>
          <w:trHeight w:val="27"/>
        </w:trPr>
        <w:tc>
          <w:tcPr>
            <w:tcW w:w="5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8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of investments (cost—$495,563,815 and $397,338,307, respectively)</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483,279,794</w:t>
            </w: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391,311,890</w:t>
            </w:r>
          </w:p>
        </w:tc>
      </w:tr>
      <w:tr>
        <w:trPr>
          <w:trHeight w:val="148"/>
        </w:trPr>
        <w:tc>
          <w:tcPr>
            <w:tcW w:w="826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 (cost—$13,407,108 and $21,428,514, respectively)</w:t>
            </w:r>
          </w:p>
        </w:tc>
        <w:tc>
          <w:tcPr>
            <w:tcW w:w="100" w:type="dxa"/>
            <w:vAlign w:val="bottom"/>
          </w:tcPr>
          <w:p>
            <w:pPr>
              <w:spacing w:after="0"/>
              <w:rPr>
                <w:sz w:val="12"/>
                <w:szCs w:val="12"/>
                <w:color w:val="auto"/>
              </w:rPr>
            </w:pPr>
          </w:p>
        </w:tc>
        <w:tc>
          <w:tcPr>
            <w:tcW w:w="15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13,445,729</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21,428,514</w:t>
            </w:r>
          </w:p>
        </w:tc>
      </w:tr>
      <w:tr>
        <w:trPr>
          <w:trHeight w:val="148"/>
        </w:trPr>
        <w:tc>
          <w:tcPr>
            <w:tcW w:w="8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receivable</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2,188,947</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1,959,404</w:t>
            </w:r>
          </w:p>
        </w:tc>
      </w:tr>
      <w:tr>
        <w:trPr>
          <w:trHeight w:val="148"/>
        </w:trPr>
        <w:tc>
          <w:tcPr>
            <w:tcW w:w="8260" w:type="dxa"/>
            <w:vAlign w:val="bottom"/>
            <w:gridSpan w:val="2"/>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1,081,201</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1,420,529</w:t>
            </w:r>
          </w:p>
        </w:tc>
      </w:tr>
      <w:tr>
        <w:trPr>
          <w:trHeight w:val="27"/>
        </w:trPr>
        <w:tc>
          <w:tcPr>
            <w:tcW w:w="5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520" w:type="dxa"/>
            <w:vAlign w:val="bottom"/>
            <w:shd w:val="clear" w:color="auto" w:fill="CCEEFF"/>
          </w:tcPr>
          <w:p>
            <w:pPr>
              <w:spacing w:after="0"/>
              <w:rPr>
                <w:sz w:val="12"/>
                <w:szCs w:val="12"/>
                <w:color w:val="auto"/>
              </w:rPr>
            </w:pPr>
          </w:p>
        </w:tc>
        <w:tc>
          <w:tcPr>
            <w:tcW w:w="7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Total assets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499,995,671</w:t>
            </w: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416,120,337</w:t>
            </w:r>
          </w:p>
        </w:tc>
      </w:tr>
      <w:tr>
        <w:trPr>
          <w:trHeight w:val="155"/>
        </w:trPr>
        <w:tc>
          <w:tcPr>
            <w:tcW w:w="82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8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Distributions payable</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2,539,357</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2,539,357</w:t>
            </w:r>
          </w:p>
        </w:tc>
      </w:tr>
      <w:tr>
        <w:trPr>
          <w:trHeight w:val="148"/>
        </w:trPr>
        <w:tc>
          <w:tcPr>
            <w:tcW w:w="8260" w:type="dxa"/>
            <w:vAlign w:val="bottom"/>
            <w:gridSpan w:val="2"/>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100" w:type="dxa"/>
            <w:vAlign w:val="bottom"/>
          </w:tcPr>
          <w:p>
            <w:pPr>
              <w:spacing w:after="0"/>
              <w:rPr>
                <w:sz w:val="12"/>
                <w:szCs w:val="12"/>
                <w:color w:val="auto"/>
              </w:rPr>
            </w:pPr>
          </w:p>
        </w:tc>
        <w:tc>
          <w:tcPr>
            <w:tcW w:w="15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5,223,906</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9,367,500</w:t>
            </w:r>
          </w:p>
        </w:tc>
      </w:tr>
      <w:tr>
        <w:trPr>
          <w:trHeight w:val="148"/>
        </w:trPr>
        <w:tc>
          <w:tcPr>
            <w:tcW w:w="8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Credit Facility payable (cost—$128,207,500 and $29,600,000, respectively) (See Notes 5 and 10)</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127,992,417</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29,600,000</w:t>
            </w:r>
          </w:p>
        </w:tc>
      </w:tr>
      <w:tr>
        <w:trPr>
          <w:trHeight w:val="148"/>
        </w:trPr>
        <w:tc>
          <w:tcPr>
            <w:tcW w:w="8260" w:type="dxa"/>
            <w:vAlign w:val="bottom"/>
            <w:gridSpan w:val="2"/>
          </w:tcPr>
          <w:p>
            <w:pPr>
              <w:spacing w:after="0" w:line="149" w:lineRule="exact"/>
              <w:rPr>
                <w:sz w:val="20"/>
                <w:szCs w:val="20"/>
                <w:color w:val="auto"/>
              </w:rPr>
            </w:pPr>
            <w:r>
              <w:rPr>
                <w:rFonts w:ascii="Arial" w:cs="Arial" w:eastAsia="Arial" w:hAnsi="Arial"/>
                <w:sz w:val="14"/>
                <w:szCs w:val="14"/>
                <w:color w:val="auto"/>
              </w:rPr>
              <w:t>Interest payable on Credit Facility</w:t>
            </w:r>
          </w:p>
        </w:tc>
        <w:tc>
          <w:tcPr>
            <w:tcW w:w="100" w:type="dxa"/>
            <w:vAlign w:val="bottom"/>
          </w:tcPr>
          <w:p>
            <w:pPr>
              <w:spacing w:after="0"/>
              <w:rPr>
                <w:sz w:val="12"/>
                <w:szCs w:val="12"/>
                <w:color w:val="auto"/>
              </w:rPr>
            </w:pPr>
          </w:p>
        </w:tc>
        <w:tc>
          <w:tcPr>
            <w:tcW w:w="15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379,634</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224,633</w:t>
            </w:r>
          </w:p>
        </w:tc>
      </w:tr>
      <w:tr>
        <w:trPr>
          <w:trHeight w:val="148"/>
        </w:trPr>
        <w:tc>
          <w:tcPr>
            <w:tcW w:w="8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1,181,115</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956,115</w:t>
            </w:r>
          </w:p>
        </w:tc>
      </w:tr>
      <w:tr>
        <w:trPr>
          <w:trHeight w:val="149"/>
        </w:trPr>
        <w:tc>
          <w:tcPr>
            <w:tcW w:w="8260" w:type="dxa"/>
            <w:vAlign w:val="bottom"/>
            <w:gridSpan w:val="2"/>
          </w:tcPr>
          <w:p>
            <w:pPr>
              <w:spacing w:after="0" w:line="149" w:lineRule="exact"/>
              <w:rPr>
                <w:sz w:val="20"/>
                <w:szCs w:val="20"/>
                <w:color w:val="auto"/>
              </w:rPr>
            </w:pPr>
            <w:r>
              <w:rPr>
                <w:rFonts w:ascii="Arial" w:cs="Arial" w:eastAsia="Arial" w:hAnsi="Arial"/>
                <w:sz w:val="14"/>
                <w:szCs w:val="14"/>
                <w:color w:val="auto"/>
              </w:rPr>
              <w:t>Performance-based incentive fee payable (See Note 3)</w:t>
            </w:r>
          </w:p>
        </w:tc>
        <w:tc>
          <w:tcPr>
            <w:tcW w:w="100" w:type="dxa"/>
            <w:vAlign w:val="bottom"/>
          </w:tcPr>
          <w:p>
            <w:pPr>
              <w:spacing w:after="0"/>
              <w:rPr>
                <w:sz w:val="12"/>
                <w:szCs w:val="12"/>
                <w:color w:val="auto"/>
              </w:rPr>
            </w:pPr>
          </w:p>
        </w:tc>
        <w:tc>
          <w:tcPr>
            <w:tcW w:w="15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841,880</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2,936</w:t>
            </w:r>
          </w:p>
        </w:tc>
      </w:tr>
      <w:tr>
        <w:trPr>
          <w:trHeight w:val="148"/>
        </w:trPr>
        <w:tc>
          <w:tcPr>
            <w:tcW w:w="8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Accrued other expenses</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539,347</w:t>
            </w:r>
          </w:p>
        </w:tc>
      </w:tr>
      <w:tr>
        <w:trPr>
          <w:trHeight w:val="163"/>
        </w:trPr>
        <w:tc>
          <w:tcPr>
            <w:tcW w:w="520" w:type="dxa"/>
            <w:vAlign w:val="bottom"/>
          </w:tcPr>
          <w:p>
            <w:pPr>
              <w:spacing w:after="0"/>
              <w:rPr>
                <w:sz w:val="14"/>
                <w:szCs w:val="14"/>
                <w:color w:val="auto"/>
              </w:rPr>
            </w:pPr>
          </w:p>
        </w:tc>
        <w:tc>
          <w:tcPr>
            <w:tcW w:w="774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Total liabilities</w:t>
            </w:r>
          </w:p>
        </w:tc>
        <w:tc>
          <w:tcPr>
            <w:tcW w:w="1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138,158,309</w:t>
            </w:r>
          </w:p>
        </w:tc>
        <w:tc>
          <w:tcPr>
            <w:tcW w:w="5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43,229,888</w:t>
            </w:r>
          </w:p>
        </w:tc>
        <w:tc>
          <w:tcPr>
            <w:tcW w:w="100" w:type="dxa"/>
            <w:vAlign w:val="bottom"/>
          </w:tcPr>
          <w:p>
            <w:pPr>
              <w:spacing w:after="0"/>
              <w:rPr>
                <w:sz w:val="14"/>
                <w:szCs w:val="14"/>
                <w:color w:val="auto"/>
              </w:rPr>
            </w:pPr>
          </w:p>
        </w:tc>
      </w:tr>
      <w:tr>
        <w:trPr>
          <w:trHeight w:val="148"/>
        </w:trPr>
        <w:tc>
          <w:tcPr>
            <w:tcW w:w="8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(See Note 11)</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8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 26,730,074 shares issued and outstanding.</w:t>
            </w: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82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Par value $0.001 per share and 100,000,000 shares authorized.</w:t>
            </w: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26,730</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26,730</w:t>
            </w:r>
          </w:p>
        </w:tc>
      </w:tr>
      <w:tr>
        <w:trPr>
          <w:trHeight w:val="149"/>
        </w:trPr>
        <w:tc>
          <w:tcPr>
            <w:tcW w:w="8260" w:type="dxa"/>
            <w:vAlign w:val="bottom"/>
            <w:gridSpan w:val="2"/>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100" w:type="dxa"/>
            <w:vAlign w:val="bottom"/>
          </w:tcPr>
          <w:p>
            <w:pPr>
              <w:spacing w:after="0"/>
              <w:rPr>
                <w:sz w:val="12"/>
                <w:szCs w:val="12"/>
                <w:color w:val="auto"/>
              </w:rPr>
            </w:pPr>
          </w:p>
        </w:tc>
        <w:tc>
          <w:tcPr>
            <w:tcW w:w="15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371,502,801</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371,502,801</w:t>
            </w:r>
          </w:p>
        </w:tc>
      </w:tr>
      <w:tr>
        <w:trPr>
          <w:trHeight w:val="148"/>
        </w:trPr>
        <w:tc>
          <w:tcPr>
            <w:tcW w:w="8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Undistributed net investment income</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4,106,006</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6,991,473</w:t>
            </w:r>
          </w:p>
        </w:tc>
      </w:tr>
      <w:tr>
        <w:trPr>
          <w:trHeight w:val="148"/>
        </w:trPr>
        <w:tc>
          <w:tcPr>
            <w:tcW w:w="8260" w:type="dxa"/>
            <w:vAlign w:val="bottom"/>
            <w:gridSpan w:val="2"/>
          </w:tcPr>
          <w:p>
            <w:pPr>
              <w:spacing w:after="0" w:line="149" w:lineRule="exact"/>
              <w:rPr>
                <w:sz w:val="20"/>
                <w:szCs w:val="20"/>
                <w:color w:val="auto"/>
              </w:rPr>
            </w:pPr>
            <w:r>
              <w:rPr>
                <w:rFonts w:ascii="Arial" w:cs="Arial" w:eastAsia="Arial" w:hAnsi="Arial"/>
                <w:sz w:val="14"/>
                <w:szCs w:val="14"/>
                <w:color w:val="auto"/>
              </w:rPr>
              <w:t>Accumulated net realized (loss) gain on investments</w:t>
            </w:r>
          </w:p>
        </w:tc>
        <w:tc>
          <w:tcPr>
            <w:tcW w:w="100" w:type="dxa"/>
            <w:vAlign w:val="bottom"/>
          </w:tcPr>
          <w:p>
            <w:pPr>
              <w:spacing w:after="0"/>
              <w:rPr>
                <w:sz w:val="12"/>
                <w:szCs w:val="12"/>
                <w:color w:val="auto"/>
              </w:rPr>
            </w:pPr>
          </w:p>
        </w:tc>
        <w:tc>
          <w:tcPr>
            <w:tcW w:w="15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(1,767,858)</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395,862</w:t>
            </w:r>
          </w:p>
        </w:tc>
      </w:tr>
      <w:tr>
        <w:trPr>
          <w:trHeight w:val="148"/>
        </w:trPr>
        <w:tc>
          <w:tcPr>
            <w:tcW w:w="8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unrealized depreciation on investments</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(12,245,400)</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(6,026,417)</w:t>
            </w:r>
          </w:p>
        </w:tc>
      </w:tr>
      <w:tr>
        <w:trPr>
          <w:trHeight w:val="148"/>
        </w:trPr>
        <w:tc>
          <w:tcPr>
            <w:tcW w:w="8260" w:type="dxa"/>
            <w:vAlign w:val="bottom"/>
            <w:gridSpan w:val="2"/>
          </w:tcPr>
          <w:p>
            <w:pPr>
              <w:spacing w:after="0" w:line="149" w:lineRule="exact"/>
              <w:rPr>
                <w:sz w:val="20"/>
                <w:szCs w:val="20"/>
                <w:color w:val="auto"/>
              </w:rPr>
            </w:pPr>
            <w:r>
              <w:rPr>
                <w:rFonts w:ascii="Arial" w:cs="Arial" w:eastAsia="Arial" w:hAnsi="Arial"/>
                <w:sz w:val="14"/>
                <w:szCs w:val="14"/>
                <w:color w:val="auto"/>
              </w:rPr>
              <w:t>Net unrealized depreciation on Credit Facility</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215,083</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27"/>
        </w:trPr>
        <w:tc>
          <w:tcPr>
            <w:tcW w:w="5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520" w:type="dxa"/>
            <w:vAlign w:val="bottom"/>
            <w:shd w:val="clear" w:color="auto" w:fill="CCEEFF"/>
          </w:tcPr>
          <w:p>
            <w:pPr>
              <w:spacing w:after="0"/>
              <w:rPr>
                <w:sz w:val="12"/>
                <w:szCs w:val="12"/>
                <w:color w:val="auto"/>
              </w:rPr>
            </w:pPr>
          </w:p>
        </w:tc>
        <w:tc>
          <w:tcPr>
            <w:tcW w:w="7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Total net assets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361,837,362</w:t>
            </w: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372,890,449</w:t>
            </w:r>
          </w:p>
        </w:tc>
      </w:tr>
      <w:tr>
        <w:trPr>
          <w:trHeight w:val="155"/>
        </w:trPr>
        <w:tc>
          <w:tcPr>
            <w:tcW w:w="520" w:type="dxa"/>
            <w:vAlign w:val="bottom"/>
          </w:tcPr>
          <w:p>
            <w:pPr>
              <w:spacing w:after="0"/>
              <w:rPr>
                <w:sz w:val="13"/>
                <w:szCs w:val="13"/>
                <w:color w:val="auto"/>
              </w:rPr>
            </w:pPr>
          </w:p>
        </w:tc>
        <w:tc>
          <w:tcPr>
            <w:tcW w:w="774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499,995,671</w:t>
            </w:r>
          </w:p>
        </w:tc>
        <w:tc>
          <w:tcPr>
            <w:tcW w:w="5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416,120,337</w:t>
            </w:r>
          </w:p>
        </w:tc>
        <w:tc>
          <w:tcPr>
            <w:tcW w:w="100" w:type="dxa"/>
            <w:vAlign w:val="bottom"/>
          </w:tcPr>
          <w:p>
            <w:pPr>
              <w:spacing w:after="0"/>
              <w:rPr>
                <w:sz w:val="13"/>
                <w:szCs w:val="13"/>
                <w:color w:val="auto"/>
              </w:rPr>
            </w:pPr>
          </w:p>
        </w:tc>
      </w:tr>
      <w:tr>
        <w:trPr>
          <w:trHeight w:val="20"/>
        </w:trPr>
        <w:tc>
          <w:tcPr>
            <w:tcW w:w="5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82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1580" w:type="dxa"/>
            <w:vAlign w:val="bottom"/>
            <w:gridSpan w:val="2"/>
            <w:shd w:val="clear" w:color="auto" w:fill="CCEEFF"/>
          </w:tcPr>
          <w:p>
            <w:pPr>
              <w:jc w:val="right"/>
              <w:ind w:right="500"/>
              <w:spacing w:after="0" w:line="143" w:lineRule="exact"/>
              <w:rPr>
                <w:sz w:val="20"/>
                <w:szCs w:val="20"/>
                <w:color w:val="auto"/>
              </w:rPr>
            </w:pPr>
            <w:r>
              <w:rPr>
                <w:rFonts w:ascii="Arial" w:cs="Arial" w:eastAsia="Arial" w:hAnsi="Arial"/>
                <w:sz w:val="14"/>
                <w:szCs w:val="14"/>
                <w:color w:val="auto"/>
              </w:rPr>
              <w:t>13.54</w:t>
            </w:r>
          </w:p>
        </w:tc>
        <w:tc>
          <w:tcPr>
            <w:tcW w:w="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13.95</w:t>
            </w:r>
          </w:p>
        </w:tc>
      </w:tr>
      <w:tr>
        <w:trPr>
          <w:trHeight w:val="20"/>
        </w:trPr>
        <w:tc>
          <w:tcPr>
            <w:tcW w:w="5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8"/>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4"/>
                <w:szCs w:val="14"/>
                <w:color w:val="auto"/>
              </w:rPr>
            </w:pPr>
          </w:p>
        </w:tc>
        <w:tc>
          <w:tcPr>
            <w:tcW w:w="196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w w:val="95"/>
              </w:rPr>
              <w:t>Six Months Ended March 31,</w:t>
            </w:r>
          </w:p>
        </w:tc>
        <w:tc>
          <w:tcPr>
            <w:tcW w:w="0" w:type="dxa"/>
            <w:vAlign w:val="bottom"/>
          </w:tcPr>
          <w:p>
            <w:pPr>
              <w:spacing w:after="0"/>
              <w:rPr>
                <w:sz w:val="1"/>
                <w:szCs w:val="1"/>
                <w:color w:val="auto"/>
              </w:rPr>
            </w:pPr>
          </w:p>
        </w:tc>
      </w:tr>
      <w:tr>
        <w:trPr>
          <w:trHeight w:val="142"/>
        </w:trPr>
        <w:tc>
          <w:tcPr>
            <w:tcW w:w="70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0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04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w:t>
            </w:r>
          </w:p>
        </w:tc>
        <w:tc>
          <w:tcPr>
            <w:tcW w:w="180" w:type="dxa"/>
            <w:vAlign w:val="bottom"/>
            <w:gridSpan w:val="2"/>
            <w:shd w:val="clear" w:color="auto" w:fill="CCEEFF"/>
          </w:tcPr>
          <w:p>
            <w:pPr>
              <w:jc w:val="right"/>
              <w:ind w:right="42"/>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9,626,583</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7,067,400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18,239,445</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14,516,174</w:t>
            </w:r>
          </w:p>
        </w:tc>
        <w:tc>
          <w:tcPr>
            <w:tcW w:w="0" w:type="dxa"/>
            <w:vAlign w:val="bottom"/>
          </w:tcPr>
          <w:p>
            <w:pPr>
              <w:spacing w:after="0"/>
              <w:rPr>
                <w:sz w:val="1"/>
                <w:szCs w:val="1"/>
                <w:color w:val="auto"/>
              </w:rPr>
            </w:pPr>
          </w:p>
        </w:tc>
      </w:tr>
      <w:tr>
        <w:trPr>
          <w:trHeight w:val="148"/>
        </w:trPr>
        <w:tc>
          <w:tcPr>
            <w:tcW w:w="7040" w:type="dxa"/>
            <w:vAlign w:val="bottom"/>
          </w:tcPr>
          <w:p>
            <w:pPr>
              <w:ind w:left="300"/>
              <w:spacing w:after="0" w:line="149" w:lineRule="exact"/>
              <w:rPr>
                <w:sz w:val="20"/>
                <w:szCs w:val="20"/>
                <w:color w:val="auto"/>
              </w:rPr>
            </w:pPr>
            <w:r>
              <w:rPr>
                <w:rFonts w:ascii="Arial" w:cs="Arial" w:eastAsia="Arial" w:hAnsi="Arial"/>
                <w:sz w:val="14"/>
                <w:szCs w:val="14"/>
                <w:color w:val="auto"/>
              </w:rPr>
              <w:t>Other income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1,676,582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915,859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1,779,267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943,805</w:t>
            </w:r>
          </w:p>
        </w:tc>
        <w:tc>
          <w:tcPr>
            <w:tcW w:w="0" w:type="dxa"/>
            <w:vAlign w:val="bottom"/>
          </w:tcPr>
          <w:p>
            <w:pPr>
              <w:spacing w:after="0"/>
              <w:rPr>
                <w:sz w:val="1"/>
                <w:szCs w:val="1"/>
                <w:color w:val="auto"/>
              </w:rPr>
            </w:pPr>
          </w:p>
        </w:tc>
      </w:tr>
      <w:tr>
        <w:trPr>
          <w:trHeight w:val="149"/>
        </w:trPr>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controlled, affiliated investments: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40" w:type="dxa"/>
            <w:vAlign w:val="bottom"/>
          </w:tcPr>
          <w:p>
            <w:pPr>
              <w:ind w:left="300"/>
              <w:spacing w:after="0" w:line="149" w:lineRule="exact"/>
              <w:rPr>
                <w:sz w:val="20"/>
                <w:szCs w:val="20"/>
                <w:color w:val="auto"/>
              </w:rPr>
            </w:pPr>
            <w:r>
              <w:rPr>
                <w:rFonts w:ascii="Arial" w:cs="Arial" w:eastAsia="Arial" w:hAnsi="Arial"/>
                <w:sz w:val="14"/>
                <w:szCs w:val="14"/>
                <w:color w:val="auto"/>
              </w:rPr>
              <w:t>Interest</w:t>
            </w: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43,140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84,073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investment income</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11,346,305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7,983,259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20,102,785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15,459,979</w:t>
            </w:r>
          </w:p>
        </w:tc>
        <w:tc>
          <w:tcPr>
            <w:tcW w:w="0" w:type="dxa"/>
            <w:vAlign w:val="bottom"/>
          </w:tcPr>
          <w:p>
            <w:pPr>
              <w:spacing w:after="0"/>
              <w:rPr>
                <w:sz w:val="1"/>
                <w:szCs w:val="1"/>
                <w:color w:val="auto"/>
              </w:rPr>
            </w:pPr>
          </w:p>
        </w:tc>
      </w:tr>
      <w:tr>
        <w:trPr>
          <w:trHeight w:val="156"/>
        </w:trPr>
        <w:tc>
          <w:tcPr>
            <w:tcW w:w="704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Base management fee (See Note 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1,181,116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851,176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2,258,856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1,734,546</w:t>
            </w:r>
          </w:p>
        </w:tc>
        <w:tc>
          <w:tcPr>
            <w:tcW w:w="0" w:type="dxa"/>
            <w:vAlign w:val="bottom"/>
          </w:tcPr>
          <w:p>
            <w:pPr>
              <w:spacing w:after="0"/>
              <w:rPr>
                <w:sz w:val="1"/>
                <w:szCs w:val="1"/>
                <w:color w:val="auto"/>
              </w:rPr>
            </w:pPr>
          </w:p>
        </w:tc>
      </w:tr>
      <w:tr>
        <w:trPr>
          <w:trHeight w:val="148"/>
        </w:trPr>
        <w:tc>
          <w:tcPr>
            <w:tcW w:w="7040" w:type="dxa"/>
            <w:vAlign w:val="bottom"/>
          </w:tcPr>
          <w:p>
            <w:pPr>
              <w:ind w:left="30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841,880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1,345,982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838,944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1,031,925</w:t>
            </w:r>
          </w:p>
        </w:tc>
        <w:tc>
          <w:tcPr>
            <w:tcW w:w="0" w:type="dxa"/>
            <w:vAlign w:val="bottom"/>
          </w:tcPr>
          <w:p>
            <w:pPr>
              <w:spacing w:after="0"/>
              <w:rPr>
                <w:sz w:val="1"/>
                <w:szCs w:val="1"/>
                <w:color w:val="auto"/>
              </w:rPr>
            </w:pPr>
          </w:p>
        </w:tc>
      </w:tr>
      <w:tr>
        <w:trPr>
          <w:trHeight w:val="148"/>
        </w:trPr>
        <w:tc>
          <w:tcPr>
            <w:tcW w:w="70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 and expenses on the Credit Facility (See Note 10)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1,122,893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775,975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2,062,575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1,661,733</w:t>
            </w:r>
          </w:p>
        </w:tc>
        <w:tc>
          <w:tcPr>
            <w:tcW w:w="0" w:type="dxa"/>
            <w:vAlign w:val="bottom"/>
          </w:tcPr>
          <w:p>
            <w:pPr>
              <w:spacing w:after="0"/>
              <w:rPr>
                <w:sz w:val="1"/>
                <w:szCs w:val="1"/>
                <w:color w:val="auto"/>
              </w:rPr>
            </w:pPr>
          </w:p>
        </w:tc>
      </w:tr>
      <w:tr>
        <w:trPr>
          <w:trHeight w:val="149"/>
        </w:trPr>
        <w:tc>
          <w:tcPr>
            <w:tcW w:w="7040" w:type="dxa"/>
            <w:vAlign w:val="bottom"/>
          </w:tcPr>
          <w:p>
            <w:pPr>
              <w:ind w:left="30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200,001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223,500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400,001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449,500</w:t>
            </w:r>
          </w:p>
        </w:tc>
        <w:tc>
          <w:tcPr>
            <w:tcW w:w="0" w:type="dxa"/>
            <w:vAlign w:val="bottom"/>
          </w:tcPr>
          <w:p>
            <w:pPr>
              <w:spacing w:after="0"/>
              <w:rPr>
                <w:sz w:val="1"/>
                <w:szCs w:val="1"/>
                <w:color w:val="auto"/>
              </w:rPr>
            </w:pPr>
          </w:p>
        </w:tc>
      </w:tr>
      <w:tr>
        <w:trPr>
          <w:trHeight w:val="148"/>
        </w:trPr>
        <w:tc>
          <w:tcPr>
            <w:tcW w:w="70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735,698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220,547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1,284,012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437,750</w:t>
            </w:r>
          </w:p>
        </w:tc>
        <w:tc>
          <w:tcPr>
            <w:tcW w:w="0" w:type="dxa"/>
            <w:vAlign w:val="bottom"/>
          </w:tcPr>
          <w:p>
            <w:pPr>
              <w:spacing w:after="0"/>
              <w:rPr>
                <w:sz w:val="1"/>
                <w:szCs w:val="1"/>
                <w:color w:val="auto"/>
              </w:rPr>
            </w:pPr>
          </w:p>
        </w:tc>
      </w:tr>
      <w:tr>
        <w:trPr>
          <w:trHeight w:val="155"/>
        </w:trPr>
        <w:tc>
          <w:tcPr>
            <w:tcW w:w="704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Expenses before provision for taxes and amendment costs</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4,081,588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3,417,180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6,844,388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5,315,454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Provision for taxes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220,000</w:t>
            </w:r>
          </w:p>
        </w:tc>
        <w:tc>
          <w:tcPr>
            <w:tcW w:w="0" w:type="dxa"/>
            <w:vAlign w:val="bottom"/>
          </w:tcPr>
          <w:p>
            <w:pPr>
              <w:spacing w:after="0"/>
              <w:rPr>
                <w:sz w:val="1"/>
                <w:szCs w:val="1"/>
                <w:color w:val="auto"/>
              </w:rPr>
            </w:pPr>
          </w:p>
        </w:tc>
      </w:tr>
      <w:tr>
        <w:trPr>
          <w:trHeight w:val="155"/>
        </w:trPr>
        <w:tc>
          <w:tcPr>
            <w:tcW w:w="7040" w:type="dxa"/>
            <w:vAlign w:val="bottom"/>
          </w:tcPr>
          <w:p>
            <w:pPr>
              <w:ind w:left="300"/>
              <w:spacing w:after="0" w:line="149" w:lineRule="exact"/>
              <w:rPr>
                <w:sz w:val="20"/>
                <w:szCs w:val="20"/>
                <w:color w:val="auto"/>
              </w:rPr>
            </w:pPr>
            <w:r>
              <w:rPr>
                <w:rFonts w:ascii="Arial" w:cs="Arial" w:eastAsia="Arial" w:hAnsi="Arial"/>
                <w:sz w:val="14"/>
                <w:szCs w:val="14"/>
                <w:color w:val="auto"/>
              </w:rPr>
              <w:t>Credit Facility amendment costs (See Notes 5 and 10)</w:t>
            </w: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907,722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expenses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4,081,588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3,527,180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7,752,110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5,535,454</w:t>
            </w:r>
          </w:p>
        </w:tc>
        <w:tc>
          <w:tcPr>
            <w:tcW w:w="0" w:type="dxa"/>
            <w:vAlign w:val="bottom"/>
          </w:tcPr>
          <w:p>
            <w:pPr>
              <w:spacing w:after="0"/>
              <w:rPr>
                <w:sz w:val="1"/>
                <w:szCs w:val="1"/>
                <w:color w:val="auto"/>
              </w:rPr>
            </w:pPr>
          </w:p>
        </w:tc>
      </w:tr>
      <w:tr>
        <w:trPr>
          <w:trHeight w:val="163"/>
        </w:trPr>
        <w:tc>
          <w:tcPr>
            <w:tcW w:w="7040" w:type="dxa"/>
            <w:vAlign w:val="bottom"/>
          </w:tcPr>
          <w:p>
            <w:pPr>
              <w:ind w:left="300"/>
              <w:spacing w:after="0" w:line="155" w:lineRule="exact"/>
              <w:rPr>
                <w:sz w:val="20"/>
                <w:szCs w:val="20"/>
                <w:color w:val="auto"/>
              </w:rPr>
            </w:pPr>
            <w:r>
              <w:rPr>
                <w:rFonts w:ascii="Arial" w:cs="Arial" w:eastAsia="Arial" w:hAnsi="Arial"/>
                <w:sz w:val="14"/>
                <w:szCs w:val="14"/>
                <w:color w:val="auto"/>
              </w:rPr>
              <w:t>Net investment income</w:t>
            </w: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7,264,717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4,456,079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12,350,675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9,924,525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(loss) gain on investments and Credit Facility:</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40" w:type="dxa"/>
            <w:vAlign w:val="bottom"/>
          </w:tcPr>
          <w:p>
            <w:pPr>
              <w:spacing w:after="0" w:line="149" w:lineRule="exact"/>
              <w:rPr>
                <w:sz w:val="20"/>
                <w:szCs w:val="20"/>
                <w:color w:val="auto"/>
              </w:rPr>
            </w:pPr>
            <w:r>
              <w:rPr>
                <w:rFonts w:ascii="Arial" w:cs="Arial" w:eastAsia="Arial" w:hAnsi="Arial"/>
                <w:sz w:val="14"/>
                <w:szCs w:val="14"/>
                <w:color w:val="auto"/>
              </w:rPr>
              <w:t>Net realized gain (loss) on non-controlled, non-affiliated investments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1,068,288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598,843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(2,163,720)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424,854</w:t>
            </w:r>
          </w:p>
        </w:tc>
        <w:tc>
          <w:tcPr>
            <w:tcW w:w="0" w:type="dxa"/>
            <w:vAlign w:val="bottom"/>
          </w:tcPr>
          <w:p>
            <w:pPr>
              <w:spacing w:after="0"/>
              <w:rPr>
                <w:sz w:val="1"/>
                <w:szCs w:val="1"/>
                <w:color w:val="auto"/>
              </w:rPr>
            </w:pPr>
          </w:p>
        </w:tc>
      </w:tr>
      <w:tr>
        <w:trPr>
          <w:trHeight w:val="148"/>
        </w:trPr>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(depreciation) appreciation on:</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40" w:type="dxa"/>
            <w:vAlign w:val="bottom"/>
          </w:tcPr>
          <w:p>
            <w:pPr>
              <w:ind w:left="300"/>
              <w:spacing w:after="0" w:line="149" w:lineRule="exact"/>
              <w:rPr>
                <w:sz w:val="20"/>
                <w:szCs w:val="20"/>
                <w:color w:val="auto"/>
              </w:rPr>
            </w:pPr>
            <w:r>
              <w:rPr>
                <w:rFonts w:ascii="Arial" w:cs="Arial" w:eastAsia="Arial" w:hAnsi="Arial"/>
                <w:sz w:val="14"/>
                <w:szCs w:val="14"/>
                <w:color w:val="auto"/>
              </w:rPr>
              <w:t>Non-controlled, non-affiliated investments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(5,510,037)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854,690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(6,218,983)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(4,042,440)</w:t>
            </w:r>
          </w:p>
        </w:tc>
        <w:tc>
          <w:tcPr>
            <w:tcW w:w="0" w:type="dxa"/>
            <w:vAlign w:val="bottom"/>
          </w:tcPr>
          <w:p>
            <w:pPr>
              <w:spacing w:after="0"/>
              <w:rPr>
                <w:sz w:val="1"/>
                <w:szCs w:val="1"/>
                <w:color w:val="auto"/>
              </w:rPr>
            </w:pPr>
          </w:p>
        </w:tc>
      </w:tr>
      <w:tr>
        <w:trPr>
          <w:trHeight w:val="148"/>
        </w:trPr>
        <w:tc>
          <w:tcPr>
            <w:tcW w:w="70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Credit Facility (appreciation) depreciation (See Note 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(386,792)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214,875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215,083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255,750</w:t>
            </w:r>
          </w:p>
        </w:tc>
        <w:tc>
          <w:tcPr>
            <w:tcW w:w="0" w:type="dxa"/>
            <w:vAlign w:val="bottom"/>
          </w:tcPr>
          <w:p>
            <w:pPr>
              <w:spacing w:after="0"/>
              <w:rPr>
                <w:sz w:val="1"/>
                <w:szCs w:val="1"/>
                <w:color w:val="auto"/>
              </w:rPr>
            </w:pPr>
          </w:p>
        </w:tc>
      </w:tr>
      <w:tr>
        <w:trPr>
          <w:trHeight w:val="163"/>
        </w:trPr>
        <w:tc>
          <w:tcPr>
            <w:tcW w:w="704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change in unrealized (depreciation) appreciation on investments and Credit Facility</w:t>
            </w: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(5,896,829)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1,069,565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(6,003,900)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(3,786,690)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realized and unrealized (loss) gain from investments and Credit Facility</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(4,828,541)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1,668,408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(8,167,620)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(3,361,836)</w:t>
            </w:r>
          </w:p>
        </w:tc>
        <w:tc>
          <w:tcPr>
            <w:tcW w:w="0" w:type="dxa"/>
            <w:vAlign w:val="bottom"/>
          </w:tcPr>
          <w:p>
            <w:pPr>
              <w:spacing w:after="0"/>
              <w:rPr>
                <w:sz w:val="1"/>
                <w:szCs w:val="1"/>
                <w:color w:val="auto"/>
              </w:rPr>
            </w:pPr>
          </w:p>
        </w:tc>
      </w:tr>
      <w:tr>
        <w:trPr>
          <w:trHeight w:val="156"/>
        </w:trPr>
        <w:tc>
          <w:tcPr>
            <w:tcW w:w="704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2,436,176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6,124,487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4,183,055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6,562,689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0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increase in net assets resulting from operations per common share (See Note 7)</w:t>
            </w:r>
          </w:p>
        </w:tc>
        <w:tc>
          <w:tcPr>
            <w:tcW w:w="180" w:type="dxa"/>
            <w:vAlign w:val="bottom"/>
            <w:gridSpan w:val="2"/>
            <w:shd w:val="clear" w:color="auto" w:fill="CCEEFF"/>
          </w:tcPr>
          <w:p>
            <w:pPr>
              <w:jc w:val="right"/>
              <w:ind w:right="42"/>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0.09</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0.41</w:t>
            </w:r>
          </w:p>
        </w:tc>
        <w:tc>
          <w:tcPr>
            <w:tcW w:w="2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0.16</w:t>
            </w:r>
          </w:p>
        </w:tc>
        <w:tc>
          <w:tcPr>
            <w:tcW w:w="2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04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0.27</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Pr>
          <w:p>
            <w:pPr>
              <w:spacing w:after="0"/>
              <w:rPr>
                <w:sz w:val="14"/>
                <w:szCs w:val="14"/>
                <w:color w:val="auto"/>
              </w:rPr>
            </w:pPr>
          </w:p>
        </w:tc>
        <w:tc>
          <w:tcPr>
            <w:tcW w:w="198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5"/>
              </w:rPr>
              <w:t>Six Months Ended March 31,</w:t>
            </w:r>
          </w:p>
        </w:tc>
        <w:tc>
          <w:tcPr>
            <w:tcW w:w="0" w:type="dxa"/>
            <w:vAlign w:val="bottom"/>
          </w:tcPr>
          <w:p>
            <w:pPr>
              <w:spacing w:after="0"/>
              <w:rPr>
                <w:sz w:val="1"/>
                <w:szCs w:val="1"/>
                <w:color w:val="auto"/>
              </w:rPr>
            </w:pPr>
          </w:p>
        </w:tc>
      </w:tr>
      <w:tr>
        <w:trPr>
          <w:trHeight w:val="142"/>
        </w:trPr>
        <w:tc>
          <w:tcPr>
            <w:tcW w:w="9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92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in net assets from operations:</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60" w:type="dxa"/>
            <w:vAlign w:val="bottom"/>
          </w:tcPr>
          <w:p>
            <w:pPr>
              <w:ind w:left="300"/>
              <w:spacing w:after="0" w:line="149" w:lineRule="exact"/>
              <w:rPr>
                <w:sz w:val="20"/>
                <w:szCs w:val="20"/>
                <w:color w:val="auto"/>
              </w:rPr>
            </w:pPr>
            <w:r>
              <w:rPr>
                <w:rFonts w:ascii="Arial" w:cs="Arial" w:eastAsia="Arial" w:hAnsi="Arial"/>
                <w:sz w:val="14"/>
                <w:szCs w:val="14"/>
                <w:color w:val="auto"/>
              </w:rPr>
              <w:t>Net investment income</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12,350,675</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9,924,525</w:t>
            </w:r>
          </w:p>
        </w:tc>
        <w:tc>
          <w:tcPr>
            <w:tcW w:w="0" w:type="dxa"/>
            <w:vAlign w:val="bottom"/>
          </w:tcPr>
          <w:p>
            <w:pPr>
              <w:spacing w:after="0"/>
              <w:rPr>
                <w:sz w:val="1"/>
                <w:szCs w:val="1"/>
                <w:color w:val="auto"/>
              </w:rPr>
            </w:pPr>
          </w:p>
        </w:tc>
      </w:tr>
      <w:tr>
        <w:trPr>
          <w:trHeight w:val="148"/>
        </w:trPr>
        <w:tc>
          <w:tcPr>
            <w:tcW w:w="9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realized (loss) gain on investments</w:t>
            </w:r>
          </w:p>
        </w:tc>
        <w:tc>
          <w:tcPr>
            <w:tcW w:w="1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(2,163,720)</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424,854</w:t>
            </w:r>
          </w:p>
        </w:tc>
        <w:tc>
          <w:tcPr>
            <w:tcW w:w="0" w:type="dxa"/>
            <w:vAlign w:val="bottom"/>
          </w:tcPr>
          <w:p>
            <w:pPr>
              <w:spacing w:after="0"/>
              <w:rPr>
                <w:sz w:val="1"/>
                <w:szCs w:val="1"/>
                <w:color w:val="auto"/>
              </w:rPr>
            </w:pPr>
          </w:p>
        </w:tc>
      </w:tr>
      <w:tr>
        <w:trPr>
          <w:trHeight w:val="148"/>
        </w:trPr>
        <w:tc>
          <w:tcPr>
            <w:tcW w:w="9260" w:type="dxa"/>
            <w:vAlign w:val="bottom"/>
          </w:tcPr>
          <w:p>
            <w:pPr>
              <w:ind w:left="300"/>
              <w:spacing w:after="0" w:line="149" w:lineRule="exact"/>
              <w:rPr>
                <w:sz w:val="20"/>
                <w:szCs w:val="20"/>
                <w:color w:val="auto"/>
              </w:rPr>
            </w:pPr>
            <w:r>
              <w:rPr>
                <w:rFonts w:ascii="Arial" w:cs="Arial" w:eastAsia="Arial" w:hAnsi="Arial"/>
                <w:sz w:val="14"/>
                <w:szCs w:val="14"/>
                <w:color w:val="auto"/>
              </w:rPr>
              <w:t>Net change in unrealized depreciation on investments</w:t>
            </w:r>
          </w:p>
        </w:tc>
        <w:tc>
          <w:tcPr>
            <w:tcW w:w="100" w:type="dxa"/>
            <w:vAlign w:val="bottom"/>
          </w:tcPr>
          <w:p>
            <w:pPr>
              <w:spacing w:after="0"/>
              <w:rPr>
                <w:sz w:val="12"/>
                <w:szCs w:val="12"/>
                <w:color w:val="auto"/>
              </w:rPr>
            </w:pP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(6,218,983)</w:t>
            </w:r>
          </w:p>
        </w:tc>
        <w:tc>
          <w:tcPr>
            <w:tcW w:w="10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(4,042,440)</w:t>
            </w:r>
          </w:p>
        </w:tc>
        <w:tc>
          <w:tcPr>
            <w:tcW w:w="0" w:type="dxa"/>
            <w:vAlign w:val="bottom"/>
          </w:tcPr>
          <w:p>
            <w:pPr>
              <w:spacing w:after="0"/>
              <w:rPr>
                <w:sz w:val="1"/>
                <w:szCs w:val="1"/>
                <w:color w:val="auto"/>
              </w:rPr>
            </w:pPr>
          </w:p>
        </w:tc>
      </w:tr>
      <w:tr>
        <w:trPr>
          <w:trHeight w:val="149"/>
        </w:trPr>
        <w:tc>
          <w:tcPr>
            <w:tcW w:w="9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change in unrealized depreciation on Credit Facility</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215,083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255,750</w:t>
            </w:r>
          </w:p>
        </w:tc>
        <w:tc>
          <w:tcPr>
            <w:tcW w:w="0" w:type="dxa"/>
            <w:vAlign w:val="bottom"/>
          </w:tcPr>
          <w:p>
            <w:pPr>
              <w:spacing w:after="0"/>
              <w:rPr>
                <w:sz w:val="1"/>
                <w:szCs w:val="1"/>
                <w:color w:val="auto"/>
              </w:rPr>
            </w:pPr>
          </w:p>
        </w:tc>
      </w:tr>
      <w:tr>
        <w:trPr>
          <w:trHeight w:val="163"/>
        </w:trPr>
        <w:tc>
          <w:tcPr>
            <w:tcW w:w="926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4,183,055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6,562,689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1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(15,236,142)</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(8,119,441)</w:t>
            </w:r>
          </w:p>
        </w:tc>
        <w:tc>
          <w:tcPr>
            <w:tcW w:w="0" w:type="dxa"/>
            <w:vAlign w:val="bottom"/>
          </w:tcPr>
          <w:p>
            <w:pPr>
              <w:spacing w:after="0"/>
              <w:rPr>
                <w:sz w:val="1"/>
                <w:szCs w:val="1"/>
                <w:color w:val="auto"/>
              </w:rPr>
            </w:pPr>
          </w:p>
        </w:tc>
      </w:tr>
      <w:tr>
        <w:trPr>
          <w:trHeight w:val="163"/>
        </w:trPr>
        <w:tc>
          <w:tcPr>
            <w:tcW w:w="9260" w:type="dxa"/>
            <w:vAlign w:val="bottom"/>
          </w:tcPr>
          <w:p>
            <w:pPr>
              <w:spacing w:after="0" w:line="155" w:lineRule="exact"/>
              <w:rPr>
                <w:sz w:val="20"/>
                <w:szCs w:val="20"/>
                <w:color w:val="auto"/>
              </w:rPr>
            </w:pPr>
            <w:r>
              <w:rPr>
                <w:rFonts w:ascii="Arial" w:cs="Arial" w:eastAsia="Arial" w:hAnsi="Arial"/>
                <w:sz w:val="14"/>
                <w:szCs w:val="14"/>
                <w:b w:val="1"/>
                <w:bCs w:val="1"/>
                <w:color w:val="auto"/>
              </w:rPr>
              <w:t>Net decrease in net assets</w:t>
            </w: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(11,053,087)</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(1,556,752)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60" w:type="dxa"/>
            <w:vAlign w:val="bottom"/>
          </w:tcPr>
          <w:p>
            <w:pPr>
              <w:ind w:left="300"/>
              <w:spacing w:after="0" w:line="149" w:lineRule="exact"/>
              <w:rPr>
                <w:sz w:val="20"/>
                <w:szCs w:val="20"/>
                <w:color w:val="auto"/>
              </w:rPr>
            </w:pPr>
            <w:r>
              <w:rPr>
                <w:rFonts w:ascii="Arial" w:cs="Arial" w:eastAsia="Arial" w:hAnsi="Arial"/>
                <w:sz w:val="14"/>
                <w:szCs w:val="14"/>
                <w:color w:val="auto"/>
              </w:rPr>
              <w:t>Beginning of period</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372,890,449</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2"/>
              </w:rPr>
              <w:t>214,527,710</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End of period</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361,837,362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2"/>
              </w:rPr>
              <w:t>212,970,958</w:t>
            </w:r>
          </w:p>
        </w:tc>
        <w:tc>
          <w:tcPr>
            <w:tcW w:w="0" w:type="dxa"/>
            <w:vAlign w:val="bottom"/>
          </w:tcPr>
          <w:p>
            <w:pPr>
              <w:spacing w:after="0"/>
              <w:rPr>
                <w:sz w:val="1"/>
                <w:szCs w:val="1"/>
                <w:color w:val="auto"/>
              </w:rPr>
            </w:pPr>
          </w:p>
        </w:tc>
      </w:tr>
      <w:tr>
        <w:trPr>
          <w:trHeight w:val="20"/>
        </w:trPr>
        <w:tc>
          <w:tcPr>
            <w:tcW w:w="9260" w:type="dxa"/>
            <w:vAlign w:val="bottom"/>
            <w:vMerge w:val="restart"/>
          </w:tcPr>
          <w:p>
            <w:pPr>
              <w:ind w:left="300"/>
              <w:spacing w:after="0"/>
              <w:rPr>
                <w:sz w:val="20"/>
                <w:szCs w:val="20"/>
                <w:color w:val="auto"/>
              </w:rPr>
            </w:pPr>
            <w:r>
              <w:rPr>
                <w:rFonts w:ascii="Arial" w:cs="Arial" w:eastAsia="Arial" w:hAnsi="Arial"/>
                <w:sz w:val="14"/>
                <w:szCs w:val="14"/>
                <w:color w:val="auto"/>
              </w:rPr>
              <w:t>Undistributed net investment income, end of period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260" w:type="dxa"/>
            <w:vAlign w:val="bottom"/>
            <w:vMerge w:val="continue"/>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4,106,006</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6,683,175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5"/>
              </w:rPr>
              <w:t>Six Months Ended March 31,</w:t>
            </w:r>
          </w:p>
        </w:tc>
        <w:tc>
          <w:tcPr>
            <w:tcW w:w="0" w:type="dxa"/>
            <w:vAlign w:val="bottom"/>
          </w:tcPr>
          <w:p>
            <w:pPr>
              <w:spacing w:after="0"/>
              <w:rPr>
                <w:sz w:val="1"/>
                <w:szCs w:val="1"/>
                <w:color w:val="auto"/>
              </w:rPr>
            </w:pPr>
          </w:p>
        </w:tc>
      </w:tr>
      <w:tr>
        <w:trPr>
          <w:trHeight w:val="142"/>
        </w:trPr>
        <w:tc>
          <w:tcPr>
            <w:tcW w:w="9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91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100" w:type="dxa"/>
            <w:vAlign w:val="bottom"/>
          </w:tcPr>
          <w:p>
            <w:pPr>
              <w:ind w:left="440"/>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4,183,055</w:t>
            </w:r>
          </w:p>
        </w:tc>
        <w:tc>
          <w:tcPr>
            <w:tcW w:w="16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6,562,689</w:t>
            </w:r>
          </w:p>
        </w:tc>
        <w:tc>
          <w:tcPr>
            <w:tcW w:w="0" w:type="dxa"/>
            <w:vAlign w:val="bottom"/>
          </w:tcPr>
          <w:p>
            <w:pPr>
              <w:spacing w:after="0"/>
              <w:rPr>
                <w:sz w:val="1"/>
                <w:szCs w:val="1"/>
                <w:color w:val="auto"/>
              </w:rPr>
            </w:pPr>
          </w:p>
        </w:tc>
      </w:tr>
      <w:tr>
        <w:trPr>
          <w:trHeight w:val="148"/>
        </w:trPr>
        <w:tc>
          <w:tcPr>
            <w:tcW w:w="9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Adjustments to reconcile net increase in net assets resulting from operations to net cash (used) provided by operating activities: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100" w:type="dxa"/>
            <w:vAlign w:val="bottom"/>
          </w:tcPr>
          <w:p>
            <w:pPr>
              <w:ind w:left="880"/>
              <w:spacing w:after="0" w:line="149" w:lineRule="exact"/>
              <w:rPr>
                <w:sz w:val="20"/>
                <w:szCs w:val="20"/>
                <w:color w:val="auto"/>
              </w:rPr>
            </w:pPr>
            <w:r>
              <w:rPr>
                <w:rFonts w:ascii="Arial" w:cs="Arial" w:eastAsia="Arial" w:hAnsi="Arial"/>
                <w:sz w:val="14"/>
                <w:szCs w:val="14"/>
                <w:color w:val="auto"/>
              </w:rPr>
              <w:t>Net change in unrealized depreciation on investments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6,218,983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4,042,440</w:t>
            </w:r>
          </w:p>
        </w:tc>
        <w:tc>
          <w:tcPr>
            <w:tcW w:w="0" w:type="dxa"/>
            <w:vAlign w:val="bottom"/>
          </w:tcPr>
          <w:p>
            <w:pPr>
              <w:spacing w:after="0"/>
              <w:rPr>
                <w:sz w:val="1"/>
                <w:szCs w:val="1"/>
                <w:color w:val="auto"/>
              </w:rPr>
            </w:pPr>
          </w:p>
        </w:tc>
      </w:tr>
      <w:tr>
        <w:trPr>
          <w:trHeight w:val="149"/>
        </w:trPr>
        <w:tc>
          <w:tcPr>
            <w:tcW w:w="91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change in unrealized depreciation on Credit Facility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(215,083)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(255,750)</w:t>
            </w:r>
          </w:p>
        </w:tc>
        <w:tc>
          <w:tcPr>
            <w:tcW w:w="0" w:type="dxa"/>
            <w:vAlign w:val="bottom"/>
          </w:tcPr>
          <w:p>
            <w:pPr>
              <w:spacing w:after="0"/>
              <w:rPr>
                <w:sz w:val="1"/>
                <w:szCs w:val="1"/>
                <w:color w:val="auto"/>
              </w:rPr>
            </w:pPr>
          </w:p>
        </w:tc>
      </w:tr>
      <w:tr>
        <w:trPr>
          <w:trHeight w:val="148"/>
        </w:trPr>
        <w:tc>
          <w:tcPr>
            <w:tcW w:w="9100" w:type="dxa"/>
            <w:vAlign w:val="bottom"/>
          </w:tcPr>
          <w:p>
            <w:pPr>
              <w:ind w:left="880"/>
              <w:spacing w:after="0" w:line="149" w:lineRule="exact"/>
              <w:rPr>
                <w:sz w:val="20"/>
                <w:szCs w:val="20"/>
                <w:color w:val="auto"/>
              </w:rPr>
            </w:pPr>
            <w:r>
              <w:rPr>
                <w:rFonts w:ascii="Arial" w:cs="Arial" w:eastAsia="Arial" w:hAnsi="Arial"/>
                <w:sz w:val="14"/>
                <w:szCs w:val="14"/>
                <w:color w:val="auto"/>
              </w:rPr>
              <w:t>Net realized loss (gain) on investments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2,163,720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(424,854)</w:t>
            </w:r>
          </w:p>
        </w:tc>
        <w:tc>
          <w:tcPr>
            <w:tcW w:w="0" w:type="dxa"/>
            <w:vAlign w:val="bottom"/>
          </w:tcPr>
          <w:p>
            <w:pPr>
              <w:spacing w:after="0"/>
              <w:rPr>
                <w:sz w:val="1"/>
                <w:szCs w:val="1"/>
                <w:color w:val="auto"/>
              </w:rPr>
            </w:pPr>
          </w:p>
        </w:tc>
      </w:tr>
      <w:tr>
        <w:trPr>
          <w:trHeight w:val="148"/>
        </w:trPr>
        <w:tc>
          <w:tcPr>
            <w:tcW w:w="91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(764,619)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(639,080)</w:t>
            </w:r>
          </w:p>
        </w:tc>
        <w:tc>
          <w:tcPr>
            <w:tcW w:w="0" w:type="dxa"/>
            <w:vAlign w:val="bottom"/>
          </w:tcPr>
          <w:p>
            <w:pPr>
              <w:spacing w:after="0"/>
              <w:rPr>
                <w:sz w:val="1"/>
                <w:szCs w:val="1"/>
                <w:color w:val="auto"/>
              </w:rPr>
            </w:pPr>
          </w:p>
        </w:tc>
      </w:tr>
      <w:tr>
        <w:trPr>
          <w:trHeight w:val="148"/>
        </w:trPr>
        <w:tc>
          <w:tcPr>
            <w:tcW w:w="9100" w:type="dxa"/>
            <w:vAlign w:val="bottom"/>
          </w:tcPr>
          <w:p>
            <w:pPr>
              <w:ind w:left="880"/>
              <w:spacing w:after="0" w:line="149" w:lineRule="exact"/>
              <w:rPr>
                <w:sz w:val="20"/>
                <w:szCs w:val="20"/>
                <w:color w:val="auto"/>
              </w:rPr>
            </w:pPr>
            <w:r>
              <w:rPr>
                <w:rFonts w:ascii="Arial" w:cs="Arial" w:eastAsia="Arial" w:hAnsi="Arial"/>
                <w:sz w:val="14"/>
                <w:szCs w:val="14"/>
                <w:color w:val="auto"/>
              </w:rPr>
              <w:t>Purchases of investments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4"/>
              </w:rPr>
              <w:t>(156,467,790)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8"/>
              </w:rPr>
              <w:t>(85,391,682)</w:t>
            </w:r>
          </w:p>
        </w:tc>
        <w:tc>
          <w:tcPr>
            <w:tcW w:w="0" w:type="dxa"/>
            <w:vAlign w:val="bottom"/>
          </w:tcPr>
          <w:p>
            <w:pPr>
              <w:spacing w:after="0"/>
              <w:rPr>
                <w:sz w:val="1"/>
                <w:szCs w:val="1"/>
                <w:color w:val="auto"/>
              </w:rPr>
            </w:pPr>
          </w:p>
        </w:tc>
      </w:tr>
      <w:tr>
        <w:trPr>
          <w:trHeight w:val="148"/>
        </w:trPr>
        <w:tc>
          <w:tcPr>
            <w:tcW w:w="91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Payment-in-kind interest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(35,508)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(307,588)</w:t>
            </w:r>
          </w:p>
        </w:tc>
        <w:tc>
          <w:tcPr>
            <w:tcW w:w="0" w:type="dxa"/>
            <w:vAlign w:val="bottom"/>
          </w:tcPr>
          <w:p>
            <w:pPr>
              <w:spacing w:after="0"/>
              <w:rPr>
                <w:sz w:val="1"/>
                <w:szCs w:val="1"/>
                <w:color w:val="auto"/>
              </w:rPr>
            </w:pPr>
          </w:p>
        </w:tc>
      </w:tr>
      <w:tr>
        <w:trPr>
          <w:trHeight w:val="149"/>
        </w:trPr>
        <w:tc>
          <w:tcPr>
            <w:tcW w:w="9100" w:type="dxa"/>
            <w:vAlign w:val="bottom"/>
          </w:tcPr>
          <w:p>
            <w:pPr>
              <w:ind w:left="88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56,804,571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92,918,833</w:t>
            </w:r>
          </w:p>
        </w:tc>
        <w:tc>
          <w:tcPr>
            <w:tcW w:w="0" w:type="dxa"/>
            <w:vAlign w:val="bottom"/>
          </w:tcPr>
          <w:p>
            <w:pPr>
              <w:spacing w:after="0"/>
              <w:rPr>
                <w:sz w:val="1"/>
                <w:szCs w:val="1"/>
                <w:color w:val="auto"/>
              </w:rPr>
            </w:pPr>
          </w:p>
        </w:tc>
      </w:tr>
      <w:tr>
        <w:trPr>
          <w:trHeight w:val="148"/>
        </w:trPr>
        <w:tc>
          <w:tcPr>
            <w:tcW w:w="91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in interest receivable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(229,543)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(158,980)</w:t>
            </w:r>
          </w:p>
        </w:tc>
        <w:tc>
          <w:tcPr>
            <w:tcW w:w="0" w:type="dxa"/>
            <w:vAlign w:val="bottom"/>
          </w:tcPr>
          <w:p>
            <w:pPr>
              <w:spacing w:after="0"/>
              <w:rPr>
                <w:sz w:val="1"/>
                <w:szCs w:val="1"/>
                <w:color w:val="auto"/>
              </w:rPr>
            </w:pPr>
          </w:p>
        </w:tc>
      </w:tr>
      <w:tr>
        <w:trPr>
          <w:trHeight w:val="148"/>
        </w:trPr>
        <w:tc>
          <w:tcPr>
            <w:tcW w:w="9100" w:type="dxa"/>
            <w:vAlign w:val="bottom"/>
          </w:tcPr>
          <w:p>
            <w:pPr>
              <w:ind w:left="880"/>
              <w:spacing w:after="0" w:line="149" w:lineRule="exact"/>
              <w:rPr>
                <w:sz w:val="20"/>
                <w:szCs w:val="20"/>
                <w:color w:val="auto"/>
              </w:rPr>
            </w:pPr>
            <w:r>
              <w:rPr>
                <w:rFonts w:ascii="Arial" w:cs="Arial" w:eastAsia="Arial" w:hAnsi="Arial"/>
                <w:sz w:val="14"/>
                <w:szCs w:val="14"/>
                <w:color w:val="auto"/>
              </w:rPr>
              <w:t>Decrease in receivable for investments sold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2,500,063</w:t>
            </w:r>
          </w:p>
        </w:tc>
        <w:tc>
          <w:tcPr>
            <w:tcW w:w="0" w:type="dxa"/>
            <w:vAlign w:val="bottom"/>
          </w:tcPr>
          <w:p>
            <w:pPr>
              <w:spacing w:after="0"/>
              <w:rPr>
                <w:sz w:val="1"/>
                <w:szCs w:val="1"/>
                <w:color w:val="auto"/>
              </w:rPr>
            </w:pPr>
          </w:p>
        </w:tc>
      </w:tr>
      <w:tr>
        <w:trPr>
          <w:trHeight w:val="148"/>
        </w:trPr>
        <w:tc>
          <w:tcPr>
            <w:tcW w:w="91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(increase) in prepaid expenses and other 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339,328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(22,330)</w:t>
            </w:r>
          </w:p>
        </w:tc>
        <w:tc>
          <w:tcPr>
            <w:tcW w:w="0" w:type="dxa"/>
            <w:vAlign w:val="bottom"/>
          </w:tcPr>
          <w:p>
            <w:pPr>
              <w:spacing w:after="0"/>
              <w:rPr>
                <w:sz w:val="1"/>
                <w:szCs w:val="1"/>
                <w:color w:val="auto"/>
              </w:rPr>
            </w:pPr>
          </w:p>
        </w:tc>
      </w:tr>
      <w:tr>
        <w:trPr>
          <w:trHeight w:val="148"/>
        </w:trPr>
        <w:tc>
          <w:tcPr>
            <w:tcW w:w="9100" w:type="dxa"/>
            <w:vAlign w:val="bottom"/>
          </w:tcPr>
          <w:p>
            <w:pPr>
              <w:ind w:left="880"/>
              <w:spacing w:after="0" w:line="149" w:lineRule="exact"/>
              <w:rPr>
                <w:sz w:val="20"/>
                <w:szCs w:val="20"/>
                <w:color w:val="auto"/>
              </w:rPr>
            </w:pPr>
            <w:r>
              <w:rPr>
                <w:rFonts w:ascii="Arial" w:cs="Arial" w:eastAsia="Arial" w:hAnsi="Arial"/>
                <w:sz w:val="14"/>
                <w:szCs w:val="14"/>
                <w:color w:val="auto"/>
              </w:rPr>
              <w:t>(Decrease) increase in payable for investments purchased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(4,143,594)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16,377,850</w:t>
            </w:r>
          </w:p>
        </w:tc>
        <w:tc>
          <w:tcPr>
            <w:tcW w:w="0" w:type="dxa"/>
            <w:vAlign w:val="bottom"/>
          </w:tcPr>
          <w:p>
            <w:pPr>
              <w:spacing w:after="0"/>
              <w:rPr>
                <w:sz w:val="1"/>
                <w:szCs w:val="1"/>
                <w:color w:val="auto"/>
              </w:rPr>
            </w:pPr>
          </w:p>
        </w:tc>
      </w:tr>
      <w:tr>
        <w:trPr>
          <w:trHeight w:val="149"/>
        </w:trPr>
        <w:tc>
          <w:tcPr>
            <w:tcW w:w="91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(decrease) in interest payable on Credit Facility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155,001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(21,061)</w:t>
            </w:r>
          </w:p>
        </w:tc>
        <w:tc>
          <w:tcPr>
            <w:tcW w:w="0" w:type="dxa"/>
            <w:vAlign w:val="bottom"/>
          </w:tcPr>
          <w:p>
            <w:pPr>
              <w:spacing w:after="0"/>
              <w:rPr>
                <w:sz w:val="1"/>
                <w:szCs w:val="1"/>
                <w:color w:val="auto"/>
              </w:rPr>
            </w:pPr>
          </w:p>
        </w:tc>
      </w:tr>
      <w:tr>
        <w:trPr>
          <w:trHeight w:val="148"/>
        </w:trPr>
        <w:tc>
          <w:tcPr>
            <w:tcW w:w="9100" w:type="dxa"/>
            <w:vAlign w:val="bottom"/>
          </w:tcPr>
          <w:p>
            <w:pPr>
              <w:ind w:left="880"/>
              <w:spacing w:after="0" w:line="149" w:lineRule="exact"/>
              <w:rPr>
                <w:sz w:val="20"/>
                <w:szCs w:val="20"/>
                <w:color w:val="auto"/>
              </w:rPr>
            </w:pPr>
            <w:r>
              <w:rPr>
                <w:rFonts w:ascii="Arial" w:cs="Arial" w:eastAsia="Arial" w:hAnsi="Arial"/>
                <w:sz w:val="14"/>
                <w:szCs w:val="14"/>
                <w:color w:val="auto"/>
              </w:rPr>
              <w:t>Increase (decrease) in management fee payable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225,000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(63,802)</w:t>
            </w:r>
          </w:p>
        </w:tc>
        <w:tc>
          <w:tcPr>
            <w:tcW w:w="0" w:type="dxa"/>
            <w:vAlign w:val="bottom"/>
          </w:tcPr>
          <w:p>
            <w:pPr>
              <w:spacing w:after="0"/>
              <w:rPr>
                <w:sz w:val="1"/>
                <w:szCs w:val="1"/>
                <w:color w:val="auto"/>
              </w:rPr>
            </w:pPr>
          </w:p>
        </w:tc>
      </w:tr>
      <w:tr>
        <w:trPr>
          <w:trHeight w:val="148"/>
        </w:trPr>
        <w:tc>
          <w:tcPr>
            <w:tcW w:w="91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(decrease) in performance-based incentive fee payable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838,944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(704,960)</w:t>
            </w:r>
          </w:p>
        </w:tc>
        <w:tc>
          <w:tcPr>
            <w:tcW w:w="0" w:type="dxa"/>
            <w:vAlign w:val="bottom"/>
          </w:tcPr>
          <w:p>
            <w:pPr>
              <w:spacing w:after="0"/>
              <w:rPr>
                <w:sz w:val="1"/>
                <w:szCs w:val="1"/>
                <w:color w:val="auto"/>
              </w:rPr>
            </w:pPr>
          </w:p>
        </w:tc>
      </w:tr>
      <w:tr>
        <w:trPr>
          <w:trHeight w:val="148"/>
        </w:trPr>
        <w:tc>
          <w:tcPr>
            <w:tcW w:w="9100" w:type="dxa"/>
            <w:vAlign w:val="bottom"/>
          </w:tcPr>
          <w:p>
            <w:pPr>
              <w:ind w:left="880"/>
              <w:spacing w:after="0" w:line="149" w:lineRule="exact"/>
              <w:rPr>
                <w:sz w:val="20"/>
                <w:szCs w:val="20"/>
                <w:color w:val="auto"/>
              </w:rPr>
            </w:pPr>
            <w:r>
              <w:rPr>
                <w:rFonts w:ascii="Arial" w:cs="Arial" w:eastAsia="Arial" w:hAnsi="Arial"/>
                <w:sz w:val="14"/>
                <w:szCs w:val="14"/>
                <w:color w:val="auto"/>
              </w:rPr>
              <w:t>Decrease in accrued other expenses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(539,347)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(544,801)</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910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(used) provided by operating activities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(91,466,882)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33,866,987</w:t>
            </w:r>
          </w:p>
        </w:tc>
        <w:tc>
          <w:tcPr>
            <w:tcW w:w="0" w:type="dxa"/>
            <w:vAlign w:val="bottom"/>
          </w:tcPr>
          <w:p>
            <w:pPr>
              <w:spacing w:after="0"/>
              <w:rPr>
                <w:sz w:val="1"/>
                <w:szCs w:val="1"/>
                <w:color w:val="auto"/>
              </w:rPr>
            </w:pPr>
          </w:p>
        </w:tc>
      </w:tr>
      <w:tr>
        <w:trPr>
          <w:trHeight w:val="155"/>
        </w:trPr>
        <w:tc>
          <w:tcPr>
            <w:tcW w:w="910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1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Distributions paid to stockholders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(15,236,142)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(8,044,951)</w:t>
            </w:r>
          </w:p>
        </w:tc>
        <w:tc>
          <w:tcPr>
            <w:tcW w:w="0" w:type="dxa"/>
            <w:vAlign w:val="bottom"/>
          </w:tcPr>
          <w:p>
            <w:pPr>
              <w:spacing w:after="0"/>
              <w:rPr>
                <w:sz w:val="1"/>
                <w:szCs w:val="1"/>
                <w:color w:val="auto"/>
              </w:rPr>
            </w:pPr>
          </w:p>
        </w:tc>
      </w:tr>
      <w:tr>
        <w:trPr>
          <w:trHeight w:val="149"/>
        </w:trPr>
        <w:tc>
          <w:tcPr>
            <w:tcW w:w="9100" w:type="dxa"/>
            <w:vAlign w:val="bottom"/>
          </w:tcPr>
          <w:p>
            <w:pPr>
              <w:ind w:left="880"/>
              <w:spacing w:after="0" w:line="149" w:lineRule="exact"/>
              <w:rPr>
                <w:sz w:val="20"/>
                <w:szCs w:val="20"/>
                <w:color w:val="auto"/>
              </w:rPr>
            </w:pPr>
            <w:r>
              <w:rPr>
                <w:rFonts w:ascii="Arial" w:cs="Arial" w:eastAsia="Arial" w:hAnsi="Arial"/>
                <w:sz w:val="14"/>
                <w:szCs w:val="14"/>
                <w:color w:val="auto"/>
              </w:rPr>
              <w:t>Borrowings under Credit Facility (See Notes 5 and 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121,907,500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54,900,000</w:t>
            </w:r>
          </w:p>
        </w:tc>
        <w:tc>
          <w:tcPr>
            <w:tcW w:w="0" w:type="dxa"/>
            <w:vAlign w:val="bottom"/>
          </w:tcPr>
          <w:p>
            <w:pPr>
              <w:spacing w:after="0"/>
              <w:rPr>
                <w:sz w:val="1"/>
                <w:szCs w:val="1"/>
                <w:color w:val="auto"/>
              </w:rPr>
            </w:pPr>
          </w:p>
        </w:tc>
      </w:tr>
      <w:tr>
        <w:trPr>
          <w:trHeight w:val="148"/>
        </w:trPr>
        <w:tc>
          <w:tcPr>
            <w:tcW w:w="91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Repayments under Credit Facility (See Notes 5 and 10)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(23,300,000)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(84,000,000)</w:t>
            </w:r>
          </w:p>
        </w:tc>
        <w:tc>
          <w:tcPr>
            <w:tcW w:w="0" w:type="dxa"/>
            <w:vAlign w:val="bottom"/>
          </w:tcPr>
          <w:p>
            <w:pPr>
              <w:spacing w:after="0"/>
              <w:rPr>
                <w:sz w:val="1"/>
                <w:szCs w:val="1"/>
                <w:color w:val="auto"/>
              </w:rPr>
            </w:pPr>
          </w:p>
        </w:tc>
      </w:tr>
      <w:tr>
        <w:trPr>
          <w:trHeight w:val="163"/>
        </w:trPr>
        <w:tc>
          <w:tcPr>
            <w:tcW w:w="9100" w:type="dxa"/>
            <w:vAlign w:val="bottom"/>
          </w:tcPr>
          <w:p>
            <w:pPr>
              <w:ind w:left="1300"/>
              <w:spacing w:after="0" w:line="155" w:lineRule="exact"/>
              <w:rPr>
                <w:sz w:val="20"/>
                <w:szCs w:val="20"/>
                <w:color w:val="auto"/>
              </w:rPr>
            </w:pPr>
            <w:r>
              <w:rPr>
                <w:rFonts w:ascii="Arial" w:cs="Arial" w:eastAsia="Arial" w:hAnsi="Arial"/>
                <w:sz w:val="14"/>
                <w:szCs w:val="14"/>
                <w:color w:val="auto"/>
              </w:rPr>
              <w:t>Net cash provided (used) by financing activities</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83,371,358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(37,144,951)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decrease in cash equivalents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(8,095,524)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(3,277,964)</w:t>
            </w:r>
          </w:p>
        </w:tc>
        <w:tc>
          <w:tcPr>
            <w:tcW w:w="0" w:type="dxa"/>
            <w:vAlign w:val="bottom"/>
          </w:tcPr>
          <w:p>
            <w:pPr>
              <w:spacing w:after="0"/>
              <w:rPr>
                <w:sz w:val="1"/>
                <w:szCs w:val="1"/>
                <w:color w:val="auto"/>
              </w:rPr>
            </w:pPr>
          </w:p>
        </w:tc>
      </w:tr>
      <w:tr>
        <w:trPr>
          <w:trHeight w:val="148"/>
        </w:trPr>
        <w:tc>
          <w:tcPr>
            <w:tcW w:w="9100" w:type="dxa"/>
            <w:vAlign w:val="bottom"/>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112,739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beginning of period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21,428,514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13,113,817</w:t>
            </w:r>
          </w:p>
        </w:tc>
        <w:tc>
          <w:tcPr>
            <w:tcW w:w="0" w:type="dxa"/>
            <w:vAlign w:val="bottom"/>
          </w:tcPr>
          <w:p>
            <w:pPr>
              <w:spacing w:after="0"/>
              <w:rPr>
                <w:sz w:val="1"/>
                <w:szCs w:val="1"/>
                <w:color w:val="auto"/>
              </w:rPr>
            </w:pPr>
          </w:p>
        </w:tc>
      </w:tr>
      <w:tr>
        <w:trPr>
          <w:trHeight w:val="156"/>
        </w:trPr>
        <w:tc>
          <w:tcPr>
            <w:tcW w:w="9100" w:type="dxa"/>
            <w:vAlign w:val="bottom"/>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13,445,729</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9,835,853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1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100" w:type="dxa"/>
            <w:vAlign w:val="bottom"/>
          </w:tcPr>
          <w:p>
            <w:pPr>
              <w:ind w:left="300"/>
              <w:spacing w:after="0" w:line="149" w:lineRule="exact"/>
              <w:rPr>
                <w:sz w:val="20"/>
                <w:szCs w:val="20"/>
                <w:color w:val="auto"/>
              </w:rPr>
            </w:pPr>
            <w:r>
              <w:rPr>
                <w:rFonts w:ascii="Arial" w:cs="Arial" w:eastAsia="Arial" w:hAnsi="Arial"/>
                <w:sz w:val="14"/>
                <w:szCs w:val="14"/>
                <w:color w:val="auto"/>
              </w:rPr>
              <w:t>Interest paid</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1,907,574</w:t>
            </w:r>
          </w:p>
        </w:tc>
        <w:tc>
          <w:tcPr>
            <w:tcW w:w="16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1,647,794</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10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Taxes paid</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3"/>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308,795</w:t>
            </w:r>
          </w:p>
        </w:tc>
        <w:tc>
          <w:tcPr>
            <w:tcW w:w="2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431,856</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300"/>
              <w:spacing w:after="0"/>
              <w:rPr>
                <w:sz w:val="20"/>
                <w:szCs w:val="20"/>
                <w:color w:val="auto"/>
              </w:rPr>
            </w:pPr>
            <w:r>
              <w:rPr>
                <w:rFonts w:ascii="Arial" w:cs="Arial" w:eastAsia="Arial" w:hAnsi="Arial"/>
                <w:sz w:val="14"/>
                <w:szCs w:val="14"/>
                <w:color w:val="auto"/>
              </w:rPr>
              <w:t>Non-cash exchanges and conversions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10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4,547,934</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670,283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jc w:val="center"/>
              <w:ind w:right="57"/>
              <w:spacing w:after="0"/>
              <w:rPr>
                <w:sz w:val="20"/>
                <w:szCs w:val="20"/>
                <w:color w:val="auto"/>
              </w:rPr>
            </w:pPr>
            <w:r>
              <w:rPr>
                <w:rFonts w:ascii="Arial" w:cs="Arial" w:eastAsia="Arial" w:hAnsi="Arial"/>
                <w:sz w:val="13"/>
                <w:szCs w:val="13"/>
                <w:b w:val="1"/>
                <w:bCs w:val="1"/>
                <w:color w:val="auto"/>
                <w:w w:val="84"/>
              </w:rPr>
              <w:t>Basis Point</w:t>
            </w: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6"/>
              </w:rPr>
              <w:t>Spread</w:t>
            </w: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2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980" w:type="dxa"/>
            <w:vAlign w:val="bottom"/>
          </w:tcPr>
          <w:p>
            <w:pPr>
              <w:jc w:val="right"/>
              <w:ind w:right="337"/>
              <w:spacing w:after="0" w:line="135" w:lineRule="exact"/>
              <w:rPr>
                <w:sz w:val="20"/>
                <w:szCs w:val="20"/>
                <w:color w:val="auto"/>
              </w:rPr>
            </w:pPr>
            <w:r>
              <w:rPr>
                <w:rFonts w:ascii="Arial" w:cs="Arial" w:eastAsia="Arial" w:hAnsi="Arial"/>
                <w:sz w:val="13"/>
                <w:szCs w:val="13"/>
                <w:b w:val="1"/>
                <w:bCs w:val="1"/>
                <w:color w:val="auto"/>
              </w:rPr>
              <w:t>Current</w:t>
            </w:r>
          </w:p>
        </w:tc>
        <w:tc>
          <w:tcPr>
            <w:tcW w:w="9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5"/>
              </w:rPr>
              <w:t>Above</w:t>
            </w:r>
          </w:p>
        </w:tc>
        <w:tc>
          <w:tcPr>
            <w:tcW w:w="880" w:type="dxa"/>
            <w:vAlign w:val="bottom"/>
          </w:tcPr>
          <w:p>
            <w:pPr>
              <w:jc w:val="right"/>
              <w:ind w:right="277"/>
              <w:spacing w:after="0" w:line="135" w:lineRule="exact"/>
              <w:rPr>
                <w:sz w:val="20"/>
                <w:szCs w:val="20"/>
                <w:color w:val="auto"/>
              </w:rPr>
            </w:pPr>
            <w:r>
              <w:rPr>
                <w:rFonts w:ascii="Arial" w:cs="Arial" w:eastAsia="Arial" w:hAnsi="Arial"/>
                <w:sz w:val="13"/>
                <w:szCs w:val="13"/>
                <w:b w:val="1"/>
                <w:bCs w:val="1"/>
                <w:color w:val="auto"/>
              </w:rPr>
              <w:t>Par /</w:t>
            </w: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60" w:type="dxa"/>
            <w:vAlign w:val="bottom"/>
            <w:vMerge w:val="continue"/>
          </w:tcPr>
          <w:p>
            <w:pPr>
              <w:spacing w:after="0"/>
              <w:rPr>
                <w:sz w:val="13"/>
                <w:szCs w:val="13"/>
                <w:color w:val="auto"/>
              </w:rPr>
            </w:pPr>
          </w:p>
        </w:tc>
        <w:tc>
          <w:tcPr>
            <w:tcW w:w="1200" w:type="dxa"/>
            <w:vAlign w:val="bottom"/>
          </w:tcPr>
          <w:p>
            <w:pPr>
              <w:jc w:val="center"/>
              <w:ind w:left="337"/>
              <w:spacing w:after="0"/>
              <w:rPr>
                <w:sz w:val="20"/>
                <w:szCs w:val="20"/>
                <w:color w:val="auto"/>
              </w:rPr>
            </w:pPr>
            <w:r>
              <w:rPr>
                <w:rFonts w:ascii="Arial" w:cs="Arial" w:eastAsia="Arial" w:hAnsi="Arial"/>
                <w:sz w:val="13"/>
                <w:szCs w:val="13"/>
                <w:b w:val="1"/>
                <w:bCs w:val="1"/>
                <w:color w:val="auto"/>
                <w:w w:val="94"/>
              </w:rPr>
              <w:t>Maturity</w:t>
            </w: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980" w:type="dxa"/>
            <w:vAlign w:val="bottom"/>
          </w:tcPr>
          <w:p>
            <w:pPr>
              <w:jc w:val="right"/>
              <w:ind w:right="337"/>
              <w:spacing w:after="0"/>
              <w:rPr>
                <w:sz w:val="20"/>
                <w:szCs w:val="20"/>
                <w:color w:val="auto"/>
              </w:rPr>
            </w:pPr>
            <w:r>
              <w:rPr>
                <w:rFonts w:ascii="Arial" w:cs="Arial" w:eastAsia="Arial" w:hAnsi="Arial"/>
                <w:sz w:val="13"/>
                <w:szCs w:val="13"/>
                <w:b w:val="1"/>
                <w:bCs w:val="1"/>
                <w:color w:val="auto"/>
              </w:rPr>
              <w:t>Coupon</w:t>
            </w:r>
          </w:p>
        </w:tc>
        <w:tc>
          <w:tcPr>
            <w:tcW w:w="960" w:type="dxa"/>
            <w:vAlign w:val="bottom"/>
          </w:tcPr>
          <w:p>
            <w:pPr>
              <w:jc w:val="center"/>
              <w:ind w:right="7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880" w:type="dxa"/>
            <w:vAlign w:val="bottom"/>
          </w:tcPr>
          <w:p>
            <w:pPr>
              <w:jc w:val="right"/>
              <w:ind w:right="237"/>
              <w:spacing w:after="0"/>
              <w:rPr>
                <w:sz w:val="20"/>
                <w:szCs w:val="20"/>
                <w:color w:val="auto"/>
              </w:rPr>
            </w:pPr>
            <w:r>
              <w:rPr>
                <w:rFonts w:ascii="Arial" w:cs="Arial" w:eastAsia="Arial" w:hAnsi="Arial"/>
                <w:sz w:val="13"/>
                <w:szCs w:val="13"/>
                <w:b w:val="1"/>
                <w:bCs w:val="1"/>
                <w:color w:val="auto"/>
              </w:rPr>
              <w:t>Shares</w:t>
            </w:r>
          </w:p>
        </w:tc>
        <w:tc>
          <w:tcPr>
            <w:tcW w:w="960" w:type="dxa"/>
            <w:vAlign w:val="bottom"/>
          </w:tcPr>
          <w:p>
            <w:pPr>
              <w:jc w:val="right"/>
              <w:ind w:right="297"/>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(2)</w:t>
            </w:r>
          </w:p>
        </w:tc>
        <w:tc>
          <w:tcPr>
            <w:tcW w:w="0" w:type="dxa"/>
            <w:vAlign w:val="bottom"/>
          </w:tcPr>
          <w:p>
            <w:pPr>
              <w:spacing w:after="0"/>
              <w:rPr>
                <w:sz w:val="1"/>
                <w:szCs w:val="1"/>
                <w:color w:val="auto"/>
              </w:rPr>
            </w:pPr>
          </w:p>
        </w:tc>
      </w:tr>
      <w:tr>
        <w:trPr>
          <w:trHeight w:val="129"/>
        </w:trPr>
        <w:tc>
          <w:tcPr>
            <w:tcW w:w="628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Investments in Non-Controlled, Non-Affiliated Portfolio Companies—132.8% </w:t>
            </w:r>
            <w:r>
              <w:rPr>
                <w:rFonts w:ascii="Arial" w:cs="Arial" w:eastAsia="Arial" w:hAnsi="Arial"/>
                <w:sz w:val="10"/>
                <w:szCs w:val="10"/>
                <w:b w:val="1"/>
                <w:bCs w:val="1"/>
                <w:color w:val="auto"/>
              </w:rPr>
              <w:t>(3), (4)</w:t>
            </w:r>
          </w:p>
        </w:tc>
        <w:tc>
          <w:tcPr>
            <w:tcW w:w="9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Debt—117.0%</w:t>
            </w:r>
          </w:p>
        </w:tc>
        <w:tc>
          <w:tcPr>
            <w:tcW w:w="12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ALG USA Holdings, LLC</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02/28/2019</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7.00%</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L+575</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12,136,577</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  12,101,258</w:t>
            </w: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12,106,236</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 xml:space="preserve">Alvogen Pharma US, Inc. </w:t>
            </w:r>
            <w:r>
              <w:rPr>
                <w:rFonts w:ascii="Arial" w:cs="Arial" w:eastAsia="Arial" w:hAnsi="Arial"/>
                <w:sz w:val="10"/>
                <w:szCs w:val="10"/>
                <w:color w:val="auto"/>
              </w:rPr>
              <w:t>(6), (11)</w:t>
            </w:r>
          </w:p>
        </w:tc>
        <w:tc>
          <w:tcPr>
            <w:tcW w:w="1200" w:type="dxa"/>
            <w:vAlign w:val="bottom"/>
          </w:tcPr>
          <w:p>
            <w:pPr>
              <w:jc w:val="center"/>
              <w:ind w:left="317"/>
              <w:spacing w:after="0" w:line="135" w:lineRule="exact"/>
              <w:rPr>
                <w:sz w:val="20"/>
                <w:szCs w:val="20"/>
                <w:color w:val="auto"/>
              </w:rPr>
            </w:pPr>
            <w:r>
              <w:rPr>
                <w:rFonts w:ascii="Arial" w:cs="Arial" w:eastAsia="Arial" w:hAnsi="Arial"/>
                <w:sz w:val="13"/>
                <w:szCs w:val="13"/>
                <w:color w:val="auto"/>
                <w:w w:val="89"/>
              </w:rPr>
              <w:t>04/04/2022</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L+500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3,793,615</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3,776,126</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3,727,227</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Ancile Solutions, Inc.</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07/16/2018</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6.25%</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L+500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2,907,224</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2,892,770</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2,856,347</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1200" w:type="dxa"/>
            <w:vAlign w:val="bottom"/>
          </w:tcPr>
          <w:p>
            <w:pPr>
              <w:jc w:val="center"/>
              <w:ind w:left="317"/>
              <w:spacing w:after="0" w:line="135" w:lineRule="exact"/>
              <w:rPr>
                <w:sz w:val="20"/>
                <w:szCs w:val="20"/>
                <w:color w:val="auto"/>
              </w:rPr>
            </w:pPr>
            <w:r>
              <w:rPr>
                <w:rFonts w:ascii="Arial" w:cs="Arial" w:eastAsia="Arial" w:hAnsi="Arial"/>
                <w:sz w:val="13"/>
                <w:szCs w:val="13"/>
                <w:color w:val="auto"/>
                <w:w w:val="89"/>
              </w:rPr>
              <w:t>12/21/2020</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9.25%</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L+825</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6,568,476</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6,485,983</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6,029,861</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Azure Midstream Energy LLC</w:t>
            </w:r>
          </w:p>
        </w:tc>
        <w:tc>
          <w:tcPr>
            <w:tcW w:w="1200" w:type="dxa"/>
            <w:vAlign w:val="bottom"/>
            <w:shd w:val="clear" w:color="auto" w:fill="CCEEFF"/>
          </w:tcPr>
          <w:p>
            <w:pPr>
              <w:jc w:val="center"/>
              <w:ind w:left="337"/>
              <w:spacing w:after="0" w:line="135" w:lineRule="exact"/>
              <w:rPr>
                <w:sz w:val="20"/>
                <w:szCs w:val="20"/>
                <w:color w:val="auto"/>
              </w:rPr>
            </w:pPr>
            <w:r>
              <w:rPr>
                <w:rFonts w:ascii="Arial" w:cs="Arial" w:eastAsia="Arial" w:hAnsi="Arial"/>
                <w:sz w:val="13"/>
                <w:szCs w:val="13"/>
                <w:color w:val="auto"/>
                <w:w w:val="86"/>
              </w:rPr>
              <w:t>11/15/2018</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Energy: Oil and Gas</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7.50%</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L+650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5,193,754</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5,089,453</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2,596,877</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Blue Bird Body Company</w:t>
            </w:r>
          </w:p>
        </w:tc>
        <w:tc>
          <w:tcPr>
            <w:tcW w:w="1200" w:type="dxa"/>
            <w:vAlign w:val="bottom"/>
          </w:tcPr>
          <w:p>
            <w:pPr>
              <w:jc w:val="center"/>
              <w:ind w:left="317"/>
              <w:spacing w:after="0" w:line="135" w:lineRule="exact"/>
              <w:rPr>
                <w:sz w:val="20"/>
                <w:szCs w:val="20"/>
                <w:color w:val="auto"/>
              </w:rPr>
            </w:pPr>
            <w:r>
              <w:rPr>
                <w:rFonts w:ascii="Arial" w:cs="Arial" w:eastAsia="Arial" w:hAnsi="Arial"/>
                <w:sz w:val="13"/>
                <w:szCs w:val="13"/>
                <w:color w:val="auto"/>
                <w:w w:val="89"/>
              </w:rPr>
              <w:t>06/29/2020</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L+550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4,155,585</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4,108,344</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4,098,446</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Bowlmor AMF Corp.</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09/17/2021</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7.25%</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L+625</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12,837,229</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12,760,370</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12,580,485</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Broder Bros., Co., Tranche A</w:t>
            </w:r>
          </w:p>
        </w:tc>
        <w:tc>
          <w:tcPr>
            <w:tcW w:w="1200" w:type="dxa"/>
            <w:vAlign w:val="bottom"/>
          </w:tcPr>
          <w:p>
            <w:pPr>
              <w:jc w:val="center"/>
              <w:ind w:left="317"/>
              <w:spacing w:after="0" w:line="135" w:lineRule="exact"/>
              <w:rPr>
                <w:sz w:val="20"/>
                <w:szCs w:val="20"/>
                <w:color w:val="auto"/>
              </w:rPr>
            </w:pPr>
            <w:r>
              <w:rPr>
                <w:rFonts w:ascii="Arial" w:cs="Arial" w:eastAsia="Arial" w:hAnsi="Arial"/>
                <w:sz w:val="13"/>
                <w:szCs w:val="13"/>
                <w:color w:val="auto"/>
                <w:w w:val="89"/>
              </w:rPr>
              <w:t>06/03/2021</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7.00%</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L+575</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2,470,000</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2,422,779</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2,404,522</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B</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06/03/2021</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13.50%</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L+1,225</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2,480,000</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2,431,818</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2,414,257</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Camin Cargo Control, Inc.</w:t>
            </w:r>
          </w:p>
        </w:tc>
        <w:tc>
          <w:tcPr>
            <w:tcW w:w="1200" w:type="dxa"/>
            <w:vAlign w:val="bottom"/>
          </w:tcPr>
          <w:p>
            <w:pPr>
              <w:jc w:val="center"/>
              <w:ind w:left="317"/>
              <w:spacing w:after="0" w:line="135" w:lineRule="exact"/>
              <w:rPr>
                <w:sz w:val="20"/>
                <w:szCs w:val="20"/>
                <w:color w:val="auto"/>
              </w:rPr>
            </w:pPr>
            <w:r>
              <w:rPr>
                <w:rFonts w:ascii="Arial" w:cs="Arial" w:eastAsia="Arial" w:hAnsi="Arial"/>
                <w:sz w:val="13"/>
                <w:szCs w:val="13"/>
                <w:color w:val="auto"/>
                <w:w w:val="89"/>
              </w:rPr>
              <w:t>06/30/2021</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6"/>
              </w:rPr>
              <w:t>Transportation: Cargo</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5.75%</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L+475</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2,481,250</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2,458,602</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2,406,812</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CareCentrix, Inc.</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07/08/2021</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L+500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4,975,000</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4,862,460</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4,817,442</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 xml:space="preserve">CBAC Borrower, LLC </w:t>
            </w:r>
            <w:r>
              <w:rPr>
                <w:rFonts w:ascii="Arial" w:cs="Arial" w:eastAsia="Arial" w:hAnsi="Arial"/>
                <w:sz w:val="10"/>
                <w:szCs w:val="10"/>
                <w:color w:val="auto"/>
              </w:rPr>
              <w:t>(8)</w:t>
            </w:r>
          </w:p>
        </w:tc>
        <w:tc>
          <w:tcPr>
            <w:tcW w:w="1200" w:type="dxa"/>
            <w:vAlign w:val="bottom"/>
          </w:tcPr>
          <w:p>
            <w:pPr>
              <w:jc w:val="center"/>
              <w:ind w:left="317"/>
              <w:spacing w:after="0" w:line="135" w:lineRule="exact"/>
              <w:rPr>
                <w:sz w:val="20"/>
                <w:szCs w:val="20"/>
                <w:color w:val="auto"/>
              </w:rPr>
            </w:pPr>
            <w:r>
              <w:rPr>
                <w:rFonts w:ascii="Arial" w:cs="Arial" w:eastAsia="Arial" w:hAnsi="Arial"/>
                <w:sz w:val="13"/>
                <w:szCs w:val="13"/>
                <w:color w:val="auto"/>
                <w:w w:val="89"/>
              </w:rPr>
              <w:t>07/02/2020</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8.25%</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L+700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4,987,500</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4,954,566</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4,788,000</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Charming Charlie LLC</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12/24/2019</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L+800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4,410,000</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4,364,836</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4,101,300</w:t>
            </w:r>
          </w:p>
        </w:tc>
        <w:tc>
          <w:tcPr>
            <w:tcW w:w="0" w:type="dxa"/>
            <w:vAlign w:val="bottom"/>
          </w:tcPr>
          <w:p>
            <w:pPr>
              <w:spacing w:after="0"/>
              <w:rPr>
                <w:sz w:val="1"/>
                <w:szCs w:val="1"/>
                <w:color w:val="auto"/>
              </w:rPr>
            </w:pPr>
          </w:p>
        </w:tc>
      </w:tr>
      <w:tr>
        <w:trPr>
          <w:trHeight w:val="121"/>
        </w:trPr>
        <w:tc>
          <w:tcPr>
            <w:tcW w:w="3160" w:type="dxa"/>
            <w:vAlign w:val="bottom"/>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1200" w:type="dxa"/>
            <w:vAlign w:val="bottom"/>
          </w:tcPr>
          <w:p>
            <w:pPr>
              <w:jc w:val="center"/>
              <w:ind w:left="317"/>
              <w:spacing w:after="0" w:line="121" w:lineRule="exact"/>
              <w:rPr>
                <w:sz w:val="20"/>
                <w:szCs w:val="20"/>
                <w:color w:val="auto"/>
              </w:rPr>
            </w:pPr>
            <w:r>
              <w:rPr>
                <w:rFonts w:ascii="Arial" w:cs="Arial" w:eastAsia="Arial" w:hAnsi="Arial"/>
                <w:sz w:val="13"/>
                <w:szCs w:val="13"/>
                <w:color w:val="auto"/>
                <w:w w:val="89"/>
              </w:rPr>
              <w:t>01/08/2019</w:t>
            </w:r>
          </w:p>
        </w:tc>
        <w:tc>
          <w:tcPr>
            <w:tcW w:w="192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980" w:type="dxa"/>
            <w:vAlign w:val="bottom"/>
          </w:tcPr>
          <w:p>
            <w:pPr>
              <w:jc w:val="right"/>
              <w:ind w:right="97"/>
              <w:spacing w:after="0" w:line="121" w:lineRule="exact"/>
              <w:rPr>
                <w:sz w:val="20"/>
                <w:szCs w:val="20"/>
                <w:color w:val="auto"/>
              </w:rPr>
            </w:pPr>
            <w:r>
              <w:rPr>
                <w:rFonts w:ascii="Arial" w:cs="Arial" w:eastAsia="Arial" w:hAnsi="Arial"/>
                <w:sz w:val="13"/>
                <w:szCs w:val="13"/>
                <w:color w:val="auto"/>
              </w:rPr>
              <w:t>7.25%</w:t>
            </w:r>
          </w:p>
        </w:tc>
        <w:tc>
          <w:tcPr>
            <w:tcW w:w="96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L+600</w:t>
            </w:r>
          </w:p>
        </w:tc>
        <w:tc>
          <w:tcPr>
            <w:tcW w:w="880" w:type="dxa"/>
            <w:vAlign w:val="bottom"/>
          </w:tcPr>
          <w:p>
            <w:pPr>
              <w:jc w:val="right"/>
              <w:ind w:right="57"/>
              <w:spacing w:after="0" w:line="121" w:lineRule="exact"/>
              <w:rPr>
                <w:sz w:val="20"/>
                <w:szCs w:val="20"/>
                <w:color w:val="auto"/>
              </w:rPr>
            </w:pPr>
            <w:r>
              <w:rPr>
                <w:rFonts w:ascii="Arial" w:cs="Arial" w:eastAsia="Arial" w:hAnsi="Arial"/>
                <w:sz w:val="13"/>
                <w:szCs w:val="13"/>
                <w:color w:val="auto"/>
              </w:rPr>
              <w:t>4,900,000</w:t>
            </w:r>
          </w:p>
        </w:tc>
        <w:tc>
          <w:tcPr>
            <w:tcW w:w="9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4,867,097</w:t>
            </w:r>
          </w:p>
        </w:tc>
        <w:tc>
          <w:tcPr>
            <w:tcW w:w="20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4,802,000</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2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Corfin Industries LLC</w:t>
            </w:r>
          </w:p>
        </w:tc>
        <w:tc>
          <w:tcPr>
            <w:tcW w:w="1200" w:type="dxa"/>
            <w:vAlign w:val="bottom"/>
            <w:shd w:val="clear" w:color="auto" w:fill="CCEEFF"/>
          </w:tcPr>
          <w:p>
            <w:pPr>
              <w:jc w:val="center"/>
              <w:ind w:left="337"/>
              <w:spacing w:after="0" w:line="135" w:lineRule="exact"/>
              <w:rPr>
                <w:sz w:val="20"/>
                <w:szCs w:val="20"/>
                <w:color w:val="auto"/>
              </w:rPr>
            </w:pPr>
            <w:r>
              <w:rPr>
                <w:rFonts w:ascii="Arial" w:cs="Arial" w:eastAsia="Arial" w:hAnsi="Arial"/>
                <w:sz w:val="13"/>
                <w:szCs w:val="13"/>
                <w:color w:val="auto"/>
                <w:w w:val="86"/>
              </w:rPr>
              <w:t>11/25/2020</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10.75%</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L+975</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6,304,200</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6,184,607</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6,241,158</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(10)</w:t>
            </w:r>
          </w:p>
        </w:tc>
        <w:tc>
          <w:tcPr>
            <w:tcW w:w="1200" w:type="dxa"/>
            <w:vAlign w:val="bottom"/>
          </w:tcPr>
          <w:p>
            <w:pPr>
              <w:jc w:val="center"/>
              <w:ind w:left="337"/>
              <w:spacing w:after="0" w:line="135" w:lineRule="exact"/>
              <w:rPr>
                <w:sz w:val="20"/>
                <w:szCs w:val="20"/>
                <w:color w:val="auto"/>
              </w:rPr>
            </w:pPr>
            <w:r>
              <w:rPr>
                <w:rFonts w:ascii="Arial" w:cs="Arial" w:eastAsia="Arial" w:hAnsi="Arial"/>
                <w:sz w:val="13"/>
                <w:szCs w:val="13"/>
                <w:color w:val="auto"/>
                <w:w w:val="86"/>
              </w:rPr>
              <w:t>11/25/2020</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518,033</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CRGT Inc.</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12/21/2020</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7.50%</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L+650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11,635,285</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11,538,594</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11,548,020</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Curo Health Services Holdings, Inc.</w:t>
            </w:r>
          </w:p>
        </w:tc>
        <w:tc>
          <w:tcPr>
            <w:tcW w:w="1200" w:type="dxa"/>
            <w:vAlign w:val="bottom"/>
          </w:tcPr>
          <w:p>
            <w:pPr>
              <w:jc w:val="center"/>
              <w:ind w:left="317"/>
              <w:spacing w:after="0" w:line="135" w:lineRule="exact"/>
              <w:rPr>
                <w:sz w:val="20"/>
                <w:szCs w:val="20"/>
                <w:color w:val="auto"/>
              </w:rPr>
            </w:pPr>
            <w:r>
              <w:rPr>
                <w:rFonts w:ascii="Arial" w:cs="Arial" w:eastAsia="Arial" w:hAnsi="Arial"/>
                <w:sz w:val="13"/>
                <w:szCs w:val="13"/>
                <w:color w:val="auto"/>
                <w:w w:val="89"/>
              </w:rPr>
              <w:t>02/07/2022</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L+550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1,980,000</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1,962,665</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1,954,022</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DCS Business Services, Inc.</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03/19/2018</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8.75%</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L+725</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2,252,555</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2,236,549</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2,252,555</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DISA Global Solutions, Inc.</w:t>
            </w:r>
          </w:p>
        </w:tc>
        <w:tc>
          <w:tcPr>
            <w:tcW w:w="1200" w:type="dxa"/>
            <w:vAlign w:val="bottom"/>
          </w:tcPr>
          <w:p>
            <w:pPr>
              <w:jc w:val="center"/>
              <w:ind w:left="317"/>
              <w:spacing w:after="0" w:line="135" w:lineRule="exact"/>
              <w:rPr>
                <w:sz w:val="20"/>
                <w:szCs w:val="20"/>
                <w:color w:val="auto"/>
              </w:rPr>
            </w:pPr>
            <w:r>
              <w:rPr>
                <w:rFonts w:ascii="Arial" w:cs="Arial" w:eastAsia="Arial" w:hAnsi="Arial"/>
                <w:sz w:val="13"/>
                <w:szCs w:val="13"/>
                <w:color w:val="auto"/>
                <w:w w:val="89"/>
              </w:rPr>
              <w:t>12/09/2020</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L+450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4,950,000</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4,910,105</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4,554,000</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06/30/2020</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5.75%</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L+475</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4,812,500</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4,779,998</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4,812,500</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 xml:space="preserve">Driven Performance Brands, Inc. </w:t>
            </w:r>
            <w:r>
              <w:rPr>
                <w:rFonts w:ascii="Arial" w:cs="Arial" w:eastAsia="Arial" w:hAnsi="Arial"/>
                <w:sz w:val="10"/>
                <w:szCs w:val="10"/>
                <w:color w:val="auto"/>
              </w:rPr>
              <w:t>(8)</w:t>
            </w:r>
          </w:p>
        </w:tc>
        <w:tc>
          <w:tcPr>
            <w:tcW w:w="1200" w:type="dxa"/>
            <w:vAlign w:val="bottom"/>
          </w:tcPr>
          <w:p>
            <w:pPr>
              <w:jc w:val="center"/>
              <w:ind w:left="317"/>
              <w:spacing w:after="0" w:line="135" w:lineRule="exact"/>
              <w:rPr>
                <w:sz w:val="20"/>
                <w:szCs w:val="20"/>
                <w:color w:val="auto"/>
              </w:rPr>
            </w:pPr>
            <w:r>
              <w:rPr>
                <w:rFonts w:ascii="Arial" w:cs="Arial" w:eastAsia="Arial" w:hAnsi="Arial"/>
                <w:sz w:val="13"/>
                <w:szCs w:val="13"/>
                <w:color w:val="auto"/>
                <w:w w:val="89"/>
              </w:rPr>
              <w:t>09/10/2020</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5.75%</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L+475</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8,775,000</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8,734,225</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8,621,438</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Driven Performance Brands Inc. (Revolver) </w:t>
            </w:r>
            <w:r>
              <w:rPr>
                <w:rFonts w:ascii="Arial" w:cs="Arial" w:eastAsia="Arial" w:hAnsi="Arial"/>
                <w:sz w:val="10"/>
                <w:szCs w:val="10"/>
                <w:color w:val="auto"/>
              </w:rPr>
              <w:t>(8) , (10)</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09/10/2020</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1,000,000</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Emerging Markets Communications, LLC</w:t>
            </w:r>
          </w:p>
        </w:tc>
        <w:tc>
          <w:tcPr>
            <w:tcW w:w="1200" w:type="dxa"/>
            <w:vAlign w:val="bottom"/>
          </w:tcPr>
          <w:p>
            <w:pPr>
              <w:jc w:val="center"/>
              <w:ind w:left="317"/>
              <w:spacing w:after="0" w:line="135" w:lineRule="exact"/>
              <w:rPr>
                <w:sz w:val="20"/>
                <w:szCs w:val="20"/>
                <w:color w:val="auto"/>
              </w:rPr>
            </w:pPr>
            <w:r>
              <w:rPr>
                <w:rFonts w:ascii="Arial" w:cs="Arial" w:eastAsia="Arial" w:hAnsi="Arial"/>
                <w:sz w:val="13"/>
                <w:szCs w:val="13"/>
                <w:color w:val="auto"/>
                <w:w w:val="89"/>
              </w:rPr>
              <w:t>07/01/2021</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6.75%</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L+575</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4,962,500</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4,894,461</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4,584,109</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FHC Health Systems, Inc.</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12/23/2021</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5.00%</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L+400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4,950,000</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4,905,430</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4,764,375</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GlobalLogic Holdings, Inc.</w:t>
            </w:r>
          </w:p>
        </w:tc>
        <w:tc>
          <w:tcPr>
            <w:tcW w:w="1200" w:type="dxa"/>
            <w:vAlign w:val="bottom"/>
          </w:tcPr>
          <w:p>
            <w:pPr>
              <w:jc w:val="center"/>
              <w:ind w:left="317"/>
              <w:spacing w:after="0" w:line="135" w:lineRule="exact"/>
              <w:rPr>
                <w:sz w:val="20"/>
                <w:szCs w:val="20"/>
                <w:color w:val="auto"/>
              </w:rPr>
            </w:pPr>
            <w:r>
              <w:rPr>
                <w:rFonts w:ascii="Arial" w:cs="Arial" w:eastAsia="Arial" w:hAnsi="Arial"/>
                <w:sz w:val="13"/>
                <w:szCs w:val="13"/>
                <w:color w:val="auto"/>
                <w:w w:val="89"/>
              </w:rPr>
              <w:t>05/31/2019</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6.25%</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L+525</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3,910,000</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3,885,505</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3,822,025</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Greenway Health, LLC</w:t>
            </w:r>
          </w:p>
        </w:tc>
        <w:tc>
          <w:tcPr>
            <w:tcW w:w="1200" w:type="dxa"/>
            <w:vAlign w:val="bottom"/>
            <w:shd w:val="clear" w:color="auto" w:fill="CCEEFF"/>
          </w:tcPr>
          <w:p>
            <w:pPr>
              <w:jc w:val="center"/>
              <w:ind w:left="337"/>
              <w:spacing w:after="0" w:line="135" w:lineRule="exact"/>
              <w:rPr>
                <w:sz w:val="20"/>
                <w:szCs w:val="20"/>
                <w:color w:val="auto"/>
              </w:rPr>
            </w:pPr>
            <w:r>
              <w:rPr>
                <w:rFonts w:ascii="Arial" w:cs="Arial" w:eastAsia="Arial" w:hAnsi="Arial"/>
                <w:sz w:val="13"/>
                <w:szCs w:val="13"/>
                <w:color w:val="auto"/>
                <w:w w:val="86"/>
              </w:rPr>
              <w:t>11/04/2020</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L+500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6,842,500</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6,794,000</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5,884,550</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200" w:type="dxa"/>
            <w:vAlign w:val="bottom"/>
          </w:tcPr>
          <w:p>
            <w:pPr>
              <w:jc w:val="center"/>
              <w:ind w:left="317"/>
              <w:spacing w:after="0" w:line="135" w:lineRule="exact"/>
              <w:rPr>
                <w:sz w:val="20"/>
                <w:szCs w:val="20"/>
                <w:color w:val="auto"/>
              </w:rPr>
            </w:pPr>
            <w:r>
              <w:rPr>
                <w:rFonts w:ascii="Arial" w:cs="Arial" w:eastAsia="Arial" w:hAnsi="Arial"/>
                <w:sz w:val="13"/>
                <w:szCs w:val="13"/>
                <w:color w:val="auto"/>
                <w:w w:val="89"/>
              </w:rPr>
              <w:t>10/21/2020</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L+800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1,188,000</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1,173,531</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1,188,000</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Hostway Corporation</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12/13/2019</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L+475</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2,698,448</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2,680,850</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2,583,283</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 xml:space="preserve">Hunter Defense Technologies, Inc. </w:t>
            </w:r>
            <w:r>
              <w:rPr>
                <w:rFonts w:ascii="Arial" w:cs="Arial" w:eastAsia="Arial" w:hAnsi="Arial"/>
                <w:sz w:val="10"/>
                <w:szCs w:val="10"/>
                <w:color w:val="auto"/>
              </w:rPr>
              <w:t>(8)</w:t>
            </w:r>
          </w:p>
        </w:tc>
        <w:tc>
          <w:tcPr>
            <w:tcW w:w="1200" w:type="dxa"/>
            <w:vAlign w:val="bottom"/>
          </w:tcPr>
          <w:p>
            <w:pPr>
              <w:jc w:val="center"/>
              <w:ind w:left="317"/>
              <w:spacing w:after="0" w:line="135" w:lineRule="exact"/>
              <w:rPr>
                <w:sz w:val="20"/>
                <w:szCs w:val="20"/>
                <w:color w:val="auto"/>
              </w:rPr>
            </w:pPr>
            <w:r>
              <w:rPr>
                <w:rFonts w:ascii="Arial" w:cs="Arial" w:eastAsia="Arial" w:hAnsi="Arial"/>
                <w:sz w:val="13"/>
                <w:szCs w:val="13"/>
                <w:color w:val="auto"/>
                <w:w w:val="89"/>
              </w:rPr>
              <w:t>08/05/2019</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9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(7)</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6,562,500</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6,517,360</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5,250,000</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ICC-Nexergy, Inc.</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04/30/2020</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L+550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4,962,500</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4,921,227</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4,764,000</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 xml:space="preserve">Icynene U.S. Acquisition Corp. </w:t>
            </w:r>
            <w:r>
              <w:rPr>
                <w:rFonts w:ascii="Arial" w:cs="Arial" w:eastAsia="Arial" w:hAnsi="Arial"/>
                <w:sz w:val="10"/>
                <w:szCs w:val="10"/>
                <w:color w:val="auto"/>
              </w:rPr>
              <w:t>(6), (11)</w:t>
            </w:r>
          </w:p>
        </w:tc>
        <w:tc>
          <w:tcPr>
            <w:tcW w:w="1200" w:type="dxa"/>
            <w:vAlign w:val="bottom"/>
          </w:tcPr>
          <w:p>
            <w:pPr>
              <w:jc w:val="center"/>
              <w:ind w:left="337"/>
              <w:spacing w:after="0" w:line="135" w:lineRule="exact"/>
              <w:rPr>
                <w:sz w:val="20"/>
                <w:szCs w:val="20"/>
                <w:color w:val="auto"/>
              </w:rPr>
            </w:pPr>
            <w:r>
              <w:rPr>
                <w:rFonts w:ascii="Arial" w:cs="Arial" w:eastAsia="Arial" w:hAnsi="Arial"/>
                <w:sz w:val="13"/>
                <w:szCs w:val="13"/>
                <w:color w:val="auto"/>
                <w:w w:val="86"/>
              </w:rPr>
              <w:t>11/04/2020</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7.25%</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L+625</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6,930,000</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6,817,686</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6,930,000</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Idera, Inc.</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04/09/2021</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L+550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6,982,500</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6,330,376</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6,319,162</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 (11)</w:t>
            </w:r>
          </w:p>
        </w:tc>
        <w:tc>
          <w:tcPr>
            <w:tcW w:w="1200" w:type="dxa"/>
            <w:vAlign w:val="bottom"/>
          </w:tcPr>
          <w:p>
            <w:pPr>
              <w:jc w:val="center"/>
              <w:ind w:left="317"/>
              <w:spacing w:after="0" w:line="135" w:lineRule="exact"/>
              <w:rPr>
                <w:sz w:val="20"/>
                <w:szCs w:val="20"/>
                <w:color w:val="auto"/>
              </w:rPr>
            </w:pPr>
            <w:r>
              <w:rPr>
                <w:rFonts w:ascii="Arial" w:cs="Arial" w:eastAsia="Arial" w:hAnsi="Arial"/>
                <w:sz w:val="13"/>
                <w:szCs w:val="13"/>
                <w:color w:val="auto"/>
                <w:w w:val="89"/>
              </w:rPr>
              <w:t>05/01/2019</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7.25%</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L+600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9,385,206</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9,266,901</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7,977,425</w:t>
            </w:r>
          </w:p>
        </w:tc>
        <w:tc>
          <w:tcPr>
            <w:tcW w:w="0" w:type="dxa"/>
            <w:vAlign w:val="bottom"/>
          </w:tcPr>
          <w:p>
            <w:pPr>
              <w:spacing w:after="0"/>
              <w:rPr>
                <w:sz w:val="1"/>
                <w:szCs w:val="1"/>
                <w:color w:val="auto"/>
              </w:rPr>
            </w:pPr>
          </w:p>
        </w:tc>
      </w:tr>
      <w:tr>
        <w:trPr>
          <w:trHeight w:val="121"/>
        </w:trPr>
        <w:tc>
          <w:tcPr>
            <w:tcW w:w="3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Imagine! Print Solutions, LLC</w:t>
            </w:r>
          </w:p>
        </w:tc>
        <w:tc>
          <w:tcPr>
            <w:tcW w:w="1200" w:type="dxa"/>
            <w:vAlign w:val="bottom"/>
            <w:shd w:val="clear" w:color="auto" w:fill="CCEEFF"/>
          </w:tcPr>
          <w:p>
            <w:pPr>
              <w:jc w:val="center"/>
              <w:ind w:left="317"/>
              <w:spacing w:after="0" w:line="121" w:lineRule="exact"/>
              <w:rPr>
                <w:sz w:val="20"/>
                <w:szCs w:val="20"/>
                <w:color w:val="auto"/>
              </w:rPr>
            </w:pPr>
            <w:r>
              <w:rPr>
                <w:rFonts w:ascii="Arial" w:cs="Arial" w:eastAsia="Arial" w:hAnsi="Arial"/>
                <w:sz w:val="13"/>
                <w:szCs w:val="13"/>
                <w:color w:val="auto"/>
                <w:w w:val="89"/>
              </w:rPr>
              <w:t>03/30/2022</w:t>
            </w:r>
          </w:p>
        </w:tc>
        <w:tc>
          <w:tcPr>
            <w:tcW w:w="19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98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7.00%</w:t>
            </w:r>
          </w:p>
        </w:tc>
        <w:tc>
          <w:tcPr>
            <w:tcW w:w="96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L+600</w:t>
            </w:r>
          </w:p>
        </w:tc>
        <w:tc>
          <w:tcPr>
            <w:tcW w:w="8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4,000,000</w:t>
            </w:r>
          </w:p>
        </w:tc>
        <w:tc>
          <w:tcPr>
            <w:tcW w:w="9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3,940,000</w:t>
            </w:r>
          </w:p>
        </w:tc>
        <w:tc>
          <w:tcPr>
            <w:tcW w:w="2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4,000,000</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60" w:type="dxa"/>
            <w:vAlign w:val="bottom"/>
          </w:tcPr>
          <w:p>
            <w:pPr>
              <w:spacing w:after="0" w:line="121" w:lineRule="exact"/>
              <w:rPr>
                <w:sz w:val="20"/>
                <w:szCs w:val="20"/>
                <w:color w:val="auto"/>
              </w:rPr>
            </w:pPr>
            <w:r>
              <w:rPr>
                <w:rFonts w:ascii="Arial" w:cs="Arial" w:eastAsia="Arial" w:hAnsi="Arial"/>
                <w:sz w:val="13"/>
                <w:szCs w:val="13"/>
                <w:color w:val="auto"/>
              </w:rPr>
              <w:t>Instant Web, LLC, Term Loan A</w:t>
            </w:r>
          </w:p>
        </w:tc>
        <w:tc>
          <w:tcPr>
            <w:tcW w:w="1200" w:type="dxa"/>
            <w:vAlign w:val="bottom"/>
          </w:tcPr>
          <w:p>
            <w:pPr>
              <w:jc w:val="center"/>
              <w:ind w:left="317"/>
              <w:spacing w:after="0" w:line="121" w:lineRule="exact"/>
              <w:rPr>
                <w:sz w:val="20"/>
                <w:szCs w:val="20"/>
                <w:color w:val="auto"/>
              </w:rPr>
            </w:pPr>
            <w:r>
              <w:rPr>
                <w:rFonts w:ascii="Arial" w:cs="Arial" w:eastAsia="Arial" w:hAnsi="Arial"/>
                <w:sz w:val="13"/>
                <w:szCs w:val="13"/>
                <w:color w:val="auto"/>
                <w:w w:val="89"/>
              </w:rPr>
              <w:t>03/28/2019</w:t>
            </w:r>
          </w:p>
        </w:tc>
        <w:tc>
          <w:tcPr>
            <w:tcW w:w="192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980" w:type="dxa"/>
            <w:vAlign w:val="bottom"/>
          </w:tcPr>
          <w:p>
            <w:pPr>
              <w:jc w:val="right"/>
              <w:ind w:right="97"/>
              <w:spacing w:after="0" w:line="121"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L+450</w:t>
            </w:r>
          </w:p>
        </w:tc>
        <w:tc>
          <w:tcPr>
            <w:tcW w:w="880" w:type="dxa"/>
            <w:vAlign w:val="bottom"/>
          </w:tcPr>
          <w:p>
            <w:pPr>
              <w:jc w:val="right"/>
              <w:ind w:right="57"/>
              <w:spacing w:after="0" w:line="121" w:lineRule="exact"/>
              <w:rPr>
                <w:sz w:val="20"/>
                <w:szCs w:val="20"/>
                <w:color w:val="auto"/>
              </w:rPr>
            </w:pPr>
            <w:r>
              <w:rPr>
                <w:rFonts w:ascii="Arial" w:cs="Arial" w:eastAsia="Arial" w:hAnsi="Arial"/>
                <w:sz w:val="13"/>
                <w:szCs w:val="13"/>
                <w:color w:val="auto"/>
              </w:rPr>
              <w:t>5,320,935</w:t>
            </w:r>
          </w:p>
        </w:tc>
        <w:tc>
          <w:tcPr>
            <w:tcW w:w="9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5,269,602</w:t>
            </w:r>
          </w:p>
        </w:tc>
        <w:tc>
          <w:tcPr>
            <w:tcW w:w="20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5,320,935</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2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Instant Web, LLC, Term Loan B</w:t>
            </w:r>
          </w:p>
        </w:tc>
        <w:tc>
          <w:tcPr>
            <w:tcW w:w="1200" w:type="dxa"/>
            <w:vAlign w:val="bottom"/>
            <w:shd w:val="clear" w:color="auto" w:fill="CCEEFF"/>
          </w:tcPr>
          <w:p>
            <w:pPr>
              <w:jc w:val="center"/>
              <w:ind w:left="317"/>
              <w:spacing w:after="0" w:line="121" w:lineRule="exact"/>
              <w:rPr>
                <w:sz w:val="20"/>
                <w:szCs w:val="20"/>
                <w:color w:val="auto"/>
              </w:rPr>
            </w:pPr>
            <w:r>
              <w:rPr>
                <w:rFonts w:ascii="Arial" w:cs="Arial" w:eastAsia="Arial" w:hAnsi="Arial"/>
                <w:sz w:val="13"/>
                <w:szCs w:val="13"/>
                <w:color w:val="auto"/>
                <w:w w:val="89"/>
              </w:rPr>
              <w:t>03/28/2019</w:t>
            </w:r>
          </w:p>
        </w:tc>
        <w:tc>
          <w:tcPr>
            <w:tcW w:w="19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98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12.00%</w:t>
            </w:r>
          </w:p>
        </w:tc>
        <w:tc>
          <w:tcPr>
            <w:tcW w:w="96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L+1,100</w:t>
            </w:r>
          </w:p>
        </w:tc>
        <w:tc>
          <w:tcPr>
            <w:tcW w:w="8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4,500,000</w:t>
            </w:r>
          </w:p>
        </w:tc>
        <w:tc>
          <w:tcPr>
            <w:tcW w:w="9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4,453,349</w:t>
            </w:r>
          </w:p>
        </w:tc>
        <w:tc>
          <w:tcPr>
            <w:tcW w:w="2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Interior Specialists, Inc.</w:t>
            </w:r>
          </w:p>
        </w:tc>
        <w:tc>
          <w:tcPr>
            <w:tcW w:w="1200" w:type="dxa"/>
            <w:vAlign w:val="bottom"/>
          </w:tcPr>
          <w:p>
            <w:pPr>
              <w:jc w:val="center"/>
              <w:ind w:left="317"/>
              <w:spacing w:after="0" w:line="135" w:lineRule="exact"/>
              <w:rPr>
                <w:sz w:val="20"/>
                <w:szCs w:val="20"/>
                <w:color w:val="auto"/>
              </w:rPr>
            </w:pPr>
            <w:r>
              <w:rPr>
                <w:rFonts w:ascii="Arial" w:cs="Arial" w:eastAsia="Arial" w:hAnsi="Arial"/>
                <w:sz w:val="13"/>
                <w:szCs w:val="13"/>
                <w:color w:val="auto"/>
                <w:w w:val="89"/>
              </w:rPr>
              <w:t>06/30/2020</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L+800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6,731,359</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6,671,694</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6,529,419</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Jackson Hewitt Inc.</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07/30/2020</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8.00%</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L+700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5,000,000</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4,910,428</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4,850,000</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1200" w:type="dxa"/>
            <w:vAlign w:val="bottom"/>
          </w:tcPr>
          <w:p>
            <w:pPr>
              <w:jc w:val="center"/>
              <w:ind w:left="317"/>
              <w:spacing w:after="0" w:line="135" w:lineRule="exact"/>
              <w:rPr>
                <w:sz w:val="20"/>
                <w:szCs w:val="20"/>
                <w:color w:val="auto"/>
              </w:rPr>
            </w:pPr>
            <w:r>
              <w:rPr>
                <w:rFonts w:ascii="Arial" w:cs="Arial" w:eastAsia="Arial" w:hAnsi="Arial"/>
                <w:sz w:val="13"/>
                <w:szCs w:val="13"/>
                <w:color w:val="auto"/>
                <w:w w:val="89"/>
              </w:rPr>
              <w:t>02/19/2021</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10.00%</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L+900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4,002,471</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3,928,890</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3,838,858</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Kendra Scott, LLC</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07/17/2020</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7.00%</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L+600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2,925,000</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2,898,955</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2,903,062</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KHC Holdings, Inc.</w:t>
            </w:r>
          </w:p>
        </w:tc>
        <w:tc>
          <w:tcPr>
            <w:tcW w:w="1200" w:type="dxa"/>
            <w:vAlign w:val="bottom"/>
          </w:tcPr>
          <w:p>
            <w:pPr>
              <w:jc w:val="center"/>
              <w:ind w:left="317"/>
              <w:spacing w:after="0" w:line="135" w:lineRule="exact"/>
              <w:rPr>
                <w:sz w:val="20"/>
                <w:szCs w:val="20"/>
                <w:color w:val="auto"/>
              </w:rPr>
            </w:pPr>
            <w:r>
              <w:rPr>
                <w:rFonts w:ascii="Arial" w:cs="Arial" w:eastAsia="Arial" w:hAnsi="Arial"/>
                <w:sz w:val="13"/>
                <w:szCs w:val="13"/>
                <w:color w:val="auto"/>
                <w:w w:val="89"/>
              </w:rPr>
              <w:t>10/31/2022</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8"/>
              </w:rPr>
              <w:t>Wholesale</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7.00%</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L+600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12,500,000</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12,291,262</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12,281,250</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KHC Holdings, Inc. (Revolver) </w:t>
            </w:r>
            <w:r>
              <w:rPr>
                <w:rFonts w:ascii="Arial" w:cs="Arial" w:eastAsia="Arial" w:hAnsi="Arial"/>
                <w:sz w:val="10"/>
                <w:szCs w:val="10"/>
                <w:color w:val="auto"/>
              </w:rPr>
              <w:t>(8) , (10)</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10/30/2020</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Wholesale</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1,209,677</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Lago Resort &amp; Casino, LLC</w:t>
            </w:r>
          </w:p>
        </w:tc>
        <w:tc>
          <w:tcPr>
            <w:tcW w:w="1200" w:type="dxa"/>
            <w:vAlign w:val="bottom"/>
          </w:tcPr>
          <w:p>
            <w:pPr>
              <w:jc w:val="center"/>
              <w:ind w:left="317"/>
              <w:spacing w:after="0" w:line="135" w:lineRule="exact"/>
              <w:rPr>
                <w:sz w:val="20"/>
                <w:szCs w:val="20"/>
                <w:color w:val="auto"/>
              </w:rPr>
            </w:pPr>
            <w:r>
              <w:rPr>
                <w:rFonts w:ascii="Arial" w:cs="Arial" w:eastAsia="Arial" w:hAnsi="Arial"/>
                <w:sz w:val="13"/>
                <w:szCs w:val="13"/>
                <w:color w:val="auto"/>
                <w:w w:val="89"/>
              </w:rPr>
              <w:t>03/07/2022</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10.50%</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L+950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10,200,000</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9,996,380</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9,996,000</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Lanyon Solutions, Inc.</w:t>
            </w:r>
          </w:p>
        </w:tc>
        <w:tc>
          <w:tcPr>
            <w:tcW w:w="1200" w:type="dxa"/>
            <w:vAlign w:val="bottom"/>
            <w:shd w:val="clear" w:color="auto" w:fill="CCEEFF"/>
          </w:tcPr>
          <w:p>
            <w:pPr>
              <w:jc w:val="center"/>
              <w:ind w:left="337"/>
              <w:spacing w:after="0" w:line="135" w:lineRule="exact"/>
              <w:rPr>
                <w:sz w:val="20"/>
                <w:szCs w:val="20"/>
                <w:color w:val="auto"/>
              </w:rPr>
            </w:pPr>
            <w:r>
              <w:rPr>
                <w:rFonts w:ascii="Arial" w:cs="Arial" w:eastAsia="Arial" w:hAnsi="Arial"/>
                <w:sz w:val="13"/>
                <w:szCs w:val="13"/>
                <w:color w:val="auto"/>
                <w:w w:val="86"/>
              </w:rPr>
              <w:t>11/13/2020</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5.50%</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L+450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1,955,016</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1,948,780</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1,852,377</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1200" w:type="dxa"/>
            <w:vAlign w:val="bottom"/>
          </w:tcPr>
          <w:p>
            <w:pPr>
              <w:jc w:val="center"/>
              <w:ind w:left="337"/>
              <w:spacing w:after="0" w:line="135" w:lineRule="exact"/>
              <w:rPr>
                <w:sz w:val="20"/>
                <w:szCs w:val="20"/>
                <w:color w:val="auto"/>
              </w:rPr>
            </w:pPr>
            <w:r>
              <w:rPr>
                <w:rFonts w:ascii="Arial" w:cs="Arial" w:eastAsia="Arial" w:hAnsi="Arial"/>
                <w:sz w:val="13"/>
                <w:szCs w:val="13"/>
                <w:color w:val="auto"/>
                <w:w w:val="86"/>
              </w:rPr>
              <w:t>11/30/2018</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L+525</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5,759,457</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5,710,523</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5,759,457</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Lindblad Expeditions, Inc. </w:t>
            </w:r>
            <w:r>
              <w:rPr>
                <w:rFonts w:ascii="Arial" w:cs="Arial" w:eastAsia="Arial" w:hAnsi="Arial"/>
                <w:sz w:val="10"/>
                <w:szCs w:val="10"/>
                <w:color w:val="auto"/>
              </w:rPr>
              <w:t>(6), (11)</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05/10/2021</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5.50%</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L+450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2,197,679</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2,187,608</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2,186,690</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 xml:space="preserve">Lindblad Maritime Enterprises, Ltd. </w:t>
            </w:r>
            <w:r>
              <w:rPr>
                <w:rFonts w:ascii="Arial" w:cs="Arial" w:eastAsia="Arial" w:hAnsi="Arial"/>
                <w:sz w:val="10"/>
                <w:szCs w:val="10"/>
                <w:color w:val="auto"/>
              </w:rPr>
              <w:t>(6), (11)</w:t>
            </w:r>
          </w:p>
        </w:tc>
        <w:tc>
          <w:tcPr>
            <w:tcW w:w="1200" w:type="dxa"/>
            <w:vAlign w:val="bottom"/>
          </w:tcPr>
          <w:p>
            <w:pPr>
              <w:jc w:val="center"/>
              <w:ind w:left="317"/>
              <w:spacing w:after="0" w:line="135" w:lineRule="exact"/>
              <w:rPr>
                <w:sz w:val="20"/>
                <w:szCs w:val="20"/>
                <w:color w:val="auto"/>
              </w:rPr>
            </w:pPr>
            <w:r>
              <w:rPr>
                <w:rFonts w:ascii="Arial" w:cs="Arial" w:eastAsia="Arial" w:hAnsi="Arial"/>
                <w:sz w:val="13"/>
                <w:szCs w:val="13"/>
                <w:color w:val="auto"/>
                <w:w w:val="89"/>
              </w:rPr>
              <w:t>05/10/2021</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L+450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283,571</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282,272</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282,154</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LSF9 Atlantis Holdings, LLC</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01/15/2021</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10.00%</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L+900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9,787,069</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9,646,974</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9,710,214</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LSF9 Cypress Holdings LLC</w:t>
            </w:r>
          </w:p>
        </w:tc>
        <w:tc>
          <w:tcPr>
            <w:tcW w:w="1200" w:type="dxa"/>
            <w:vAlign w:val="bottom"/>
          </w:tcPr>
          <w:p>
            <w:pPr>
              <w:jc w:val="center"/>
              <w:ind w:left="317"/>
              <w:spacing w:after="0" w:line="135" w:lineRule="exact"/>
              <w:rPr>
                <w:sz w:val="20"/>
                <w:szCs w:val="20"/>
                <w:color w:val="auto"/>
              </w:rPr>
            </w:pPr>
            <w:r>
              <w:rPr>
                <w:rFonts w:ascii="Arial" w:cs="Arial" w:eastAsia="Arial" w:hAnsi="Arial"/>
                <w:sz w:val="13"/>
                <w:szCs w:val="13"/>
                <w:color w:val="auto"/>
                <w:w w:val="89"/>
              </w:rPr>
              <w:t>10/10/2022</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7.25%</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L+625</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12,468,750</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11,874,943</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11,803,792</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LTI Holdings, Inc.</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04/18/2022</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5.25%</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L+425</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5,458,750</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4,965,858</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5,117,578</w:t>
            </w:r>
          </w:p>
        </w:tc>
        <w:tc>
          <w:tcPr>
            <w:tcW w:w="0" w:type="dxa"/>
            <w:vAlign w:val="bottom"/>
          </w:tcPr>
          <w:p>
            <w:pPr>
              <w:spacing w:after="0"/>
              <w:rPr>
                <w:sz w:val="1"/>
                <w:szCs w:val="1"/>
                <w:color w:val="auto"/>
              </w:rPr>
            </w:pPr>
          </w:p>
        </w:tc>
      </w:tr>
      <w:tr>
        <w:trPr>
          <w:trHeight w:val="121"/>
        </w:trPr>
        <w:tc>
          <w:tcPr>
            <w:tcW w:w="3160" w:type="dxa"/>
            <w:vAlign w:val="bottom"/>
          </w:tcPr>
          <w:p>
            <w:pPr>
              <w:spacing w:after="0" w:line="121" w:lineRule="exact"/>
              <w:rPr>
                <w:sz w:val="20"/>
                <w:szCs w:val="20"/>
                <w:color w:val="auto"/>
              </w:rPr>
            </w:pPr>
            <w:r>
              <w:rPr>
                <w:rFonts w:ascii="Arial" w:cs="Arial" w:eastAsia="Arial" w:hAnsi="Arial"/>
                <w:sz w:val="13"/>
                <w:szCs w:val="13"/>
                <w:color w:val="auto"/>
              </w:rPr>
              <w:t xml:space="preserve">Marketplace Events LLC </w:t>
            </w:r>
            <w:r>
              <w:rPr>
                <w:rFonts w:ascii="Arial" w:cs="Arial" w:eastAsia="Arial" w:hAnsi="Arial"/>
                <w:sz w:val="10"/>
                <w:szCs w:val="10"/>
                <w:color w:val="auto"/>
              </w:rPr>
              <w:t>(12)</w:t>
            </w:r>
          </w:p>
        </w:tc>
        <w:tc>
          <w:tcPr>
            <w:tcW w:w="1200" w:type="dxa"/>
            <w:vAlign w:val="bottom"/>
          </w:tcPr>
          <w:p>
            <w:pPr>
              <w:jc w:val="center"/>
              <w:ind w:left="317"/>
              <w:spacing w:after="0" w:line="121" w:lineRule="exact"/>
              <w:rPr>
                <w:sz w:val="20"/>
                <w:szCs w:val="20"/>
                <w:color w:val="auto"/>
              </w:rPr>
            </w:pPr>
            <w:r>
              <w:rPr>
                <w:rFonts w:ascii="Arial" w:cs="Arial" w:eastAsia="Arial" w:hAnsi="Arial"/>
                <w:sz w:val="13"/>
                <w:szCs w:val="13"/>
                <w:color w:val="auto"/>
                <w:w w:val="89"/>
              </w:rPr>
              <w:t>01/27/2021</w:t>
            </w:r>
          </w:p>
        </w:tc>
        <w:tc>
          <w:tcPr>
            <w:tcW w:w="1920" w:type="dxa"/>
            <w:vAlign w:val="bottom"/>
          </w:tcPr>
          <w:p>
            <w:pPr>
              <w:jc w:val="center"/>
              <w:spacing w:after="0" w:line="121" w:lineRule="exact"/>
              <w:rPr>
                <w:sz w:val="20"/>
                <w:szCs w:val="20"/>
                <w:color w:val="auto"/>
              </w:rPr>
            </w:pPr>
            <w:r>
              <w:rPr>
                <w:rFonts w:ascii="Arial" w:cs="Arial" w:eastAsia="Arial" w:hAnsi="Arial"/>
                <w:sz w:val="13"/>
                <w:szCs w:val="13"/>
                <w:color w:val="auto"/>
                <w:w w:val="91"/>
              </w:rPr>
              <w:t>Media: Diversified and</w:t>
            </w:r>
          </w:p>
        </w:tc>
        <w:tc>
          <w:tcPr>
            <w:tcW w:w="980" w:type="dxa"/>
            <w:vAlign w:val="bottom"/>
          </w:tcPr>
          <w:p>
            <w:pPr>
              <w:jc w:val="right"/>
              <w:ind w:right="97"/>
              <w:spacing w:after="0" w:line="121" w:lineRule="exact"/>
              <w:rPr>
                <w:sz w:val="20"/>
                <w:szCs w:val="20"/>
                <w:color w:val="auto"/>
              </w:rPr>
            </w:pPr>
            <w:r>
              <w:rPr>
                <w:rFonts w:ascii="Arial" w:cs="Arial" w:eastAsia="Arial" w:hAnsi="Arial"/>
                <w:sz w:val="13"/>
                <w:szCs w:val="13"/>
                <w:color w:val="auto"/>
              </w:rPr>
              <w:t>6.25%</w:t>
            </w:r>
          </w:p>
        </w:tc>
        <w:tc>
          <w:tcPr>
            <w:tcW w:w="96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P+275</w:t>
            </w:r>
          </w:p>
        </w:tc>
        <w:tc>
          <w:tcPr>
            <w:tcW w:w="88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17,330,908</w:t>
            </w:r>
          </w:p>
        </w:tc>
        <w:tc>
          <w:tcPr>
            <w:tcW w:w="9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12,109,850</w:t>
            </w:r>
          </w:p>
        </w:tc>
        <w:tc>
          <w:tcPr>
            <w:tcW w:w="20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13,186,541</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20" w:type="dxa"/>
            <w:vAlign w:val="bottom"/>
          </w:tcPr>
          <w:p>
            <w:pPr>
              <w:jc w:val="center"/>
              <w:spacing w:after="0"/>
              <w:rPr>
                <w:sz w:val="20"/>
                <w:szCs w:val="20"/>
                <w:color w:val="auto"/>
              </w:rPr>
            </w:pPr>
            <w:r>
              <w:rPr>
                <w:rFonts w:ascii="Arial" w:cs="Arial" w:eastAsia="Arial" w:hAnsi="Arial"/>
                <w:sz w:val="13"/>
                <w:szCs w:val="13"/>
                <w:color w:val="auto"/>
                <w:w w:val="86"/>
              </w:rPr>
              <w:t>Production</w:t>
            </w: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Marketplace Events LLC (Revolver) </w:t>
            </w:r>
            <w:r>
              <w:rPr>
                <w:rFonts w:ascii="Arial" w:cs="Arial" w:eastAsia="Arial" w:hAnsi="Arial"/>
                <w:sz w:val="10"/>
                <w:szCs w:val="10"/>
                <w:color w:val="auto"/>
              </w:rPr>
              <w:t>(8) , (10)</w:t>
            </w:r>
          </w:p>
        </w:tc>
        <w:tc>
          <w:tcPr>
            <w:tcW w:w="1200" w:type="dxa"/>
            <w:vAlign w:val="bottom"/>
            <w:shd w:val="clear" w:color="auto" w:fill="CCEEFF"/>
          </w:tcPr>
          <w:p>
            <w:pPr>
              <w:jc w:val="center"/>
              <w:ind w:left="317"/>
              <w:spacing w:after="0" w:line="121" w:lineRule="exact"/>
              <w:rPr>
                <w:sz w:val="20"/>
                <w:szCs w:val="20"/>
                <w:color w:val="auto"/>
              </w:rPr>
            </w:pPr>
            <w:r>
              <w:rPr>
                <w:rFonts w:ascii="Arial" w:cs="Arial" w:eastAsia="Arial" w:hAnsi="Arial"/>
                <w:sz w:val="13"/>
                <w:szCs w:val="13"/>
                <w:color w:val="auto"/>
                <w:w w:val="89"/>
              </w:rPr>
              <w:t>01/27/2021</w:t>
            </w:r>
          </w:p>
        </w:tc>
        <w:tc>
          <w:tcPr>
            <w:tcW w:w="19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Media: Diversified and</w:t>
            </w:r>
          </w:p>
        </w:tc>
        <w:tc>
          <w:tcPr>
            <w:tcW w:w="98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1,703,163</w:t>
            </w:r>
          </w:p>
        </w:tc>
        <w:tc>
          <w:tcPr>
            <w:tcW w:w="9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Production</w:t>
            </w: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MB Aerospace ACP Holdings II Corp.</w:t>
            </w:r>
          </w:p>
        </w:tc>
        <w:tc>
          <w:tcPr>
            <w:tcW w:w="1200" w:type="dxa"/>
            <w:vAlign w:val="bottom"/>
          </w:tcPr>
          <w:p>
            <w:pPr>
              <w:jc w:val="center"/>
              <w:ind w:left="317"/>
              <w:spacing w:after="0" w:line="135" w:lineRule="exact"/>
              <w:rPr>
                <w:sz w:val="20"/>
                <w:szCs w:val="20"/>
                <w:color w:val="auto"/>
              </w:rPr>
            </w:pPr>
            <w:r>
              <w:rPr>
                <w:rFonts w:ascii="Arial" w:cs="Arial" w:eastAsia="Arial" w:hAnsi="Arial"/>
                <w:sz w:val="13"/>
                <w:szCs w:val="13"/>
                <w:color w:val="auto"/>
                <w:w w:val="89"/>
              </w:rPr>
              <w:t>12/15/2022</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L+550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6,982,500</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6,914,456</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6,877,763</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New Trident HoldCorp, Inc.</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07/31/2019</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L+525</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8,867,647</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8,813,952</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8,455,301</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PlayPower, Inc.</w:t>
            </w:r>
          </w:p>
        </w:tc>
        <w:tc>
          <w:tcPr>
            <w:tcW w:w="1200" w:type="dxa"/>
            <w:vAlign w:val="bottom"/>
          </w:tcPr>
          <w:p>
            <w:pPr>
              <w:jc w:val="center"/>
              <w:ind w:left="317"/>
              <w:spacing w:after="0" w:line="135" w:lineRule="exact"/>
              <w:rPr>
                <w:sz w:val="20"/>
                <w:szCs w:val="20"/>
                <w:color w:val="auto"/>
              </w:rPr>
            </w:pPr>
            <w:r>
              <w:rPr>
                <w:rFonts w:ascii="Arial" w:cs="Arial" w:eastAsia="Arial" w:hAnsi="Arial"/>
                <w:sz w:val="13"/>
                <w:szCs w:val="13"/>
                <w:color w:val="auto"/>
                <w:w w:val="89"/>
              </w:rPr>
              <w:t>06/23/2021</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5.75%</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L+475</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3,970,000</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3,934,144</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3,920,375</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Polyconcept Finance B.V.</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06/28/2019</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L+475</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15,489,901</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15,370,671</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15,180,103</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Premier Dental Services, Inc.</w:t>
            </w:r>
          </w:p>
        </w:tc>
        <w:tc>
          <w:tcPr>
            <w:tcW w:w="1200" w:type="dxa"/>
            <w:vAlign w:val="bottom"/>
          </w:tcPr>
          <w:p>
            <w:pPr>
              <w:jc w:val="center"/>
              <w:ind w:left="337"/>
              <w:spacing w:after="0" w:line="135" w:lineRule="exact"/>
              <w:rPr>
                <w:sz w:val="20"/>
                <w:szCs w:val="20"/>
                <w:color w:val="auto"/>
              </w:rPr>
            </w:pPr>
            <w:r>
              <w:rPr>
                <w:rFonts w:ascii="Arial" w:cs="Arial" w:eastAsia="Arial" w:hAnsi="Arial"/>
                <w:sz w:val="13"/>
                <w:szCs w:val="13"/>
                <w:color w:val="auto"/>
                <w:w w:val="86"/>
              </w:rPr>
              <w:t>11/01/2018</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7.50%</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L+650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7,528,230</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7,458,723</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6,775,407</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Profile Products LLC</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05/20/2021</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Environmental Industries</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L+500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7,376,025</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7,309,271</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7,376,025</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 xml:space="preserve">Profile Products LLC (Revolver) </w:t>
            </w:r>
            <w:r>
              <w:rPr>
                <w:rFonts w:ascii="Arial" w:cs="Arial" w:eastAsia="Arial" w:hAnsi="Arial"/>
                <w:sz w:val="10"/>
                <w:szCs w:val="10"/>
                <w:color w:val="auto"/>
              </w:rPr>
              <w:t>(8)</w:t>
            </w:r>
          </w:p>
        </w:tc>
        <w:tc>
          <w:tcPr>
            <w:tcW w:w="1200" w:type="dxa"/>
            <w:vAlign w:val="bottom"/>
          </w:tcPr>
          <w:p>
            <w:pPr>
              <w:jc w:val="center"/>
              <w:ind w:left="317"/>
              <w:spacing w:after="0" w:line="135" w:lineRule="exact"/>
              <w:rPr>
                <w:sz w:val="20"/>
                <w:szCs w:val="20"/>
                <w:color w:val="auto"/>
              </w:rPr>
            </w:pPr>
            <w:r>
              <w:rPr>
                <w:rFonts w:ascii="Arial" w:cs="Arial" w:eastAsia="Arial" w:hAnsi="Arial"/>
                <w:sz w:val="13"/>
                <w:szCs w:val="13"/>
                <w:color w:val="auto"/>
                <w:w w:val="89"/>
              </w:rPr>
              <w:t>05/20/2020</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9"/>
              </w:rPr>
              <w:t>Environmental Industries</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7.50%</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P+400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367,213</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367,213</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367,213</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Profile Products LLC (Revolver) </w:t>
            </w:r>
            <w:r>
              <w:rPr>
                <w:rFonts w:ascii="Arial" w:cs="Arial" w:eastAsia="Arial" w:hAnsi="Arial"/>
                <w:sz w:val="10"/>
                <w:szCs w:val="10"/>
                <w:color w:val="auto"/>
              </w:rPr>
              <w:t>(8) , (10)</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05/20/2020</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Environmental Industries</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2,091,803</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Quality Home Brands Holdings LLC</w:t>
            </w:r>
          </w:p>
        </w:tc>
        <w:tc>
          <w:tcPr>
            <w:tcW w:w="1200" w:type="dxa"/>
            <w:vAlign w:val="bottom"/>
          </w:tcPr>
          <w:p>
            <w:pPr>
              <w:jc w:val="center"/>
              <w:ind w:left="317"/>
              <w:spacing w:after="0" w:line="135" w:lineRule="exact"/>
              <w:rPr>
                <w:sz w:val="20"/>
                <w:szCs w:val="20"/>
                <w:color w:val="auto"/>
              </w:rPr>
            </w:pPr>
            <w:r>
              <w:rPr>
                <w:rFonts w:ascii="Arial" w:cs="Arial" w:eastAsia="Arial" w:hAnsi="Arial"/>
                <w:sz w:val="13"/>
                <w:szCs w:val="13"/>
                <w:color w:val="auto"/>
                <w:w w:val="89"/>
              </w:rPr>
              <w:t>12/17/2018</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7.75%</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L+650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4,877,500</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4,856,739</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4,863,063</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Research Now Group, Inc.</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03/18/2021</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5.50%</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L+450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6,930,000</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6,899,464</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6,756,750</w:t>
            </w:r>
          </w:p>
        </w:tc>
        <w:tc>
          <w:tcPr>
            <w:tcW w:w="0" w:type="dxa"/>
            <w:vAlign w:val="bottom"/>
          </w:tcPr>
          <w:p>
            <w:pPr>
              <w:spacing w:after="0"/>
              <w:rPr>
                <w:sz w:val="1"/>
                <w:szCs w:val="1"/>
                <w:color w:val="auto"/>
              </w:rPr>
            </w:pPr>
          </w:p>
        </w:tc>
      </w:tr>
      <w:tr>
        <w:trPr>
          <w:trHeight w:val="135"/>
        </w:trPr>
        <w:tc>
          <w:tcPr>
            <w:tcW w:w="3160" w:type="dxa"/>
            <w:vAlign w:val="bottom"/>
          </w:tcPr>
          <w:p>
            <w:pPr>
              <w:spacing w:after="0" w:line="135" w:lineRule="exact"/>
              <w:rPr>
                <w:sz w:val="20"/>
                <w:szCs w:val="20"/>
                <w:color w:val="auto"/>
              </w:rPr>
            </w:pPr>
            <w:r>
              <w:rPr>
                <w:rFonts w:ascii="Arial" w:cs="Arial" w:eastAsia="Arial" w:hAnsi="Arial"/>
                <w:sz w:val="13"/>
                <w:szCs w:val="13"/>
                <w:color w:val="auto"/>
              </w:rPr>
              <w:t>Robertshaw US Holding Corp.</w:t>
            </w:r>
          </w:p>
        </w:tc>
        <w:tc>
          <w:tcPr>
            <w:tcW w:w="1200" w:type="dxa"/>
            <w:vAlign w:val="bottom"/>
          </w:tcPr>
          <w:p>
            <w:pPr>
              <w:jc w:val="center"/>
              <w:ind w:left="317"/>
              <w:spacing w:after="0" w:line="135" w:lineRule="exact"/>
              <w:rPr>
                <w:sz w:val="20"/>
                <w:szCs w:val="20"/>
                <w:color w:val="auto"/>
              </w:rPr>
            </w:pPr>
            <w:r>
              <w:rPr>
                <w:rFonts w:ascii="Arial" w:cs="Arial" w:eastAsia="Arial" w:hAnsi="Arial"/>
                <w:sz w:val="13"/>
                <w:szCs w:val="13"/>
                <w:color w:val="auto"/>
                <w:w w:val="89"/>
              </w:rPr>
              <w:t>06/18/2019</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L+750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3,537,514</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3,515,028</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3,511,667</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Ryan, LLC</w:t>
            </w:r>
          </w:p>
        </w:tc>
        <w:tc>
          <w:tcPr>
            <w:tcW w:w="12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9"/>
              </w:rPr>
              <w:t>08/07/2020</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6.75%</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L+575</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4,331,250</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4,272,091</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4,195,898</w:t>
            </w:r>
          </w:p>
        </w:tc>
        <w:tc>
          <w:tcPr>
            <w:tcW w:w="0" w:type="dxa"/>
            <w:vAlign w:val="bottom"/>
          </w:tcPr>
          <w:p>
            <w:pPr>
              <w:spacing w:after="0"/>
              <w:rPr>
                <w:sz w:val="1"/>
                <w:szCs w:val="1"/>
                <w:color w:val="auto"/>
              </w:rPr>
            </w:pPr>
          </w:p>
        </w:tc>
      </w:tr>
      <w:tr>
        <w:trPr>
          <w:trHeight w:val="160"/>
        </w:trPr>
        <w:tc>
          <w:tcPr>
            <w:tcW w:w="3160" w:type="dxa"/>
            <w:vAlign w:val="bottom"/>
          </w:tcPr>
          <w:p>
            <w:pPr>
              <w:spacing w:after="0"/>
              <w:rPr>
                <w:sz w:val="20"/>
                <w:szCs w:val="20"/>
                <w:color w:val="auto"/>
              </w:rPr>
            </w:pPr>
            <w:r>
              <w:rPr>
                <w:rFonts w:ascii="Arial" w:cs="Arial" w:eastAsia="Arial" w:hAnsi="Arial"/>
                <w:sz w:val="13"/>
                <w:szCs w:val="13"/>
                <w:color w:val="auto"/>
              </w:rPr>
              <w:t>Sotera Defense Solutions, Inc.</w:t>
            </w:r>
          </w:p>
        </w:tc>
        <w:tc>
          <w:tcPr>
            <w:tcW w:w="1200" w:type="dxa"/>
            <w:vAlign w:val="bottom"/>
          </w:tcPr>
          <w:p>
            <w:pPr>
              <w:jc w:val="center"/>
              <w:ind w:left="317"/>
              <w:spacing w:after="0"/>
              <w:rPr>
                <w:sz w:val="20"/>
                <w:szCs w:val="20"/>
                <w:color w:val="auto"/>
              </w:rPr>
            </w:pPr>
            <w:r>
              <w:rPr>
                <w:rFonts w:ascii="Arial" w:cs="Arial" w:eastAsia="Arial" w:hAnsi="Arial"/>
                <w:sz w:val="13"/>
                <w:szCs w:val="13"/>
                <w:color w:val="auto"/>
                <w:w w:val="89"/>
              </w:rPr>
              <w:t>04/21/2017</w:t>
            </w:r>
          </w:p>
        </w:tc>
        <w:tc>
          <w:tcPr>
            <w:tcW w:w="1920" w:type="dxa"/>
            <w:vAlign w:val="bottom"/>
          </w:tcPr>
          <w:p>
            <w:pPr>
              <w:jc w:val="center"/>
              <w:spacing w:after="0"/>
              <w:rPr>
                <w:sz w:val="20"/>
                <w:szCs w:val="20"/>
                <w:color w:val="auto"/>
              </w:rPr>
            </w:pPr>
            <w:r>
              <w:rPr>
                <w:rFonts w:ascii="Arial" w:cs="Arial" w:eastAsia="Arial" w:hAnsi="Arial"/>
                <w:sz w:val="13"/>
                <w:szCs w:val="13"/>
                <w:color w:val="auto"/>
                <w:w w:val="84"/>
              </w:rPr>
              <w:t>Aerospace and Defense</w:t>
            </w: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9.00%</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L+750</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6,056,944</w:t>
            </w: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5,949,106</w:t>
            </w:r>
          </w:p>
        </w:tc>
        <w:tc>
          <w:tcPr>
            <w:tcW w:w="2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6,026,659</w:t>
            </w: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Basis Point</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Spread</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362"/>
              <w:spacing w:after="0" w:line="135" w:lineRule="exact"/>
              <w:rPr>
                <w:sz w:val="20"/>
                <w:szCs w:val="20"/>
                <w:color w:val="auto"/>
              </w:rPr>
            </w:pPr>
            <w:r>
              <w:rPr>
                <w:rFonts w:ascii="Arial" w:cs="Arial" w:eastAsia="Arial" w:hAnsi="Arial"/>
                <w:sz w:val="13"/>
                <w:szCs w:val="13"/>
                <w:b w:val="1"/>
                <w:bCs w:val="1"/>
                <w:color w:val="auto"/>
              </w:rPr>
              <w:t>Current</w:t>
            </w: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Above</w:t>
            </w:r>
          </w:p>
        </w:tc>
        <w:tc>
          <w:tcPr>
            <w:tcW w:w="78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rPr>
              <w:t>Par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40" w:type="dxa"/>
            <w:vAlign w:val="bottom"/>
            <w:gridSpan w:val="2"/>
            <w:vMerge w:val="continue"/>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3"/>
                <w:szCs w:val="13"/>
                <w:b w:val="1"/>
                <w:bCs w:val="1"/>
                <w:color w:val="auto"/>
              </w:rPr>
              <w:t>Maturity</w:t>
            </w:r>
          </w:p>
        </w:tc>
        <w:tc>
          <w:tcPr>
            <w:tcW w:w="1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Industry</w:t>
            </w:r>
          </w:p>
        </w:tc>
        <w:tc>
          <w:tcPr>
            <w:tcW w:w="980" w:type="dxa"/>
            <w:vAlign w:val="bottom"/>
            <w:gridSpan w:val="2"/>
          </w:tcPr>
          <w:p>
            <w:pPr>
              <w:jc w:val="right"/>
              <w:ind w:right="362"/>
              <w:spacing w:after="0"/>
              <w:rPr>
                <w:sz w:val="20"/>
                <w:szCs w:val="20"/>
                <w:color w:val="auto"/>
              </w:rPr>
            </w:pPr>
            <w:r>
              <w:rPr>
                <w:rFonts w:ascii="Arial" w:cs="Arial" w:eastAsia="Arial" w:hAnsi="Arial"/>
                <w:sz w:val="13"/>
                <w:szCs w:val="13"/>
                <w:b w:val="1"/>
                <w:bCs w:val="1"/>
                <w:color w:val="auto"/>
              </w:rPr>
              <w:t>Coupon</w:t>
            </w: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3"/>
                <w:szCs w:val="13"/>
                <w:color w:val="auto"/>
              </w:rPr>
            </w:pPr>
          </w:p>
        </w:tc>
        <w:tc>
          <w:tcPr>
            <w:tcW w:w="800" w:type="dxa"/>
            <w:vAlign w:val="bottom"/>
            <w:gridSpan w:val="4"/>
          </w:tcPr>
          <w:p>
            <w:pPr>
              <w:spacing w:after="0"/>
              <w:rPr>
                <w:sz w:val="20"/>
                <w:szCs w:val="20"/>
                <w:color w:val="auto"/>
              </w:rPr>
            </w:pPr>
            <w:r>
              <w:rPr>
                <w:rFonts w:ascii="Arial" w:cs="Arial" w:eastAsia="Arial" w:hAnsi="Arial"/>
                <w:sz w:val="13"/>
                <w:szCs w:val="13"/>
                <w:b w:val="1"/>
                <w:bCs w:val="1"/>
                <w:color w:val="auto"/>
                <w:w w:val="99"/>
              </w:rPr>
              <w:t xml:space="preserve">Fair Value </w:t>
            </w:r>
            <w:r>
              <w:rPr>
                <w:rFonts w:ascii="Arial" w:cs="Arial" w:eastAsia="Arial" w:hAnsi="Arial"/>
                <w:sz w:val="10"/>
                <w:szCs w:val="10"/>
                <w:b w:val="1"/>
                <w:bCs w:val="1"/>
                <w:color w:val="auto"/>
                <w:w w:val="99"/>
              </w:rPr>
              <w:t>(2)</w:t>
            </w:r>
          </w:p>
        </w:tc>
        <w:tc>
          <w:tcPr>
            <w:tcW w:w="0" w:type="dxa"/>
            <w:vAlign w:val="bottom"/>
          </w:tcPr>
          <w:p>
            <w:pPr>
              <w:spacing w:after="0"/>
              <w:rPr>
                <w:sz w:val="1"/>
                <w:szCs w:val="1"/>
                <w:color w:val="auto"/>
              </w:rPr>
            </w:pPr>
          </w:p>
        </w:tc>
      </w:tr>
      <w:tr>
        <w:trPr>
          <w:trHeight w:val="128"/>
        </w:trPr>
        <w:tc>
          <w:tcPr>
            <w:tcW w:w="4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 xml:space="preserve">St. George’s University Scholastic Services LLC </w:t>
            </w:r>
            <w:r>
              <w:rPr>
                <w:rFonts w:ascii="Arial" w:cs="Arial" w:eastAsia="Arial" w:hAnsi="Arial"/>
                <w:sz w:val="10"/>
                <w:szCs w:val="10"/>
                <w:color w:val="auto"/>
              </w:rPr>
              <w:t>(6), (11)</w:t>
            </w: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08/09/2021</w:t>
            </w:r>
          </w:p>
        </w:tc>
        <w:tc>
          <w:tcPr>
            <w:tcW w:w="10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Consumer Services</w:t>
            </w: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5.75</w:t>
            </w:r>
          </w:p>
        </w:tc>
        <w:tc>
          <w:tcPr>
            <w:tcW w:w="280" w:type="dxa"/>
            <w:vAlign w:val="bottom"/>
            <w:tcBorders>
              <w:top w:val="single" w:sz="8" w:color="CCEEFF"/>
            </w:tcBorders>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w w:val="74"/>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L+475</w:t>
            </w:r>
          </w:p>
        </w:tc>
        <w:tc>
          <w:tcPr>
            <w:tcW w:w="2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200,000</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199,172</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200,250</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Sundial Group Holdings LLC</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6"/>
              </w:rPr>
              <w:t>10/19/2021</w:t>
            </w:r>
          </w:p>
        </w:tc>
        <w:tc>
          <w:tcPr>
            <w:tcW w:w="100" w:type="dxa"/>
            <w:vAlign w:val="bottom"/>
          </w:tcPr>
          <w:p>
            <w:pPr>
              <w:spacing w:after="0"/>
              <w:rPr>
                <w:sz w:val="11"/>
                <w:szCs w:val="11"/>
                <w:color w:val="auto"/>
              </w:rPr>
            </w:pP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Consumer Goods: Non-Durable</w:t>
            </w:r>
          </w:p>
        </w:tc>
        <w:tc>
          <w:tcPr>
            <w:tcW w:w="98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7.25%</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L+625</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7,500,000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7,377,909</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7,350,000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Survey Sampling International, LLC</w:t>
            </w: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12/16/2020</w:t>
            </w:r>
          </w:p>
        </w:tc>
        <w:tc>
          <w:tcPr>
            <w:tcW w:w="10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4"/>
              </w:rPr>
              <w:t>Business Services</w:t>
            </w:r>
          </w:p>
        </w:tc>
        <w:tc>
          <w:tcPr>
            <w:tcW w:w="9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6.00%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L+500</w:t>
            </w: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7,500,000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7,443,148</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7,350,000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Systems Maintenance Services Holding, Inc.</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6"/>
              </w:rPr>
              <w:t>10/18/2019</w:t>
            </w:r>
          </w:p>
        </w:tc>
        <w:tc>
          <w:tcPr>
            <w:tcW w:w="100" w:type="dxa"/>
            <w:vAlign w:val="bottom"/>
          </w:tcPr>
          <w:p>
            <w:pPr>
              <w:spacing w:after="0"/>
              <w:rPr>
                <w:sz w:val="11"/>
                <w:szCs w:val="11"/>
                <w:color w:val="auto"/>
              </w:rPr>
            </w:pP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High Tech Industries</w:t>
            </w:r>
          </w:p>
        </w:tc>
        <w:tc>
          <w:tcPr>
            <w:tcW w:w="98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5.00%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L+400</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5,865,000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5,845,738</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5,689,050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Tensar Corporation</w:t>
            </w: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07/09/2021</w:t>
            </w:r>
          </w:p>
        </w:tc>
        <w:tc>
          <w:tcPr>
            <w:tcW w:w="10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0"/>
              </w:rPr>
              <w:t>Construction and Building</w:t>
            </w:r>
          </w:p>
        </w:tc>
        <w:tc>
          <w:tcPr>
            <w:tcW w:w="9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5.75%</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L+475</w:t>
            </w: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4,925,000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4,884,878</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3,989,250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TOMS Shoes, LLC</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6"/>
              </w:rPr>
              <w:t>11/02/2020</w:t>
            </w:r>
          </w:p>
        </w:tc>
        <w:tc>
          <w:tcPr>
            <w:tcW w:w="100" w:type="dxa"/>
            <w:vAlign w:val="bottom"/>
          </w:tcPr>
          <w:p>
            <w:pPr>
              <w:spacing w:after="0"/>
              <w:rPr>
                <w:sz w:val="11"/>
                <w:szCs w:val="11"/>
                <w:color w:val="auto"/>
              </w:rPr>
            </w:pP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Consumer Goods: Non-Durable</w:t>
            </w:r>
          </w:p>
        </w:tc>
        <w:tc>
          <w:tcPr>
            <w:tcW w:w="98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6.50%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L+550</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1,980,000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1,819,985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1,663,200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Triad Manufacturing, Inc.</w:t>
            </w: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12/28/2020</w:t>
            </w:r>
          </w:p>
        </w:tc>
        <w:tc>
          <w:tcPr>
            <w:tcW w:w="10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8"/>
              </w:rPr>
              <w:t>Capital Equipment</w:t>
            </w:r>
          </w:p>
        </w:tc>
        <w:tc>
          <w:tcPr>
            <w:tcW w:w="9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11.25%</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L+1,075</w:t>
            </w: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11,837,656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8"/>
              </w:rPr>
              <w:t>11,611,103</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11,712,599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240" w:type="dxa"/>
            <w:vAlign w:val="bottom"/>
            <w:gridSpan w:val="2"/>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660" w:type="dxa"/>
            <w:vAlign w:val="bottom"/>
          </w:tcPr>
          <w:p>
            <w:pPr>
              <w:jc w:val="center"/>
              <w:spacing w:after="0" w:line="121" w:lineRule="exact"/>
              <w:rPr>
                <w:sz w:val="20"/>
                <w:szCs w:val="20"/>
                <w:color w:val="auto"/>
              </w:rPr>
            </w:pPr>
            <w:r>
              <w:rPr>
                <w:rFonts w:ascii="Arial" w:cs="Arial" w:eastAsia="Arial" w:hAnsi="Arial"/>
                <w:sz w:val="13"/>
                <w:szCs w:val="13"/>
                <w:color w:val="auto"/>
                <w:w w:val="86"/>
              </w:rPr>
              <w:t>01/14/2019</w:t>
            </w:r>
          </w:p>
        </w:tc>
        <w:tc>
          <w:tcPr>
            <w:tcW w:w="100" w:type="dxa"/>
            <w:vAlign w:val="bottom"/>
          </w:tcPr>
          <w:p>
            <w:pPr>
              <w:spacing w:after="0"/>
              <w:rPr>
                <w:sz w:val="10"/>
                <w:szCs w:val="10"/>
                <w:color w:val="auto"/>
              </w:rPr>
            </w:pPr>
          </w:p>
        </w:tc>
        <w:tc>
          <w:tcPr>
            <w:tcW w:w="172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8"/>
              </w:rPr>
              <w:t>Telecommunications</w:t>
            </w:r>
          </w:p>
        </w:tc>
        <w:tc>
          <w:tcPr>
            <w:tcW w:w="980" w:type="dxa"/>
            <w:vAlign w:val="bottom"/>
            <w:gridSpan w:val="2"/>
          </w:tcPr>
          <w:p>
            <w:pPr>
              <w:jc w:val="right"/>
              <w:ind w:right="122"/>
              <w:spacing w:after="0" w:line="121" w:lineRule="exact"/>
              <w:rPr>
                <w:sz w:val="20"/>
                <w:szCs w:val="20"/>
                <w:color w:val="auto"/>
              </w:rPr>
            </w:pPr>
            <w:r>
              <w:rPr>
                <w:rFonts w:ascii="Arial" w:cs="Arial" w:eastAsia="Arial" w:hAnsi="Arial"/>
                <w:sz w:val="13"/>
                <w:szCs w:val="13"/>
                <w:color w:val="auto"/>
              </w:rPr>
              <w:t>9.88%</w:t>
            </w:r>
          </w:p>
        </w:tc>
        <w:tc>
          <w:tcPr>
            <w:tcW w:w="9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L+850</w:t>
            </w:r>
          </w:p>
        </w:tc>
        <w:tc>
          <w:tcPr>
            <w:tcW w:w="78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395,408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395,408</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395,408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82"/>
              <w:spacing w:after="0"/>
              <w:rPr>
                <w:sz w:val="20"/>
                <w:szCs w:val="20"/>
                <w:color w:val="auto"/>
              </w:rPr>
            </w:pPr>
            <w:r>
              <w:rPr>
                <w:rFonts w:ascii="Arial" w:cs="Arial" w:eastAsia="Arial" w:hAnsi="Arial"/>
                <w:sz w:val="13"/>
                <w:szCs w:val="13"/>
                <w:color w:val="auto"/>
              </w:rPr>
              <w:t>(PIK 1.00%)</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24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66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6"/>
              </w:rPr>
              <w:t>01/14/2019</w:t>
            </w:r>
          </w:p>
        </w:tc>
        <w:tc>
          <w:tcPr>
            <w:tcW w:w="10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jc w:val="center"/>
              <w:ind w:right="100"/>
              <w:spacing w:after="0" w:line="136" w:lineRule="exact"/>
              <w:rPr>
                <w:sz w:val="20"/>
                <w:szCs w:val="20"/>
                <w:color w:val="auto"/>
              </w:rPr>
            </w:pPr>
            <w:r>
              <w:rPr>
                <w:rFonts w:ascii="Arial" w:cs="Arial" w:eastAsia="Arial" w:hAnsi="Arial"/>
                <w:sz w:val="13"/>
                <w:szCs w:val="13"/>
                <w:color w:val="auto"/>
                <w:w w:val="88"/>
              </w:rPr>
              <w:t>Telecommunications</w:t>
            </w:r>
          </w:p>
        </w:tc>
        <w:tc>
          <w:tcPr>
            <w:tcW w:w="980" w:type="dxa"/>
            <w:vAlign w:val="bottom"/>
            <w:gridSpan w:val="2"/>
            <w:shd w:val="clear" w:color="auto" w:fill="CCEEFF"/>
          </w:tcPr>
          <w:p>
            <w:pPr>
              <w:jc w:val="right"/>
              <w:ind w:right="122"/>
              <w:spacing w:after="0" w:line="136" w:lineRule="exact"/>
              <w:rPr>
                <w:sz w:val="20"/>
                <w:szCs w:val="20"/>
                <w:color w:val="auto"/>
              </w:rPr>
            </w:pPr>
            <w:r>
              <w:rPr>
                <w:rFonts w:ascii="Arial" w:cs="Arial" w:eastAsia="Arial" w:hAnsi="Arial"/>
                <w:sz w:val="13"/>
                <w:szCs w:val="13"/>
                <w:color w:val="auto"/>
              </w:rPr>
              <w:t>8.50%</w:t>
            </w:r>
          </w:p>
        </w:tc>
        <w:tc>
          <w:tcPr>
            <w:tcW w:w="96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L+750</w:t>
            </w:r>
          </w:p>
        </w:tc>
        <w:tc>
          <w:tcPr>
            <w:tcW w:w="7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599,702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555,380</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569,717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 (10)</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6"/>
              </w:rPr>
              <w:t>01/14/2019</w:t>
            </w:r>
          </w:p>
        </w:tc>
        <w:tc>
          <w:tcPr>
            <w:tcW w:w="100" w:type="dxa"/>
            <w:vAlign w:val="bottom"/>
          </w:tcPr>
          <w:p>
            <w:pPr>
              <w:spacing w:after="0"/>
              <w:rPr>
                <w:sz w:val="11"/>
                <w:szCs w:val="11"/>
                <w:color w:val="auto"/>
              </w:rPr>
            </w:pP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Telecommunications</w:t>
            </w:r>
          </w:p>
        </w:tc>
        <w:tc>
          <w:tcPr>
            <w:tcW w:w="980" w:type="dxa"/>
            <w:vAlign w:val="bottom"/>
            <w:gridSpan w:val="2"/>
          </w:tcPr>
          <w:p>
            <w:pPr>
              <w:jc w:val="right"/>
              <w:ind w:right="222"/>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151,090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Universal Fiber Systems, LLC</w:t>
            </w:r>
          </w:p>
        </w:tc>
        <w:tc>
          <w:tcPr>
            <w:tcW w:w="2480" w:type="dxa"/>
            <w:vAlign w:val="bottom"/>
            <w:gridSpan w:val="4"/>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10/04/2021   Chemicals, Plastics and Rubber</w:t>
            </w:r>
          </w:p>
        </w:tc>
        <w:tc>
          <w:tcPr>
            <w:tcW w:w="9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6.50%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L+550</w:t>
            </w: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4,987,500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4,940,547</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4,937,625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240" w:type="dxa"/>
            <w:vAlign w:val="bottom"/>
            <w:gridSpan w:val="2"/>
          </w:tcPr>
          <w:p>
            <w:pPr>
              <w:spacing w:after="0" w:line="121" w:lineRule="exact"/>
              <w:rPr>
                <w:sz w:val="20"/>
                <w:szCs w:val="20"/>
                <w:color w:val="auto"/>
              </w:rPr>
            </w:pPr>
            <w:r>
              <w:rPr>
                <w:rFonts w:ascii="Arial" w:cs="Arial" w:eastAsia="Arial" w:hAnsi="Arial"/>
                <w:sz w:val="13"/>
                <w:szCs w:val="13"/>
                <w:color w:val="auto"/>
              </w:rPr>
              <w:t>U.S. Anesthesia Partners, Inc.</w:t>
            </w:r>
          </w:p>
        </w:tc>
        <w:tc>
          <w:tcPr>
            <w:tcW w:w="660" w:type="dxa"/>
            <w:vAlign w:val="bottom"/>
          </w:tcPr>
          <w:p>
            <w:pPr>
              <w:jc w:val="center"/>
              <w:spacing w:after="0" w:line="121" w:lineRule="exact"/>
              <w:rPr>
                <w:sz w:val="20"/>
                <w:szCs w:val="20"/>
                <w:color w:val="auto"/>
              </w:rPr>
            </w:pPr>
            <w:r>
              <w:rPr>
                <w:rFonts w:ascii="Arial" w:cs="Arial" w:eastAsia="Arial" w:hAnsi="Arial"/>
                <w:sz w:val="13"/>
                <w:szCs w:val="13"/>
                <w:color w:val="auto"/>
                <w:w w:val="86"/>
              </w:rPr>
              <w:t>12/31/2019</w:t>
            </w:r>
          </w:p>
        </w:tc>
        <w:tc>
          <w:tcPr>
            <w:tcW w:w="100" w:type="dxa"/>
            <w:vAlign w:val="bottom"/>
          </w:tcPr>
          <w:p>
            <w:pPr>
              <w:spacing w:after="0"/>
              <w:rPr>
                <w:sz w:val="10"/>
                <w:szCs w:val="10"/>
                <w:color w:val="auto"/>
              </w:rPr>
            </w:pPr>
          </w:p>
        </w:tc>
        <w:tc>
          <w:tcPr>
            <w:tcW w:w="1720" w:type="dxa"/>
            <w:vAlign w:val="bottom"/>
            <w:gridSpan w:val="2"/>
          </w:tcPr>
          <w:p>
            <w:pPr>
              <w:jc w:val="center"/>
              <w:ind w:right="80"/>
              <w:spacing w:after="0" w:line="121" w:lineRule="exact"/>
              <w:rPr>
                <w:sz w:val="20"/>
                <w:szCs w:val="20"/>
                <w:color w:val="auto"/>
              </w:rPr>
            </w:pPr>
            <w:r>
              <w:rPr>
                <w:rFonts w:ascii="Arial" w:cs="Arial" w:eastAsia="Arial" w:hAnsi="Arial"/>
                <w:sz w:val="13"/>
                <w:szCs w:val="13"/>
                <w:color w:val="auto"/>
                <w:w w:val="86"/>
              </w:rPr>
              <w:t>Healthcare and</w:t>
            </w:r>
          </w:p>
        </w:tc>
        <w:tc>
          <w:tcPr>
            <w:tcW w:w="980" w:type="dxa"/>
            <w:vAlign w:val="bottom"/>
            <w:gridSpan w:val="2"/>
          </w:tcPr>
          <w:p>
            <w:pPr>
              <w:jc w:val="right"/>
              <w:ind w:right="122"/>
              <w:spacing w:after="0" w:line="121" w:lineRule="exact"/>
              <w:rPr>
                <w:sz w:val="20"/>
                <w:szCs w:val="20"/>
                <w:color w:val="auto"/>
              </w:rPr>
            </w:pPr>
            <w:r>
              <w:rPr>
                <w:rFonts w:ascii="Arial" w:cs="Arial" w:eastAsia="Arial" w:hAnsi="Arial"/>
                <w:sz w:val="13"/>
                <w:szCs w:val="13"/>
                <w:color w:val="auto"/>
              </w:rPr>
              <w:t>6.00%</w:t>
            </w:r>
          </w:p>
        </w:tc>
        <w:tc>
          <w:tcPr>
            <w:tcW w:w="9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L+500</w:t>
            </w:r>
          </w:p>
        </w:tc>
        <w:tc>
          <w:tcPr>
            <w:tcW w:w="78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9,975,000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9,881,825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9,875,250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Pharmaceuticals</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 Farathane, LLC</w:t>
            </w: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02/07/2022</w:t>
            </w:r>
          </w:p>
        </w:tc>
        <w:tc>
          <w:tcPr>
            <w:tcW w:w="10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color w:val="auto"/>
                <w:w w:val="92"/>
              </w:rPr>
              <w:t>Automotive</w:t>
            </w:r>
          </w:p>
        </w:tc>
        <w:tc>
          <w:tcPr>
            <w:tcW w:w="9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6.75%</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L+575</w:t>
            </w: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9,629,391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9,522,143</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9,605,318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240" w:type="dxa"/>
            <w:vAlign w:val="bottom"/>
            <w:gridSpan w:val="2"/>
          </w:tcPr>
          <w:p>
            <w:pPr>
              <w:spacing w:after="0" w:line="121" w:lineRule="exact"/>
              <w:rPr>
                <w:sz w:val="20"/>
                <w:szCs w:val="20"/>
                <w:color w:val="auto"/>
              </w:rPr>
            </w:pPr>
            <w:r>
              <w:rPr>
                <w:rFonts w:ascii="Arial" w:cs="Arial" w:eastAsia="Arial" w:hAnsi="Arial"/>
                <w:sz w:val="13"/>
                <w:szCs w:val="13"/>
                <w:color w:val="auto"/>
              </w:rPr>
              <w:t xml:space="preserve">US Med Acquisition, Inc. </w:t>
            </w:r>
            <w:r>
              <w:rPr>
                <w:rFonts w:ascii="Arial" w:cs="Arial" w:eastAsia="Arial" w:hAnsi="Arial"/>
                <w:sz w:val="10"/>
                <w:szCs w:val="10"/>
                <w:color w:val="auto"/>
              </w:rPr>
              <w:t>(8)</w:t>
            </w:r>
          </w:p>
        </w:tc>
        <w:tc>
          <w:tcPr>
            <w:tcW w:w="660" w:type="dxa"/>
            <w:vAlign w:val="bottom"/>
          </w:tcPr>
          <w:p>
            <w:pPr>
              <w:jc w:val="center"/>
              <w:spacing w:after="0" w:line="121" w:lineRule="exact"/>
              <w:rPr>
                <w:sz w:val="20"/>
                <w:szCs w:val="20"/>
                <w:color w:val="auto"/>
              </w:rPr>
            </w:pPr>
            <w:r>
              <w:rPr>
                <w:rFonts w:ascii="Arial" w:cs="Arial" w:eastAsia="Arial" w:hAnsi="Arial"/>
                <w:sz w:val="13"/>
                <w:szCs w:val="13"/>
                <w:color w:val="auto"/>
                <w:w w:val="86"/>
              </w:rPr>
              <w:t>08/13/2021</w:t>
            </w:r>
          </w:p>
        </w:tc>
        <w:tc>
          <w:tcPr>
            <w:tcW w:w="100" w:type="dxa"/>
            <w:vAlign w:val="bottom"/>
          </w:tcPr>
          <w:p>
            <w:pPr>
              <w:spacing w:after="0"/>
              <w:rPr>
                <w:sz w:val="10"/>
                <w:szCs w:val="10"/>
                <w:color w:val="auto"/>
              </w:rPr>
            </w:pPr>
          </w:p>
        </w:tc>
        <w:tc>
          <w:tcPr>
            <w:tcW w:w="1720" w:type="dxa"/>
            <w:vAlign w:val="bottom"/>
            <w:gridSpan w:val="2"/>
          </w:tcPr>
          <w:p>
            <w:pPr>
              <w:jc w:val="center"/>
              <w:ind w:right="80"/>
              <w:spacing w:after="0" w:line="121" w:lineRule="exact"/>
              <w:rPr>
                <w:sz w:val="20"/>
                <w:szCs w:val="20"/>
                <w:color w:val="auto"/>
              </w:rPr>
            </w:pPr>
            <w:r>
              <w:rPr>
                <w:rFonts w:ascii="Arial" w:cs="Arial" w:eastAsia="Arial" w:hAnsi="Arial"/>
                <w:sz w:val="13"/>
                <w:szCs w:val="13"/>
                <w:color w:val="auto"/>
                <w:w w:val="86"/>
              </w:rPr>
              <w:t>Healthcare and</w:t>
            </w:r>
          </w:p>
        </w:tc>
        <w:tc>
          <w:tcPr>
            <w:tcW w:w="980" w:type="dxa"/>
            <w:vAlign w:val="bottom"/>
            <w:gridSpan w:val="2"/>
          </w:tcPr>
          <w:p>
            <w:pPr>
              <w:jc w:val="right"/>
              <w:ind w:right="122"/>
              <w:spacing w:after="0" w:line="121" w:lineRule="exact"/>
              <w:rPr>
                <w:sz w:val="20"/>
                <w:szCs w:val="20"/>
                <w:color w:val="auto"/>
              </w:rPr>
            </w:pPr>
            <w:r>
              <w:rPr>
                <w:rFonts w:ascii="Arial" w:cs="Arial" w:eastAsia="Arial" w:hAnsi="Arial"/>
                <w:sz w:val="13"/>
                <w:szCs w:val="13"/>
                <w:color w:val="auto"/>
              </w:rPr>
              <w:t>10.00%</w:t>
            </w:r>
          </w:p>
        </w:tc>
        <w:tc>
          <w:tcPr>
            <w:tcW w:w="9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L+900</w:t>
            </w:r>
          </w:p>
        </w:tc>
        <w:tc>
          <w:tcPr>
            <w:tcW w:w="78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3,105,469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3,105,469</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3,105,469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Pharmaceuticals</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2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Vistage Worldwide, Inc.</w:t>
            </w:r>
          </w:p>
        </w:tc>
        <w:tc>
          <w:tcPr>
            <w:tcW w:w="6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08/19/2021</w:t>
            </w:r>
          </w:p>
        </w:tc>
        <w:tc>
          <w:tcPr>
            <w:tcW w:w="100" w:type="dxa"/>
            <w:vAlign w:val="bottom"/>
            <w:shd w:val="clear" w:color="auto" w:fill="CCEEFF"/>
          </w:tcPr>
          <w:p>
            <w:pPr>
              <w:spacing w:after="0"/>
              <w:rPr>
                <w:sz w:val="10"/>
                <w:szCs w:val="10"/>
                <w:color w:val="auto"/>
              </w:rPr>
            </w:pPr>
          </w:p>
        </w:tc>
        <w:tc>
          <w:tcPr>
            <w:tcW w:w="172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87"/>
              </w:rPr>
              <w:t>Media: Broadcasting and</w:t>
            </w:r>
          </w:p>
        </w:tc>
        <w:tc>
          <w:tcPr>
            <w:tcW w:w="980" w:type="dxa"/>
            <w:vAlign w:val="bottom"/>
            <w:gridSpan w:val="2"/>
            <w:shd w:val="clear" w:color="auto" w:fill="CCEEFF"/>
          </w:tcPr>
          <w:p>
            <w:pPr>
              <w:jc w:val="right"/>
              <w:ind w:right="122"/>
              <w:spacing w:after="0" w:line="121" w:lineRule="exact"/>
              <w:rPr>
                <w:sz w:val="20"/>
                <w:szCs w:val="20"/>
                <w:color w:val="auto"/>
              </w:rPr>
            </w:pPr>
            <w:r>
              <w:rPr>
                <w:rFonts w:ascii="Arial" w:cs="Arial" w:eastAsia="Arial" w:hAnsi="Arial"/>
                <w:sz w:val="13"/>
                <w:szCs w:val="13"/>
                <w:color w:val="auto"/>
              </w:rPr>
              <w:t>6.50%</w:t>
            </w:r>
          </w:p>
        </w:tc>
        <w:tc>
          <w:tcPr>
            <w:tcW w:w="9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L+550</w:t>
            </w:r>
          </w:p>
        </w:tc>
        <w:tc>
          <w:tcPr>
            <w:tcW w:w="7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4,937,500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4,891,774</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4,937,500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9"/>
              </w:rPr>
              <w:t>Subscription</w:t>
            </w: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Wilton Brands, LLC</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6"/>
              </w:rPr>
              <w:t>08/30/2018</w:t>
            </w:r>
          </w:p>
        </w:tc>
        <w:tc>
          <w:tcPr>
            <w:tcW w:w="100" w:type="dxa"/>
            <w:vAlign w:val="bottom"/>
          </w:tcPr>
          <w:p>
            <w:pPr>
              <w:spacing w:after="0"/>
              <w:rPr>
                <w:sz w:val="11"/>
                <w:szCs w:val="11"/>
                <w:color w:val="auto"/>
              </w:rPr>
            </w:pP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Consumer Goods: Non-Durable</w:t>
            </w:r>
          </w:p>
        </w:tc>
        <w:tc>
          <w:tcPr>
            <w:tcW w:w="98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8.51%</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L+725</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2,533,000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2,510,051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2,292,365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2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Worley Claims Services, LLC</w:t>
            </w:r>
          </w:p>
        </w:tc>
        <w:tc>
          <w:tcPr>
            <w:tcW w:w="6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10/30/2020</w:t>
            </w:r>
          </w:p>
        </w:tc>
        <w:tc>
          <w:tcPr>
            <w:tcW w:w="100" w:type="dxa"/>
            <w:vAlign w:val="bottom"/>
            <w:shd w:val="clear" w:color="auto" w:fill="CCEEFF"/>
          </w:tcPr>
          <w:p>
            <w:pPr>
              <w:spacing w:after="0"/>
              <w:rPr>
                <w:sz w:val="10"/>
                <w:szCs w:val="10"/>
                <w:color w:val="auto"/>
              </w:rPr>
            </w:pPr>
          </w:p>
        </w:tc>
        <w:tc>
          <w:tcPr>
            <w:tcW w:w="1720" w:type="dxa"/>
            <w:vAlign w:val="bottom"/>
            <w:gridSpan w:val="2"/>
            <w:shd w:val="clear" w:color="auto" w:fill="CCEEFF"/>
          </w:tcPr>
          <w:p>
            <w:pPr>
              <w:jc w:val="center"/>
              <w:ind w:right="80"/>
              <w:spacing w:after="0" w:line="121" w:lineRule="exact"/>
              <w:rPr>
                <w:sz w:val="20"/>
                <w:szCs w:val="20"/>
                <w:color w:val="auto"/>
              </w:rPr>
            </w:pPr>
            <w:r>
              <w:rPr>
                <w:rFonts w:ascii="Arial" w:cs="Arial" w:eastAsia="Arial" w:hAnsi="Arial"/>
                <w:sz w:val="13"/>
                <w:szCs w:val="13"/>
                <w:color w:val="auto"/>
                <w:w w:val="87"/>
              </w:rPr>
              <w:t>Banking, Finance, Insurance</w:t>
            </w:r>
          </w:p>
        </w:tc>
        <w:tc>
          <w:tcPr>
            <w:tcW w:w="980" w:type="dxa"/>
            <w:vAlign w:val="bottom"/>
            <w:gridSpan w:val="2"/>
            <w:shd w:val="clear" w:color="auto" w:fill="CCEEFF"/>
          </w:tcPr>
          <w:p>
            <w:pPr>
              <w:jc w:val="right"/>
              <w:ind w:right="122"/>
              <w:spacing w:after="0" w:line="121" w:lineRule="exact"/>
              <w:rPr>
                <w:sz w:val="20"/>
                <w:szCs w:val="20"/>
                <w:color w:val="auto"/>
              </w:rPr>
            </w:pPr>
            <w:r>
              <w:rPr>
                <w:rFonts w:ascii="Arial" w:cs="Arial" w:eastAsia="Arial" w:hAnsi="Arial"/>
                <w:sz w:val="13"/>
                <w:szCs w:val="13"/>
                <w:color w:val="auto"/>
              </w:rPr>
              <w:t>9.00%</w:t>
            </w:r>
          </w:p>
        </w:tc>
        <w:tc>
          <w:tcPr>
            <w:tcW w:w="9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L+800</w:t>
            </w:r>
          </w:p>
        </w:tc>
        <w:tc>
          <w:tcPr>
            <w:tcW w:w="7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7,353,564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7,290,025</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7,353,564</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4"/>
              </w:rPr>
              <w:t>and Real Estate</w:t>
            </w: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w w:val="88"/>
              </w:rPr>
              <w:t>433,133,313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w w:val="91"/>
              </w:rPr>
              <w:t>423,231,550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Debt—13.3%</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Affinion Group, Inc. </w:t>
            </w:r>
            <w:r>
              <w:rPr>
                <w:rFonts w:ascii="Arial" w:cs="Arial" w:eastAsia="Arial" w:hAnsi="Arial"/>
                <w:sz w:val="10"/>
                <w:szCs w:val="10"/>
                <w:color w:val="auto"/>
              </w:rPr>
              <w:t>(8)</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6"/>
              </w:rPr>
              <w:t>10/31/2018</w:t>
            </w:r>
          </w:p>
        </w:tc>
        <w:tc>
          <w:tcPr>
            <w:tcW w:w="100" w:type="dxa"/>
            <w:vAlign w:val="bottom"/>
          </w:tcPr>
          <w:p>
            <w:pPr>
              <w:spacing w:after="0"/>
              <w:rPr>
                <w:sz w:val="11"/>
                <w:szCs w:val="11"/>
                <w:color w:val="auto"/>
              </w:rPr>
            </w:pP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8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8.50%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L+700</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930,361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793,250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 (8)</w:t>
            </w: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09/01/2017</w:t>
            </w:r>
          </w:p>
        </w:tc>
        <w:tc>
          <w:tcPr>
            <w:tcW w:w="10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color w:val="auto"/>
                <w:w w:val="90"/>
              </w:rPr>
              <w:t>Metals and Mining</w:t>
            </w:r>
          </w:p>
        </w:tc>
        <w:tc>
          <w:tcPr>
            <w:tcW w:w="9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11.50%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1,000,000</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527,500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2480" w:type="dxa"/>
            <w:vAlign w:val="bottom"/>
            <w:gridSpan w:val="4"/>
          </w:tcPr>
          <w:p>
            <w:pPr>
              <w:ind w:left="60"/>
              <w:spacing w:after="0" w:line="135" w:lineRule="exact"/>
              <w:rPr>
                <w:sz w:val="20"/>
                <w:szCs w:val="20"/>
                <w:color w:val="auto"/>
              </w:rPr>
            </w:pPr>
            <w:r>
              <w:rPr>
                <w:rFonts w:ascii="Arial" w:cs="Arial" w:eastAsia="Arial" w:hAnsi="Arial"/>
                <w:sz w:val="13"/>
                <w:szCs w:val="13"/>
                <w:color w:val="auto"/>
                <w:w w:val="92"/>
              </w:rPr>
              <w:t>12/31/2020   Chemicals, Plastics and Rubber</w:t>
            </w:r>
          </w:p>
        </w:tc>
        <w:tc>
          <w:tcPr>
            <w:tcW w:w="98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11.14%</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(9)</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1,967,971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2,000,000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Howard Berger Co. LLC</w:t>
            </w: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09/30/2020</w:t>
            </w:r>
          </w:p>
        </w:tc>
        <w:tc>
          <w:tcPr>
            <w:tcW w:w="10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8"/>
              </w:rPr>
              <w:t>Wholesale</w:t>
            </w:r>
          </w:p>
        </w:tc>
        <w:tc>
          <w:tcPr>
            <w:tcW w:w="9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11.00%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L+1,000</w:t>
            </w: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8"/>
              </w:rPr>
              <w:t>10,465,526</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10,230,000</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J.A. Cosmetics Holdings, Inc. </w:t>
            </w:r>
            <w:r>
              <w:rPr>
                <w:rFonts w:ascii="Arial" w:cs="Arial" w:eastAsia="Arial" w:hAnsi="Arial"/>
                <w:sz w:val="10"/>
                <w:szCs w:val="10"/>
                <w:color w:val="auto"/>
              </w:rPr>
              <w:t>(8)</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6"/>
              </w:rPr>
              <w:t>07/31/2019</w:t>
            </w:r>
          </w:p>
        </w:tc>
        <w:tc>
          <w:tcPr>
            <w:tcW w:w="100" w:type="dxa"/>
            <w:vAlign w:val="bottom"/>
          </w:tcPr>
          <w:p>
            <w:pPr>
              <w:spacing w:after="0"/>
              <w:rPr>
                <w:sz w:val="11"/>
                <w:szCs w:val="11"/>
                <w:color w:val="auto"/>
              </w:rPr>
            </w:pP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8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11.00%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L+1,000</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3,944,420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4,020,000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Language Line, LLC</w:t>
            </w: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07/07/2022</w:t>
            </w:r>
          </w:p>
        </w:tc>
        <w:tc>
          <w:tcPr>
            <w:tcW w:w="10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Consumer Services</w:t>
            </w:r>
          </w:p>
        </w:tc>
        <w:tc>
          <w:tcPr>
            <w:tcW w:w="9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10.75%</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L+975</w:t>
            </w: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10,750,000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8"/>
              </w:rPr>
              <w:t>10,596,225</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10,508,125</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Novitex Acquisition, LLC</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6"/>
              </w:rPr>
              <w:t>07/07/2021</w:t>
            </w:r>
          </w:p>
        </w:tc>
        <w:tc>
          <w:tcPr>
            <w:tcW w:w="100" w:type="dxa"/>
            <w:vAlign w:val="bottom"/>
          </w:tcPr>
          <w:p>
            <w:pPr>
              <w:spacing w:after="0"/>
              <w:rPr>
                <w:sz w:val="11"/>
                <w:szCs w:val="11"/>
                <w:color w:val="auto"/>
              </w:rPr>
            </w:pP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4"/>
              </w:rPr>
              <w:t>Business Services</w:t>
            </w:r>
          </w:p>
        </w:tc>
        <w:tc>
          <w:tcPr>
            <w:tcW w:w="98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11.75%</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L+1,050</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8"/>
              </w:rPr>
              <w:t>10,907,564</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10,670,000</w:t>
            </w:r>
          </w:p>
        </w:tc>
        <w:tc>
          <w:tcPr>
            <w:tcW w:w="0" w:type="dxa"/>
            <w:vAlign w:val="bottom"/>
          </w:tcPr>
          <w:p>
            <w:pPr>
              <w:spacing w:after="0"/>
              <w:rPr>
                <w:sz w:val="1"/>
                <w:szCs w:val="1"/>
                <w:color w:val="auto"/>
              </w:rPr>
            </w:pPr>
          </w:p>
        </w:tc>
      </w:tr>
      <w:tr>
        <w:trPr>
          <w:trHeight w:val="121"/>
        </w:trPr>
        <w:tc>
          <w:tcPr>
            <w:tcW w:w="42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Penton Media, Inc. </w:t>
            </w:r>
            <w:r>
              <w:rPr>
                <w:rFonts w:ascii="Arial" w:cs="Arial" w:eastAsia="Arial" w:hAnsi="Arial"/>
                <w:sz w:val="10"/>
                <w:szCs w:val="10"/>
                <w:color w:val="auto"/>
              </w:rPr>
              <w:t>(8)</w:t>
            </w:r>
          </w:p>
        </w:tc>
        <w:tc>
          <w:tcPr>
            <w:tcW w:w="6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10/02/2020</w:t>
            </w:r>
          </w:p>
        </w:tc>
        <w:tc>
          <w:tcPr>
            <w:tcW w:w="100" w:type="dxa"/>
            <w:vAlign w:val="bottom"/>
            <w:shd w:val="clear" w:color="auto" w:fill="CCEEFF"/>
          </w:tcPr>
          <w:p>
            <w:pPr>
              <w:spacing w:after="0"/>
              <w:rPr>
                <w:sz w:val="10"/>
                <w:szCs w:val="10"/>
                <w:color w:val="auto"/>
              </w:rPr>
            </w:pPr>
          </w:p>
        </w:tc>
        <w:tc>
          <w:tcPr>
            <w:tcW w:w="172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91"/>
              </w:rPr>
              <w:t>Media: Diversified and</w:t>
            </w:r>
          </w:p>
        </w:tc>
        <w:tc>
          <w:tcPr>
            <w:tcW w:w="980" w:type="dxa"/>
            <w:vAlign w:val="bottom"/>
            <w:gridSpan w:val="2"/>
            <w:shd w:val="clear" w:color="auto" w:fill="CCEEFF"/>
          </w:tcPr>
          <w:p>
            <w:pPr>
              <w:jc w:val="right"/>
              <w:ind w:right="122"/>
              <w:spacing w:after="0" w:line="121" w:lineRule="exact"/>
              <w:rPr>
                <w:sz w:val="20"/>
                <w:szCs w:val="20"/>
                <w:color w:val="auto"/>
              </w:rPr>
            </w:pPr>
            <w:r>
              <w:rPr>
                <w:rFonts w:ascii="Arial" w:cs="Arial" w:eastAsia="Arial" w:hAnsi="Arial"/>
                <w:sz w:val="13"/>
                <w:szCs w:val="13"/>
                <w:color w:val="auto"/>
              </w:rPr>
              <w:t>9.00%</w:t>
            </w:r>
          </w:p>
        </w:tc>
        <w:tc>
          <w:tcPr>
            <w:tcW w:w="9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L+775</w:t>
            </w:r>
          </w:p>
        </w:tc>
        <w:tc>
          <w:tcPr>
            <w:tcW w:w="7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5,252,824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5,198,428</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5,042,711</w:t>
            </w:r>
          </w:p>
        </w:tc>
        <w:tc>
          <w:tcPr>
            <w:tcW w:w="0" w:type="dxa"/>
            <w:vAlign w:val="bottom"/>
          </w:tcPr>
          <w:p>
            <w:pPr>
              <w:spacing w:after="0"/>
              <w:rPr>
                <w:sz w:val="1"/>
                <w:szCs w:val="1"/>
                <w:color w:val="auto"/>
              </w:rPr>
            </w:pPr>
          </w:p>
        </w:tc>
      </w:tr>
      <w:tr>
        <w:trPr>
          <w:trHeight w:val="149"/>
        </w:trPr>
        <w:tc>
          <w:tcPr>
            <w:tcW w:w="4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Production</w:t>
            </w: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 (11)</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6"/>
              </w:rPr>
              <w:t>08/01/2016</w:t>
            </w:r>
          </w:p>
        </w:tc>
        <w:tc>
          <w:tcPr>
            <w:tcW w:w="100" w:type="dxa"/>
            <w:vAlign w:val="bottom"/>
          </w:tcPr>
          <w:p>
            <w:pPr>
              <w:spacing w:after="0"/>
              <w:rPr>
                <w:sz w:val="11"/>
                <w:szCs w:val="11"/>
                <w:color w:val="auto"/>
              </w:rPr>
            </w:pP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Energy: Oil and Gas</w:t>
            </w:r>
          </w:p>
        </w:tc>
        <w:tc>
          <w:tcPr>
            <w:tcW w:w="98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10.00%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2,812,500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2,779,466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1,687,500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VT Buyer Acquisition Corp.</w:t>
            </w: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01/30/2023</w:t>
            </w:r>
          </w:p>
        </w:tc>
        <w:tc>
          <w:tcPr>
            <w:tcW w:w="10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4"/>
              </w:rPr>
              <w:t>Business Services</w:t>
            </w:r>
          </w:p>
        </w:tc>
        <w:tc>
          <w:tcPr>
            <w:tcW w:w="9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10.75%</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L+975</w:t>
            </w: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2,625,000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2,534,888</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2,572,500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Second Lien Secured Debt</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50,324,849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48,051,586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Subordinated Debt/Corporate Notes—0.8% </w:t>
            </w:r>
            <w:r>
              <w:rPr>
                <w:rFonts w:ascii="Arial" w:cs="Arial" w:eastAsia="Arial" w:hAnsi="Arial"/>
                <w:sz w:val="10"/>
                <w:szCs w:val="10"/>
                <w:b w:val="1"/>
                <w:bCs w:val="1"/>
                <w:color w:val="auto"/>
              </w:rPr>
              <w:t>(8)</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240" w:type="dxa"/>
            <w:vAlign w:val="bottom"/>
            <w:gridSpan w:val="2"/>
          </w:tcPr>
          <w:p>
            <w:pPr>
              <w:spacing w:after="0" w:line="121" w:lineRule="exact"/>
              <w:rPr>
                <w:sz w:val="20"/>
                <w:szCs w:val="20"/>
                <w:color w:val="auto"/>
              </w:rPr>
            </w:pPr>
            <w:r>
              <w:rPr>
                <w:rFonts w:ascii="Arial" w:cs="Arial" w:eastAsia="Arial" w:hAnsi="Arial"/>
                <w:sz w:val="13"/>
                <w:szCs w:val="13"/>
                <w:color w:val="auto"/>
              </w:rPr>
              <w:t xml:space="preserve">Affinion International Holdings Limited </w:t>
            </w:r>
            <w:r>
              <w:rPr>
                <w:rFonts w:ascii="Arial" w:cs="Arial" w:eastAsia="Arial" w:hAnsi="Arial"/>
                <w:sz w:val="10"/>
                <w:szCs w:val="10"/>
                <w:color w:val="auto"/>
              </w:rPr>
              <w:t>(6), (11)</w:t>
            </w:r>
          </w:p>
        </w:tc>
        <w:tc>
          <w:tcPr>
            <w:tcW w:w="660" w:type="dxa"/>
            <w:vAlign w:val="bottom"/>
          </w:tcPr>
          <w:p>
            <w:pPr>
              <w:jc w:val="center"/>
              <w:spacing w:after="0" w:line="121" w:lineRule="exact"/>
              <w:rPr>
                <w:sz w:val="20"/>
                <w:szCs w:val="20"/>
                <w:color w:val="auto"/>
              </w:rPr>
            </w:pPr>
            <w:r>
              <w:rPr>
                <w:rFonts w:ascii="Arial" w:cs="Arial" w:eastAsia="Arial" w:hAnsi="Arial"/>
                <w:sz w:val="13"/>
                <w:szCs w:val="13"/>
                <w:color w:val="auto"/>
                <w:w w:val="86"/>
              </w:rPr>
              <w:t>07/30/2018</w:t>
            </w:r>
          </w:p>
        </w:tc>
        <w:tc>
          <w:tcPr>
            <w:tcW w:w="100" w:type="dxa"/>
            <w:vAlign w:val="bottom"/>
          </w:tcPr>
          <w:p>
            <w:pPr>
              <w:spacing w:after="0"/>
              <w:rPr>
                <w:sz w:val="10"/>
                <w:szCs w:val="10"/>
                <w:color w:val="auto"/>
              </w:rPr>
            </w:pPr>
          </w:p>
        </w:tc>
        <w:tc>
          <w:tcPr>
            <w:tcW w:w="172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6"/>
              </w:rPr>
              <w:t>Consumer Goods: Durable</w:t>
            </w:r>
          </w:p>
        </w:tc>
        <w:tc>
          <w:tcPr>
            <w:tcW w:w="980" w:type="dxa"/>
            <w:vAlign w:val="bottom"/>
            <w:gridSpan w:val="2"/>
          </w:tcPr>
          <w:p>
            <w:pPr>
              <w:jc w:val="right"/>
              <w:ind w:right="122"/>
              <w:spacing w:after="0" w:line="121" w:lineRule="exact"/>
              <w:rPr>
                <w:sz w:val="20"/>
                <w:szCs w:val="20"/>
                <w:color w:val="auto"/>
              </w:rPr>
            </w:pPr>
            <w:r>
              <w:rPr>
                <w:rFonts w:ascii="Arial" w:cs="Arial" w:eastAsia="Arial" w:hAnsi="Arial"/>
                <w:sz w:val="13"/>
                <w:szCs w:val="13"/>
                <w:color w:val="auto"/>
              </w:rPr>
              <w:t>7.50%</w:t>
            </w:r>
          </w:p>
        </w:tc>
        <w:tc>
          <w:tcPr>
            <w:tcW w:w="9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1,096,000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964,135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898,720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82"/>
              <w:spacing w:after="0"/>
              <w:rPr>
                <w:sz w:val="20"/>
                <w:szCs w:val="20"/>
                <w:color w:val="auto"/>
              </w:rPr>
            </w:pPr>
            <w:r>
              <w:rPr>
                <w:rFonts w:ascii="Arial" w:cs="Arial" w:eastAsia="Arial" w:hAnsi="Arial"/>
                <w:sz w:val="13"/>
                <w:szCs w:val="13"/>
                <w:color w:val="auto"/>
              </w:rPr>
              <w:t>(PIK 7.50%)</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24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Credit Infonet, Inc.</w:t>
            </w:r>
          </w:p>
        </w:tc>
        <w:tc>
          <w:tcPr>
            <w:tcW w:w="66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6"/>
              </w:rPr>
              <w:t>10/26/2018</w:t>
            </w:r>
          </w:p>
        </w:tc>
        <w:tc>
          <w:tcPr>
            <w:tcW w:w="100" w:type="dxa"/>
            <w:vAlign w:val="bottom"/>
            <w:shd w:val="clear" w:color="auto" w:fill="CCEEFF"/>
          </w:tcPr>
          <w:p>
            <w:pPr>
              <w:spacing w:after="0"/>
              <w:rPr>
                <w:sz w:val="10"/>
                <w:szCs w:val="10"/>
                <w:color w:val="auto"/>
              </w:rPr>
            </w:pPr>
          </w:p>
        </w:tc>
        <w:tc>
          <w:tcPr>
            <w:tcW w:w="172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3"/>
                <w:szCs w:val="13"/>
                <w:color w:val="auto"/>
                <w:w w:val="88"/>
              </w:rPr>
              <w:t>High Tech Industries</w:t>
            </w:r>
          </w:p>
        </w:tc>
        <w:tc>
          <w:tcPr>
            <w:tcW w:w="980" w:type="dxa"/>
            <w:vAlign w:val="bottom"/>
            <w:gridSpan w:val="2"/>
            <w:shd w:val="clear" w:color="auto" w:fill="CCEEFF"/>
          </w:tcPr>
          <w:p>
            <w:pPr>
              <w:jc w:val="right"/>
              <w:ind w:right="122"/>
              <w:spacing w:after="0" w:line="122" w:lineRule="exact"/>
              <w:rPr>
                <w:sz w:val="20"/>
                <w:szCs w:val="20"/>
                <w:color w:val="auto"/>
              </w:rPr>
            </w:pPr>
            <w:r>
              <w:rPr>
                <w:rFonts w:ascii="Arial" w:cs="Arial" w:eastAsia="Arial" w:hAnsi="Arial"/>
                <w:sz w:val="13"/>
                <w:szCs w:val="13"/>
                <w:color w:val="auto"/>
              </w:rPr>
              <w:t>13.50%</w:t>
            </w:r>
          </w:p>
        </w:tc>
        <w:tc>
          <w:tcPr>
            <w:tcW w:w="960" w:type="dxa"/>
            <w:vAlign w:val="bottom"/>
            <w:gridSpan w:val="2"/>
            <w:shd w:val="clear" w:color="auto" w:fill="CCEEFF"/>
          </w:tcPr>
          <w:p>
            <w:pPr>
              <w:jc w:val="right"/>
              <w:ind w:right="260"/>
              <w:spacing w:after="0" w:line="122"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3"/>
                <w:szCs w:val="13"/>
                <w:color w:val="auto"/>
              </w:rPr>
              <w:t>2,047,943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3"/>
                <w:szCs w:val="13"/>
                <w:color w:val="auto"/>
              </w:rPr>
              <w:t>2,025,834</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3"/>
                <w:szCs w:val="13"/>
                <w:color w:val="auto"/>
              </w:rPr>
              <w:t>1,912,083</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4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2"/>
              <w:spacing w:after="0"/>
              <w:rPr>
                <w:sz w:val="20"/>
                <w:szCs w:val="20"/>
                <w:color w:val="auto"/>
              </w:rPr>
            </w:pPr>
            <w:r>
              <w:rPr>
                <w:rFonts w:ascii="Arial" w:cs="Arial" w:eastAsia="Arial" w:hAnsi="Arial"/>
                <w:sz w:val="13"/>
                <w:szCs w:val="13"/>
                <w:color w:val="auto"/>
              </w:rPr>
              <w:t>(PIK 2.25%)</w:t>
            </w: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240" w:type="dxa"/>
            <w:vAlign w:val="bottom"/>
            <w:gridSpan w:val="2"/>
          </w:tcPr>
          <w:p>
            <w:pPr>
              <w:spacing w:after="0" w:line="121" w:lineRule="exact"/>
              <w:rPr>
                <w:sz w:val="20"/>
                <w:szCs w:val="20"/>
                <w:color w:val="auto"/>
              </w:rPr>
            </w:pPr>
            <w:r>
              <w:rPr>
                <w:rFonts w:ascii="Arial" w:cs="Arial" w:eastAsia="Arial" w:hAnsi="Arial"/>
                <w:sz w:val="13"/>
                <w:szCs w:val="13"/>
                <w:color w:val="auto"/>
              </w:rPr>
              <w:t>UniTek Global Services, Inc.</w:t>
            </w:r>
          </w:p>
        </w:tc>
        <w:tc>
          <w:tcPr>
            <w:tcW w:w="660" w:type="dxa"/>
            <w:vAlign w:val="bottom"/>
          </w:tcPr>
          <w:p>
            <w:pPr>
              <w:jc w:val="center"/>
              <w:spacing w:after="0" w:line="121" w:lineRule="exact"/>
              <w:rPr>
                <w:sz w:val="20"/>
                <w:szCs w:val="20"/>
                <w:color w:val="auto"/>
              </w:rPr>
            </w:pPr>
            <w:r>
              <w:rPr>
                <w:rFonts w:ascii="Arial" w:cs="Arial" w:eastAsia="Arial" w:hAnsi="Arial"/>
                <w:sz w:val="13"/>
                <w:szCs w:val="13"/>
                <w:color w:val="auto"/>
                <w:w w:val="86"/>
              </w:rPr>
              <w:t>07/15/2019</w:t>
            </w:r>
          </w:p>
        </w:tc>
        <w:tc>
          <w:tcPr>
            <w:tcW w:w="100" w:type="dxa"/>
            <w:vAlign w:val="bottom"/>
          </w:tcPr>
          <w:p>
            <w:pPr>
              <w:spacing w:after="0"/>
              <w:rPr>
                <w:sz w:val="10"/>
                <w:szCs w:val="10"/>
                <w:color w:val="auto"/>
              </w:rPr>
            </w:pPr>
          </w:p>
        </w:tc>
        <w:tc>
          <w:tcPr>
            <w:tcW w:w="172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8"/>
              </w:rPr>
              <w:t>Telecommunications</w:t>
            </w:r>
          </w:p>
        </w:tc>
        <w:tc>
          <w:tcPr>
            <w:tcW w:w="980" w:type="dxa"/>
            <w:vAlign w:val="bottom"/>
            <w:gridSpan w:val="2"/>
          </w:tcPr>
          <w:p>
            <w:pPr>
              <w:jc w:val="right"/>
              <w:ind w:right="122"/>
              <w:spacing w:after="0" w:line="121" w:lineRule="exact"/>
              <w:rPr>
                <w:sz w:val="20"/>
                <w:szCs w:val="20"/>
                <w:color w:val="auto"/>
              </w:rPr>
            </w:pPr>
            <w:r>
              <w:rPr>
                <w:rFonts w:ascii="Arial" w:cs="Arial" w:eastAsia="Arial" w:hAnsi="Arial"/>
                <w:sz w:val="13"/>
                <w:szCs w:val="13"/>
                <w:color w:val="auto"/>
              </w:rPr>
              <w:t>15.00%</w:t>
            </w:r>
          </w:p>
        </w:tc>
        <w:tc>
          <w:tcPr>
            <w:tcW w:w="9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136,398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136,398</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136,398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82"/>
              <w:spacing w:after="0"/>
              <w:rPr>
                <w:sz w:val="20"/>
                <w:szCs w:val="20"/>
                <w:color w:val="auto"/>
              </w:rPr>
            </w:pPr>
            <w:r>
              <w:rPr>
                <w:rFonts w:ascii="Arial" w:cs="Arial" w:eastAsia="Arial" w:hAnsi="Arial"/>
                <w:sz w:val="13"/>
                <w:szCs w:val="13"/>
                <w:color w:val="auto"/>
              </w:rPr>
              <w:t>(PIK 15.00%)</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3,126,367</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2,947,201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Preferred Equity—0.4% </w:t>
            </w:r>
            <w:r>
              <w:rPr>
                <w:rFonts w:ascii="Arial" w:cs="Arial" w:eastAsia="Arial" w:hAnsi="Arial"/>
                <w:sz w:val="10"/>
                <w:szCs w:val="10"/>
                <w:b w:val="1"/>
                <w:bCs w:val="1"/>
                <w:color w:val="auto"/>
              </w:rPr>
              <w:t>(7), (8)</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J.A. Cosmetics US, Inc.</w:t>
            </w:r>
          </w:p>
        </w:tc>
        <w:tc>
          <w:tcPr>
            <w:tcW w:w="7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color w:val="auto"/>
                <w:w w:val="91"/>
              </w:rPr>
              <w:t>—</w:t>
            </w:r>
          </w:p>
        </w:tc>
        <w:tc>
          <w:tcPr>
            <w:tcW w:w="17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8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8.00%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399,704</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473,409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UniTek Global Services, Inc.</w:t>
            </w: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91"/>
              </w:rPr>
              <w:t>—</w:t>
            </w: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Telecommunications</w:t>
            </w:r>
          </w:p>
        </w:tc>
        <w:tc>
          <w:tcPr>
            <w:tcW w:w="98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13.50%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1,047,317</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670,283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919,530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1,069,987</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1,392,939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Common Equity/Warrants—1.3% </w:t>
            </w:r>
            <w:r>
              <w:rPr>
                <w:rFonts w:ascii="Arial" w:cs="Arial" w:eastAsia="Arial" w:hAnsi="Arial"/>
                <w:sz w:val="10"/>
                <w:szCs w:val="10"/>
                <w:b w:val="1"/>
                <w:bCs w:val="1"/>
                <w:color w:val="auto"/>
              </w:rPr>
              <w:t>(7), (8)</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7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color w:val="auto"/>
                <w:w w:val="91"/>
              </w:rPr>
              <w:t>—</w:t>
            </w:r>
          </w:p>
        </w:tc>
        <w:tc>
          <w:tcPr>
            <w:tcW w:w="17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80" w:type="dxa"/>
            <w:vAlign w:val="bottom"/>
            <w:gridSpan w:val="2"/>
            <w:shd w:val="clear" w:color="auto" w:fill="CCEEFF"/>
          </w:tcPr>
          <w:p>
            <w:pPr>
              <w:jc w:val="right"/>
              <w:ind w:right="222"/>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99,029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3,514,571</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3,396,138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Affinion Group Holdings, Inc., Series C and Series D</w:t>
            </w: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91"/>
              </w:rPr>
              <w:t>—</w:t>
            </w: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80" w:type="dxa"/>
            <w:vAlign w:val="bottom"/>
            <w:gridSpan w:val="2"/>
          </w:tcPr>
          <w:p>
            <w:pPr>
              <w:jc w:val="right"/>
              <w:ind w:right="222"/>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4,298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1,186,649</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21,161</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Corfin InvestCo, L.P.</w:t>
            </w:r>
          </w:p>
        </w:tc>
        <w:tc>
          <w:tcPr>
            <w:tcW w:w="7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color w:val="auto"/>
                <w:w w:val="91"/>
              </w:rPr>
              <w:t>—</w:t>
            </w:r>
          </w:p>
        </w:tc>
        <w:tc>
          <w:tcPr>
            <w:tcW w:w="17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4"/>
              </w:rPr>
              <w:t>Aerospace and Defense</w:t>
            </w:r>
          </w:p>
        </w:tc>
        <w:tc>
          <w:tcPr>
            <w:tcW w:w="980" w:type="dxa"/>
            <w:vAlign w:val="bottom"/>
            <w:gridSpan w:val="2"/>
            <w:shd w:val="clear" w:color="auto" w:fill="CCEEFF"/>
          </w:tcPr>
          <w:p>
            <w:pPr>
              <w:jc w:val="right"/>
              <w:ind w:right="222"/>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300,000</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461,409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(10)</w:t>
            </w: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91"/>
              </w:rPr>
              <w:t>—</w:t>
            </w: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4"/>
              </w:rPr>
              <w:t>Aerospace and Defense</w:t>
            </w:r>
          </w:p>
        </w:tc>
        <w:tc>
          <w:tcPr>
            <w:tcW w:w="980" w:type="dxa"/>
            <w:vAlign w:val="bottom"/>
            <w:gridSpan w:val="2"/>
          </w:tcPr>
          <w:p>
            <w:pPr>
              <w:jc w:val="right"/>
              <w:ind w:right="222"/>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42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Faraday Holdings, LLC</w:t>
            </w:r>
          </w:p>
        </w:tc>
        <w:tc>
          <w:tcPr>
            <w:tcW w:w="760" w:type="dxa"/>
            <w:vAlign w:val="bottom"/>
            <w:gridSpan w:val="2"/>
            <w:shd w:val="clear" w:color="auto" w:fill="CCEEFF"/>
          </w:tcPr>
          <w:p>
            <w:pPr>
              <w:jc w:val="center"/>
              <w:ind w:right="80"/>
              <w:spacing w:after="0" w:line="121" w:lineRule="exact"/>
              <w:rPr>
                <w:sz w:val="20"/>
                <w:szCs w:val="20"/>
                <w:color w:val="auto"/>
              </w:rPr>
            </w:pPr>
            <w:r>
              <w:rPr>
                <w:rFonts w:ascii="Arial" w:cs="Arial" w:eastAsia="Arial" w:hAnsi="Arial"/>
                <w:sz w:val="13"/>
                <w:szCs w:val="13"/>
                <w:color w:val="auto"/>
                <w:w w:val="91"/>
              </w:rPr>
              <w:t>—</w:t>
            </w:r>
          </w:p>
        </w:tc>
        <w:tc>
          <w:tcPr>
            <w:tcW w:w="172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90"/>
              </w:rPr>
              <w:t>Construction and Building</w:t>
            </w:r>
          </w:p>
        </w:tc>
        <w:tc>
          <w:tcPr>
            <w:tcW w:w="980" w:type="dxa"/>
            <w:vAlign w:val="bottom"/>
            <w:gridSpan w:val="2"/>
            <w:shd w:val="clear" w:color="auto" w:fill="CCEEFF"/>
          </w:tcPr>
          <w:p>
            <w:pPr>
              <w:jc w:val="right"/>
              <w:ind w:right="222"/>
              <w:spacing w:after="0" w:line="121"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939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45,761</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36,605</w:t>
            </w:r>
          </w:p>
        </w:tc>
        <w:tc>
          <w:tcPr>
            <w:tcW w:w="0" w:type="dxa"/>
            <w:vAlign w:val="bottom"/>
          </w:tcPr>
          <w:p>
            <w:pPr>
              <w:spacing w:after="0"/>
              <w:rPr>
                <w:sz w:val="1"/>
                <w:szCs w:val="1"/>
                <w:color w:val="auto"/>
              </w:rPr>
            </w:pPr>
          </w:p>
        </w:tc>
      </w:tr>
      <w:tr>
        <w:trPr>
          <w:trHeight w:val="149"/>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(Interior Specialists, Inc.)</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J.A. Cosmetics US, Inc.</w:t>
            </w: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91"/>
              </w:rPr>
              <w:t>—</w:t>
            </w: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80" w:type="dxa"/>
            <w:vAlign w:val="bottom"/>
            <w:gridSpan w:val="2"/>
          </w:tcPr>
          <w:p>
            <w:pPr>
              <w:jc w:val="right"/>
              <w:ind w:right="222"/>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296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443,939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2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Patriot National, Inc.</w:t>
            </w:r>
          </w:p>
        </w:tc>
        <w:tc>
          <w:tcPr>
            <w:tcW w:w="760" w:type="dxa"/>
            <w:vAlign w:val="bottom"/>
            <w:gridSpan w:val="2"/>
            <w:shd w:val="clear" w:color="auto" w:fill="CCEEFF"/>
          </w:tcPr>
          <w:p>
            <w:pPr>
              <w:jc w:val="center"/>
              <w:ind w:right="80"/>
              <w:spacing w:after="0" w:line="121" w:lineRule="exact"/>
              <w:rPr>
                <w:sz w:val="20"/>
                <w:szCs w:val="20"/>
                <w:color w:val="auto"/>
              </w:rPr>
            </w:pPr>
            <w:r>
              <w:rPr>
                <w:rFonts w:ascii="Arial" w:cs="Arial" w:eastAsia="Arial" w:hAnsi="Arial"/>
                <w:sz w:val="13"/>
                <w:szCs w:val="13"/>
                <w:color w:val="auto"/>
                <w:w w:val="91"/>
              </w:rPr>
              <w:t>—</w:t>
            </w:r>
          </w:p>
        </w:tc>
        <w:tc>
          <w:tcPr>
            <w:tcW w:w="1720" w:type="dxa"/>
            <w:vAlign w:val="bottom"/>
            <w:gridSpan w:val="2"/>
            <w:shd w:val="clear" w:color="auto" w:fill="CCEEFF"/>
          </w:tcPr>
          <w:p>
            <w:pPr>
              <w:jc w:val="center"/>
              <w:ind w:right="80"/>
              <w:spacing w:after="0" w:line="121" w:lineRule="exact"/>
              <w:rPr>
                <w:sz w:val="20"/>
                <w:szCs w:val="20"/>
                <w:color w:val="auto"/>
              </w:rPr>
            </w:pPr>
            <w:r>
              <w:rPr>
                <w:rFonts w:ascii="Arial" w:cs="Arial" w:eastAsia="Arial" w:hAnsi="Arial"/>
                <w:sz w:val="13"/>
                <w:szCs w:val="13"/>
                <w:color w:val="auto"/>
                <w:w w:val="87"/>
              </w:rPr>
              <w:t>Banking, Finance, Insurance</w:t>
            </w:r>
          </w:p>
        </w:tc>
        <w:tc>
          <w:tcPr>
            <w:tcW w:w="980" w:type="dxa"/>
            <w:vAlign w:val="bottom"/>
            <w:gridSpan w:val="2"/>
            <w:shd w:val="clear" w:color="auto" w:fill="CCEEFF"/>
          </w:tcPr>
          <w:p>
            <w:pPr>
              <w:jc w:val="right"/>
              <w:ind w:right="222"/>
              <w:spacing w:after="0" w:line="121"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11,867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27,995</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91,376</w:t>
            </w:r>
          </w:p>
        </w:tc>
        <w:tc>
          <w:tcPr>
            <w:tcW w:w="0" w:type="dxa"/>
            <w:vAlign w:val="bottom"/>
          </w:tcPr>
          <w:p>
            <w:pPr>
              <w:spacing w:after="0"/>
              <w:rPr>
                <w:sz w:val="1"/>
                <w:szCs w:val="1"/>
                <w:color w:val="auto"/>
              </w:rPr>
            </w:pPr>
          </w:p>
        </w:tc>
      </w:tr>
      <w:tr>
        <w:trPr>
          <w:trHeight w:val="149"/>
        </w:trPr>
        <w:tc>
          <w:tcPr>
            <w:tcW w:w="4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4"/>
              </w:rPr>
              <w:t>and Real Estate</w:t>
            </w: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UniTek Global Services, Inc.</w:t>
            </w: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91"/>
              </w:rPr>
              <w:t>—</w:t>
            </w: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Telecommunications</w:t>
            </w:r>
          </w:p>
        </w:tc>
        <w:tc>
          <w:tcPr>
            <w:tcW w:w="980" w:type="dxa"/>
            <w:vAlign w:val="bottom"/>
            <w:gridSpan w:val="2"/>
          </w:tcPr>
          <w:p>
            <w:pPr>
              <w:jc w:val="right"/>
              <w:ind w:right="222"/>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149,617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42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Vestcom Parent Holdings, Inc.</w:t>
            </w:r>
          </w:p>
        </w:tc>
        <w:tc>
          <w:tcPr>
            <w:tcW w:w="760" w:type="dxa"/>
            <w:vAlign w:val="bottom"/>
            <w:gridSpan w:val="2"/>
            <w:shd w:val="clear" w:color="auto" w:fill="CCEEFF"/>
          </w:tcPr>
          <w:p>
            <w:pPr>
              <w:jc w:val="center"/>
              <w:ind w:right="80"/>
              <w:spacing w:after="0" w:line="121" w:lineRule="exact"/>
              <w:rPr>
                <w:sz w:val="20"/>
                <w:szCs w:val="20"/>
                <w:color w:val="auto"/>
              </w:rPr>
            </w:pPr>
            <w:r>
              <w:rPr>
                <w:rFonts w:ascii="Arial" w:cs="Arial" w:eastAsia="Arial" w:hAnsi="Arial"/>
                <w:sz w:val="13"/>
                <w:szCs w:val="13"/>
                <w:color w:val="auto"/>
                <w:w w:val="91"/>
              </w:rPr>
              <w:t>—</w:t>
            </w:r>
          </w:p>
        </w:tc>
        <w:tc>
          <w:tcPr>
            <w:tcW w:w="172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92"/>
              </w:rPr>
              <w:t>Media: Advertising, Printing</w:t>
            </w:r>
          </w:p>
        </w:tc>
        <w:tc>
          <w:tcPr>
            <w:tcW w:w="980" w:type="dxa"/>
            <w:vAlign w:val="bottom"/>
            <w:gridSpan w:val="2"/>
            <w:shd w:val="clear" w:color="auto" w:fill="CCEEFF"/>
          </w:tcPr>
          <w:p>
            <w:pPr>
              <w:jc w:val="right"/>
              <w:ind w:right="222"/>
              <w:spacing w:after="0" w:line="121"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15,179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56,895</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429,383</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and Publishing</w:t>
            </w: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Common Equity/Warrants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5,132,167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4,880,011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4"/>
              </w:rPr>
              <w:t>Total Investments in Non-Controlled, Non-Affiliated Portfolio Companies</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88"/>
              </w:rPr>
              <w:t>492,786,683</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1"/>
              </w:rPr>
              <w:t>480,503,287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Investments in Controlled, Affiliated Portfolio Companies—0.8%</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First Lien Secured Debt—0.8%</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240" w:type="dxa"/>
            <w:vAlign w:val="bottom"/>
            <w:gridSpan w:val="2"/>
          </w:tcPr>
          <w:p>
            <w:pPr>
              <w:spacing w:after="0" w:line="121" w:lineRule="exact"/>
              <w:rPr>
                <w:sz w:val="20"/>
                <w:szCs w:val="20"/>
                <w:color w:val="auto"/>
              </w:rPr>
            </w:pPr>
            <w:r>
              <w:rPr>
                <w:rFonts w:ascii="Arial" w:cs="Arial" w:eastAsia="Arial" w:hAnsi="Arial"/>
                <w:sz w:val="13"/>
                <w:szCs w:val="13"/>
                <w:color w:val="auto"/>
              </w:rPr>
              <w:t xml:space="preserve">GMC Television Broadcasting Holdings, LLC </w:t>
            </w:r>
            <w:r>
              <w:rPr>
                <w:rFonts w:ascii="Arial" w:cs="Arial" w:eastAsia="Arial" w:hAnsi="Arial"/>
                <w:sz w:val="10"/>
                <w:szCs w:val="10"/>
                <w:color w:val="auto"/>
              </w:rPr>
              <w:t>(8)</w:t>
            </w:r>
          </w:p>
        </w:tc>
        <w:tc>
          <w:tcPr>
            <w:tcW w:w="660" w:type="dxa"/>
            <w:vAlign w:val="bottom"/>
          </w:tcPr>
          <w:p>
            <w:pPr>
              <w:jc w:val="center"/>
              <w:spacing w:after="0" w:line="121" w:lineRule="exact"/>
              <w:rPr>
                <w:sz w:val="20"/>
                <w:szCs w:val="20"/>
                <w:color w:val="auto"/>
              </w:rPr>
            </w:pPr>
            <w:r>
              <w:rPr>
                <w:rFonts w:ascii="Arial" w:cs="Arial" w:eastAsia="Arial" w:hAnsi="Arial"/>
                <w:sz w:val="13"/>
                <w:szCs w:val="13"/>
                <w:color w:val="auto"/>
                <w:w w:val="86"/>
              </w:rPr>
              <w:t>12/30/2016</w:t>
            </w:r>
          </w:p>
        </w:tc>
        <w:tc>
          <w:tcPr>
            <w:tcW w:w="100" w:type="dxa"/>
            <w:vAlign w:val="bottom"/>
          </w:tcPr>
          <w:p>
            <w:pPr>
              <w:spacing w:after="0"/>
              <w:rPr>
                <w:sz w:val="10"/>
                <w:szCs w:val="10"/>
                <w:color w:val="auto"/>
              </w:rPr>
            </w:pPr>
          </w:p>
        </w:tc>
        <w:tc>
          <w:tcPr>
            <w:tcW w:w="172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7"/>
              </w:rPr>
              <w:t>Media: Broadcasting and</w:t>
            </w:r>
          </w:p>
        </w:tc>
        <w:tc>
          <w:tcPr>
            <w:tcW w:w="980" w:type="dxa"/>
            <w:vAlign w:val="bottom"/>
            <w:gridSpan w:val="2"/>
          </w:tcPr>
          <w:p>
            <w:pPr>
              <w:jc w:val="right"/>
              <w:ind w:right="122"/>
              <w:spacing w:after="0" w:line="121" w:lineRule="exact"/>
              <w:rPr>
                <w:sz w:val="20"/>
                <w:szCs w:val="20"/>
                <w:color w:val="auto"/>
              </w:rPr>
            </w:pPr>
            <w:r>
              <w:rPr>
                <w:rFonts w:ascii="Arial" w:cs="Arial" w:eastAsia="Arial" w:hAnsi="Arial"/>
                <w:sz w:val="13"/>
                <w:szCs w:val="13"/>
                <w:color w:val="auto"/>
              </w:rPr>
              <w:t>4.63%</w:t>
            </w:r>
          </w:p>
        </w:tc>
        <w:tc>
          <w:tcPr>
            <w:tcW w:w="9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L+400</w:t>
            </w:r>
            <w:r>
              <w:rPr>
                <w:rFonts w:ascii="Arial" w:cs="Arial" w:eastAsia="Arial" w:hAnsi="Arial"/>
                <w:sz w:val="10"/>
                <w:szCs w:val="10"/>
                <w:color w:val="auto"/>
              </w:rPr>
              <w:t>(9)</w:t>
            </w:r>
          </w:p>
        </w:tc>
        <w:tc>
          <w:tcPr>
            <w:tcW w:w="78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3,702,009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2,777,132</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2,776,507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Subscription</w:t>
            </w: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Investments—133.6%</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88"/>
              </w:rPr>
              <w:t>495,563,815</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1"/>
              </w:rPr>
              <w:t>483,279,794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Cash and Cash Equivalents—3.7%</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5"/>
              </w:rPr>
              <w:t>BlackRock Liquidity Funds, Temp Cash and Temp Fund, Institutional Shares</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8"/>
              </w:rPr>
              <w:t>12,781,480</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12,781,480</w:t>
            </w:r>
          </w:p>
        </w:tc>
        <w:tc>
          <w:tcPr>
            <w:tcW w:w="0" w:type="dxa"/>
            <w:vAlign w:val="bottom"/>
          </w:tcPr>
          <w:p>
            <w:pPr>
              <w:spacing w:after="0"/>
              <w:rPr>
                <w:sz w:val="1"/>
                <w:szCs w:val="1"/>
                <w:color w:val="auto"/>
              </w:rPr>
            </w:pPr>
          </w:p>
        </w:tc>
      </w:tr>
      <w:tr>
        <w:trPr>
          <w:trHeight w:val="142"/>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625,628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664,249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Cash and Cash Equivalents</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8"/>
              </w:rPr>
              <w:t>13,407,108</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13,445,729</w:t>
            </w:r>
          </w:p>
        </w:tc>
        <w:tc>
          <w:tcPr>
            <w:tcW w:w="0" w:type="dxa"/>
            <w:vAlign w:val="bottom"/>
          </w:tcPr>
          <w:p>
            <w:pPr>
              <w:spacing w:after="0"/>
              <w:rPr>
                <w:sz w:val="1"/>
                <w:szCs w:val="1"/>
                <w:color w:val="auto"/>
              </w:rPr>
            </w:pPr>
          </w:p>
        </w:tc>
      </w:tr>
      <w:tr>
        <w:trPr>
          <w:trHeight w:val="142"/>
        </w:trPr>
        <w:tc>
          <w:tcPr>
            <w:tcW w:w="42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Investments and Cash Equivalents—137.3%</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8"/>
              </w:rPr>
              <w:t>508,970,923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496,725,523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Liabilities in Excess of Other Assets—(37.3)%</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w w:val="86"/>
              </w:rPr>
              <w:t>(134,888,161)</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3"/>
                <w:szCs w:val="13"/>
                <w:color w:val="auto"/>
                <w:w w:val="91"/>
              </w:rPr>
              <w:t>361,837,362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240"/>
          </w:cols>
          <w:pgMar w:left="320" w:top="459" w:right="339"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459" w:right="3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59"/>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ind w:right="-59"/>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8516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98" w:lineRule="exact"/>
        <w:rPr>
          <w:sz w:val="20"/>
          <w:szCs w:val="20"/>
          <w:color w:val="auto"/>
        </w:rPr>
      </w:pPr>
    </w:p>
    <w:p>
      <w:pPr>
        <w:ind w:left="460" w:hanging="452"/>
        <w:spacing w:after="0" w:line="243" w:lineRule="auto"/>
        <w:tabs>
          <w:tab w:leader="none" w:pos="46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460" w:right="320" w:hanging="452"/>
        <w:spacing w:after="0" w:line="234" w:lineRule="auto"/>
        <w:tabs>
          <w:tab w:leader="none" w:pos="4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460" w:right="20" w:hanging="452"/>
        <w:spacing w:after="0" w:line="234" w:lineRule="auto"/>
        <w:tabs>
          <w:tab w:leader="none" w:pos="4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460" w:right="2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 and held through Funding I.</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ind w:left="460" w:right="38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or a revolving line of credit that is currently an unfunded investment. This security does not earn a basis point spread above an index while it is unfunded.</w:t>
      </w:r>
    </w:p>
    <w:p>
      <w:pPr>
        <w:ind w:left="460" w:right="24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ind w:left="460" w:hanging="452"/>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Par amount is denominated in Canadian Dollars.</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180"/>
          </w:cols>
          <w:pgMar w:left="32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jc w:val="center"/>
              <w:ind w:right="97"/>
              <w:spacing w:after="0"/>
              <w:rPr>
                <w:sz w:val="20"/>
                <w:szCs w:val="20"/>
                <w:color w:val="auto"/>
              </w:rPr>
            </w:pPr>
            <w:r>
              <w:rPr>
                <w:rFonts w:ascii="Arial" w:cs="Arial" w:eastAsia="Arial" w:hAnsi="Arial"/>
                <w:sz w:val="13"/>
                <w:szCs w:val="13"/>
                <w:b w:val="1"/>
                <w:bCs w:val="1"/>
                <w:color w:val="auto"/>
                <w:w w:val="81"/>
              </w:rPr>
              <w:t>Basis Point</w:t>
            </w: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6"/>
              </w:rPr>
              <w:t>Spread</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6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Current</w:t>
            </w:r>
          </w:p>
        </w:tc>
        <w:tc>
          <w:tcPr>
            <w:tcW w:w="90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5"/>
              </w:rPr>
              <w:t>Above</w:t>
            </w:r>
          </w:p>
        </w:tc>
        <w:tc>
          <w:tcPr>
            <w:tcW w:w="7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Par /</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40" w:type="dxa"/>
            <w:vAlign w:val="bottom"/>
            <w:vMerge w:val="continue"/>
          </w:tcPr>
          <w:p>
            <w:pPr>
              <w:spacing w:after="0"/>
              <w:rPr>
                <w:sz w:val="13"/>
                <w:szCs w:val="1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w w:val="98"/>
              </w:rPr>
              <w:t>Maturity</w:t>
            </w: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800" w:type="dxa"/>
            <w:vAlign w:val="bottom"/>
          </w:tcPr>
          <w:p>
            <w:pPr>
              <w:ind w:left="80"/>
              <w:spacing w:after="0"/>
              <w:rPr>
                <w:sz w:val="20"/>
                <w:szCs w:val="20"/>
                <w:color w:val="auto"/>
              </w:rPr>
            </w:pPr>
            <w:r>
              <w:rPr>
                <w:rFonts w:ascii="Arial" w:cs="Arial" w:eastAsia="Arial" w:hAnsi="Arial"/>
                <w:sz w:val="13"/>
                <w:szCs w:val="13"/>
                <w:b w:val="1"/>
                <w:bCs w:val="1"/>
                <w:color w:val="auto"/>
              </w:rPr>
              <w:t>Coupon</w:t>
            </w:r>
          </w:p>
        </w:tc>
        <w:tc>
          <w:tcPr>
            <w:tcW w:w="900" w:type="dxa"/>
            <w:vAlign w:val="bottom"/>
          </w:tcPr>
          <w:p>
            <w:pPr>
              <w:jc w:val="center"/>
              <w:ind w:right="9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740" w:type="dxa"/>
            <w:vAlign w:val="bottom"/>
          </w:tcPr>
          <w:p>
            <w:pPr>
              <w:jc w:val="right"/>
              <w:ind w:right="157"/>
              <w:spacing w:after="0"/>
              <w:rPr>
                <w:sz w:val="20"/>
                <w:szCs w:val="20"/>
                <w:color w:val="auto"/>
              </w:rPr>
            </w:pPr>
            <w:r>
              <w:rPr>
                <w:rFonts w:ascii="Arial" w:cs="Arial" w:eastAsia="Arial" w:hAnsi="Arial"/>
                <w:sz w:val="13"/>
                <w:szCs w:val="13"/>
                <w:b w:val="1"/>
                <w:bCs w:val="1"/>
                <w:color w:val="auto"/>
              </w:rPr>
              <w:t>Shares</w:t>
            </w:r>
          </w:p>
        </w:tc>
        <w:tc>
          <w:tcPr>
            <w:tcW w:w="800" w:type="dxa"/>
            <w:vAlign w:val="bottom"/>
          </w:tcPr>
          <w:p>
            <w:pPr>
              <w:jc w:val="right"/>
              <w:ind w:right="217"/>
              <w:spacing w:after="0"/>
              <w:rPr>
                <w:sz w:val="20"/>
                <w:szCs w:val="20"/>
                <w:color w:val="auto"/>
              </w:rPr>
            </w:pPr>
            <w:r>
              <w:rPr>
                <w:rFonts w:ascii="Arial" w:cs="Arial" w:eastAsia="Arial" w:hAnsi="Arial"/>
                <w:sz w:val="13"/>
                <w:szCs w:val="13"/>
                <w:b w:val="1"/>
                <w:bCs w:val="1"/>
                <w:color w:val="auto"/>
              </w:rPr>
              <w:t>Cost</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10"/>
        </w:trPr>
        <w:tc>
          <w:tcPr>
            <w:tcW w:w="4540" w:type="dxa"/>
            <w:vAlign w:val="bottom"/>
            <w:tcBorders>
              <w:top w:val="single" w:sz="8" w:color="auto"/>
            </w:tcBorders>
            <w:shd w:val="clear" w:color="auto" w:fill="CCEEFF"/>
          </w:tcPr>
          <w:p>
            <w:pPr>
              <w:spacing w:after="0" w:line="110" w:lineRule="exact"/>
              <w:rPr>
                <w:sz w:val="20"/>
                <w:szCs w:val="20"/>
                <w:color w:val="auto"/>
              </w:rPr>
            </w:pPr>
            <w:r>
              <w:rPr>
                <w:rFonts w:ascii="Arial" w:cs="Arial" w:eastAsia="Arial" w:hAnsi="Arial"/>
                <w:sz w:val="12"/>
                <w:szCs w:val="12"/>
                <w:b w:val="1"/>
                <w:bCs w:val="1"/>
                <w:color w:val="auto"/>
                <w:w w:val="97"/>
              </w:rPr>
              <w:t xml:space="preserve">Investments in Non-Controlled, Non-Affiliated Portfolio Companies—104.2% </w:t>
            </w:r>
            <w:r>
              <w:rPr>
                <w:rFonts w:ascii="Arial" w:cs="Arial" w:eastAsia="Arial" w:hAnsi="Arial"/>
                <w:sz w:val="9"/>
                <w:szCs w:val="9"/>
                <w:b w:val="1"/>
                <w:bCs w:val="1"/>
                <w:color w:val="auto"/>
                <w:w w:val="97"/>
              </w:rPr>
              <w:t>(3), (4)</w:t>
            </w:r>
          </w:p>
        </w:tc>
        <w:tc>
          <w:tcPr>
            <w:tcW w:w="680" w:type="dxa"/>
            <w:vAlign w:val="bottom"/>
            <w:tcBorders>
              <w:top w:val="single" w:sz="8" w:color="auto"/>
            </w:tcBorders>
            <w:shd w:val="clear" w:color="auto" w:fill="CCEEFF"/>
          </w:tcPr>
          <w:p>
            <w:pPr>
              <w:spacing w:after="0"/>
              <w:rPr>
                <w:sz w:val="9"/>
                <w:szCs w:val="9"/>
                <w:color w:val="auto"/>
              </w:rPr>
            </w:pPr>
          </w:p>
        </w:tc>
        <w:tc>
          <w:tcPr>
            <w:tcW w:w="182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First Lien Secured Debt—89.1%</w:t>
            </w:r>
          </w:p>
        </w:tc>
        <w:tc>
          <w:tcPr>
            <w:tcW w:w="6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04/02/2018</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11.97%</w:t>
            </w:r>
          </w:p>
        </w:tc>
        <w:tc>
          <w:tcPr>
            <w:tcW w:w="9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(9)</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8"/>
              </w:rPr>
              <w:t>10,734,388</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6"/>
              </w:rPr>
              <w:t>$10,555,953</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  10,895,404</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AKA Diversified Holdings, Inc. (Revolver) </w:t>
            </w:r>
            <w:r>
              <w:rPr>
                <w:rFonts w:ascii="Arial" w:cs="Arial" w:eastAsia="Arial" w:hAnsi="Arial"/>
                <w:sz w:val="10"/>
                <w:szCs w:val="10"/>
                <w:color w:val="auto"/>
              </w:rPr>
              <w:t>(10)</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04/02/2018</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1,165,725</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17,486</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ALG USA Holdings, LLC</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02/28/2019</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L+575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7,136,577</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7,101,328</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7,118,736</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Alvogen Pharma US, Inc. </w:t>
            </w:r>
            <w:r>
              <w:rPr>
                <w:rFonts w:ascii="Arial" w:cs="Arial" w:eastAsia="Arial" w:hAnsi="Arial"/>
                <w:sz w:val="10"/>
                <w:szCs w:val="10"/>
                <w:color w:val="auto"/>
              </w:rPr>
              <w:t>(6), (11)</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04/04/2022</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3,900,038</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3,881,182</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3,880,538</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Ancile Solutions, Inc.</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07/16/2018</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6.25%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2,990,287</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2,971,513</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2,975,336</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 Gaming I, LLC</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12/21/2020</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9.25%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L+825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6,602,074</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6,517,717</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6,492,018</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ARC Automotive Group, Inc.</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10/12/2020</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95"/>
              </w:rPr>
              <w:t>Automotive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3,970,000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3,935,708</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3,930,300</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Azure Midstream Energy LLC</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11/15/2018</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Energy: Oil and Gas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L+650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5,310,750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5,189,661</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4,514,138</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Blue Bird Body Company</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06/29/2020</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95"/>
              </w:rPr>
              <w:t>Automotive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L+550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4,280,585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4,227,278</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4,264,533</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Bowlmor AMF Corp.</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09/17/2021</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7.25%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L+625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8"/>
              </w:rPr>
              <w:t>12,902,393</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12,820,758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12,805,625</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Camin Cargo Control, Inc.</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06/30/2021</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6"/>
              </w:rPr>
              <w:t>Transportation: Cargo</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L+475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2,493,750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2,469,351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2,468,812</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CareCentrix, Inc.</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07/08/2021</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5,000,000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4,878,103</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4,870,850</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 xml:space="preserve">CBAC Borrower, LLC </w:t>
            </w:r>
            <w:r>
              <w:rPr>
                <w:rFonts w:ascii="Arial" w:cs="Arial" w:eastAsia="Arial" w:hAnsi="Arial"/>
                <w:sz w:val="10"/>
                <w:szCs w:val="10"/>
                <w:color w:val="auto"/>
              </w:rPr>
              <w:t>(8)</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07/02/2020</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8.25%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L+700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5,000,000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4,961,991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4,700,000</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Charming Charlie LLC</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12/24/2019</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4,432,500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4,381,480</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4,210,875</w:t>
            </w:r>
          </w:p>
        </w:tc>
        <w:tc>
          <w:tcPr>
            <w:tcW w:w="0" w:type="dxa"/>
            <w:vAlign w:val="bottom"/>
          </w:tcPr>
          <w:p>
            <w:pPr>
              <w:spacing w:after="0"/>
              <w:rPr>
                <w:sz w:val="1"/>
                <w:szCs w:val="1"/>
                <w:color w:val="auto"/>
              </w:rPr>
            </w:pPr>
          </w:p>
        </w:tc>
      </w:tr>
      <w:tr>
        <w:trPr>
          <w:trHeight w:val="121"/>
        </w:trPr>
        <w:tc>
          <w:tcPr>
            <w:tcW w:w="4540" w:type="dxa"/>
            <w:vAlign w:val="bottom"/>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680" w:type="dxa"/>
            <w:vAlign w:val="bottom"/>
          </w:tcPr>
          <w:p>
            <w:pPr>
              <w:jc w:val="right"/>
              <w:ind w:right="37"/>
              <w:spacing w:after="0" w:line="121" w:lineRule="exact"/>
              <w:rPr>
                <w:sz w:val="20"/>
                <w:szCs w:val="20"/>
                <w:color w:val="auto"/>
              </w:rPr>
            </w:pPr>
            <w:r>
              <w:rPr>
                <w:rFonts w:ascii="Arial" w:cs="Arial" w:eastAsia="Arial" w:hAnsi="Arial"/>
                <w:sz w:val="13"/>
                <w:szCs w:val="13"/>
                <w:color w:val="auto"/>
                <w:w w:val="86"/>
              </w:rPr>
              <w:t>01/08/2019</w:t>
            </w:r>
          </w:p>
        </w:tc>
        <w:tc>
          <w:tcPr>
            <w:tcW w:w="182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00" w:type="dxa"/>
            <w:vAlign w:val="bottom"/>
          </w:tcPr>
          <w:p>
            <w:pPr>
              <w:jc w:val="right"/>
              <w:ind w:right="57"/>
              <w:spacing w:after="0" w:line="121" w:lineRule="exact"/>
              <w:rPr>
                <w:sz w:val="20"/>
                <w:szCs w:val="20"/>
                <w:color w:val="auto"/>
              </w:rPr>
            </w:pPr>
            <w:r>
              <w:rPr>
                <w:rFonts w:ascii="Arial" w:cs="Arial" w:eastAsia="Arial" w:hAnsi="Arial"/>
                <w:sz w:val="13"/>
                <w:szCs w:val="13"/>
                <w:color w:val="auto"/>
              </w:rPr>
              <w:t>7.25%</w:t>
            </w:r>
          </w:p>
        </w:tc>
        <w:tc>
          <w:tcPr>
            <w:tcW w:w="90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L+600</w:t>
            </w:r>
          </w:p>
        </w:tc>
        <w:tc>
          <w:tcPr>
            <w:tcW w:w="7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4,925,000</w:t>
            </w:r>
          </w:p>
        </w:tc>
        <w:tc>
          <w:tcPr>
            <w:tcW w:w="8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4,887,389</w:t>
            </w:r>
          </w:p>
        </w:tc>
        <w:tc>
          <w:tcPr>
            <w:tcW w:w="9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4,925,000</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CRGT Inc.</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12/21/2020</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L+650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8"/>
              </w:rPr>
              <w:t>11,861,946</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11,755,521</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11,743,327</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Curo Health Services Holdings, Inc.</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02/07/2022</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L+550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1,990,000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1,971,403</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1,988,348</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DCS Business Services, Inc.</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03/19/2018</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7.25%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L+575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2,976,683</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2,952,648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3,017,613</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DISA Global Solutions, Inc.</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12/09/2020</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5.50%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L+450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4,975,000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4,931,287</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4,875,500</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06/30/2020</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Chemicals, Plastics and Rubber</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L+475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4,937,500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4,901,367</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4,937,500</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 xml:space="preserve">Driven Performance Brands, Inc. </w:t>
            </w:r>
            <w:r>
              <w:rPr>
                <w:rFonts w:ascii="Arial" w:cs="Arial" w:eastAsia="Arial" w:hAnsi="Arial"/>
                <w:sz w:val="10"/>
                <w:szCs w:val="10"/>
                <w:color w:val="auto"/>
              </w:rPr>
              <w:t>(8)</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09/10/2020</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L+475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9,000,000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8,955,000</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8,955,000</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Driven Performance Brands Inc. (Revolver) </w:t>
            </w:r>
            <w:r>
              <w:rPr>
                <w:rFonts w:ascii="Arial" w:cs="Arial" w:eastAsia="Arial" w:hAnsi="Arial"/>
                <w:sz w:val="10"/>
                <w:szCs w:val="10"/>
                <w:color w:val="auto"/>
              </w:rPr>
              <w:t>(8) , (10)</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09/10/2020</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1,000,000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Emerging Markets Communications, LLC</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07/01/2021</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6.75%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L+575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4,987,500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4,914,374</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4,862,812</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FHC Health Systems, Inc.</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12/23/2021</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4,975,000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4,927,105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4,897,290</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GlobalLogic Holdings, Inc.</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05/31/2019</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6.25%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L+525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3,930,000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3,900,641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3,910,350</w:t>
            </w:r>
          </w:p>
        </w:tc>
        <w:tc>
          <w:tcPr>
            <w:tcW w:w="0" w:type="dxa"/>
            <w:vAlign w:val="bottom"/>
          </w:tcPr>
          <w:p>
            <w:pPr>
              <w:spacing w:after="0"/>
              <w:rPr>
                <w:sz w:val="1"/>
                <w:szCs w:val="1"/>
                <w:color w:val="auto"/>
              </w:rPr>
            </w:pPr>
          </w:p>
        </w:tc>
      </w:tr>
      <w:tr>
        <w:trPr>
          <w:trHeight w:val="121"/>
        </w:trPr>
        <w:tc>
          <w:tcPr>
            <w:tcW w:w="45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Granite Broadcasting Corporation</w:t>
            </w:r>
          </w:p>
        </w:tc>
        <w:tc>
          <w:tcPr>
            <w:tcW w:w="68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w w:val="86"/>
              </w:rPr>
              <w:t>05/23/2018</w:t>
            </w:r>
          </w:p>
        </w:tc>
        <w:tc>
          <w:tcPr>
            <w:tcW w:w="18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Media: Broadcasting and</w:t>
            </w:r>
          </w:p>
        </w:tc>
        <w:tc>
          <w:tcPr>
            <w:tcW w:w="80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6.75%</w:t>
            </w:r>
          </w:p>
        </w:tc>
        <w:tc>
          <w:tcPr>
            <w:tcW w:w="90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L+550</w:t>
            </w:r>
          </w:p>
        </w:tc>
        <w:tc>
          <w:tcPr>
            <w:tcW w:w="7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1,091,582</w:t>
            </w:r>
          </w:p>
        </w:tc>
        <w:tc>
          <w:tcPr>
            <w:tcW w:w="8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1,090,547</w:t>
            </w: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1,088,177</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Subscription</w:t>
            </w: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Greenway Health, LLC</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11/04/2020</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6,877,500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6,827,661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6,739,950</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Help/Systems Holdings, Inc.</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06/28/2019</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4,900,000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4,866,257</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4,851,000</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10/21/2020</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1,194,000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1,178,322</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1,194,000</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Hostway Corporation</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12/13/2019</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L+475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2,753,737</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2,734,900</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2,726,199</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Hunter Defense Technologies, Inc.</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08/05/2019</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L+550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6,650,000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6,598,073</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6,641,687</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ICC-Nexergy, Inc.</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04/30/2020</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4,987,500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4,941,329</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4,937,625</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 xml:space="preserve">Icynene U.S. Acquisition Corp. </w:t>
            </w:r>
            <w:r>
              <w:rPr>
                <w:rFonts w:ascii="Arial" w:cs="Arial" w:eastAsia="Arial" w:hAnsi="Arial"/>
                <w:sz w:val="10"/>
                <w:szCs w:val="10"/>
                <w:color w:val="auto"/>
              </w:rPr>
              <w:t>(6), (11)</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11/04/2020</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7.25%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L+625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6,965,000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6,842,099</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6,965,000</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 (11)</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05/01/2019</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7.25%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L+600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8"/>
              </w:rPr>
              <w:t>10,094,315</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10,001,190</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9,084,884</w:t>
            </w:r>
          </w:p>
        </w:tc>
        <w:tc>
          <w:tcPr>
            <w:tcW w:w="0" w:type="dxa"/>
            <w:vAlign w:val="bottom"/>
          </w:tcPr>
          <w:p>
            <w:pPr>
              <w:spacing w:after="0"/>
              <w:rPr>
                <w:sz w:val="1"/>
                <w:szCs w:val="1"/>
                <w:color w:val="auto"/>
              </w:rPr>
            </w:pPr>
          </w:p>
        </w:tc>
      </w:tr>
      <w:tr>
        <w:trPr>
          <w:trHeight w:val="121"/>
        </w:trPr>
        <w:tc>
          <w:tcPr>
            <w:tcW w:w="4540" w:type="dxa"/>
            <w:vAlign w:val="bottom"/>
          </w:tcPr>
          <w:p>
            <w:pPr>
              <w:spacing w:after="0" w:line="121" w:lineRule="exact"/>
              <w:rPr>
                <w:sz w:val="20"/>
                <w:szCs w:val="20"/>
                <w:color w:val="auto"/>
              </w:rPr>
            </w:pPr>
            <w:r>
              <w:rPr>
                <w:rFonts w:ascii="Arial" w:cs="Arial" w:eastAsia="Arial" w:hAnsi="Arial"/>
                <w:sz w:val="13"/>
                <w:szCs w:val="13"/>
                <w:color w:val="auto"/>
              </w:rPr>
              <w:t>Instant Web, LLC, Term Loan A</w:t>
            </w:r>
          </w:p>
        </w:tc>
        <w:tc>
          <w:tcPr>
            <w:tcW w:w="680" w:type="dxa"/>
            <w:vAlign w:val="bottom"/>
          </w:tcPr>
          <w:p>
            <w:pPr>
              <w:jc w:val="right"/>
              <w:ind w:right="37"/>
              <w:spacing w:after="0" w:line="121" w:lineRule="exact"/>
              <w:rPr>
                <w:sz w:val="20"/>
                <w:szCs w:val="20"/>
                <w:color w:val="auto"/>
              </w:rPr>
            </w:pPr>
            <w:r>
              <w:rPr>
                <w:rFonts w:ascii="Arial" w:cs="Arial" w:eastAsia="Arial" w:hAnsi="Arial"/>
                <w:sz w:val="13"/>
                <w:szCs w:val="13"/>
                <w:color w:val="auto"/>
                <w:w w:val="86"/>
              </w:rPr>
              <w:t>03/28/2019</w:t>
            </w:r>
          </w:p>
        </w:tc>
        <w:tc>
          <w:tcPr>
            <w:tcW w:w="182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00" w:type="dxa"/>
            <w:vAlign w:val="bottom"/>
          </w:tcPr>
          <w:p>
            <w:pPr>
              <w:jc w:val="right"/>
              <w:ind w:right="57"/>
              <w:spacing w:after="0" w:line="121" w:lineRule="exact"/>
              <w:rPr>
                <w:sz w:val="20"/>
                <w:szCs w:val="20"/>
                <w:color w:val="auto"/>
              </w:rPr>
            </w:pPr>
            <w:r>
              <w:rPr>
                <w:rFonts w:ascii="Arial" w:cs="Arial" w:eastAsia="Arial" w:hAnsi="Arial"/>
                <w:sz w:val="13"/>
                <w:szCs w:val="13"/>
                <w:color w:val="auto"/>
              </w:rPr>
              <w:t>5.50%</w:t>
            </w:r>
          </w:p>
        </w:tc>
        <w:tc>
          <w:tcPr>
            <w:tcW w:w="90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L+450</w:t>
            </w:r>
          </w:p>
        </w:tc>
        <w:tc>
          <w:tcPr>
            <w:tcW w:w="7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5,366,227</w:t>
            </w:r>
          </w:p>
        </w:tc>
        <w:tc>
          <w:tcPr>
            <w:tcW w:w="8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5,306,494</w:t>
            </w:r>
          </w:p>
        </w:tc>
        <w:tc>
          <w:tcPr>
            <w:tcW w:w="9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5,366,227</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5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Instant Web, LLC, Term Loan B</w:t>
            </w:r>
          </w:p>
        </w:tc>
        <w:tc>
          <w:tcPr>
            <w:tcW w:w="68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w w:val="86"/>
              </w:rPr>
              <w:t>03/28/2019</w:t>
            </w:r>
          </w:p>
        </w:tc>
        <w:tc>
          <w:tcPr>
            <w:tcW w:w="18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0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12.00%</w:t>
            </w:r>
          </w:p>
        </w:tc>
        <w:tc>
          <w:tcPr>
            <w:tcW w:w="90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L+1,100</w:t>
            </w:r>
          </w:p>
        </w:tc>
        <w:tc>
          <w:tcPr>
            <w:tcW w:w="7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4,500,000</w:t>
            </w:r>
          </w:p>
        </w:tc>
        <w:tc>
          <w:tcPr>
            <w:tcW w:w="8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4,447,058</w:t>
            </w: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Interior Specialists, Inc.</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06/30/2020</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6,800,000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6,734,452</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6,800,000</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Jackson Hewitt Tax Service Inc.</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07/30/2020</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L+700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5,000,000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4,901,996</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4,900,000</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08/19/2019</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5"/>
              </w:rPr>
              <w:t>Chemicals, Plastics and Rubber</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L+1,000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5,965,222</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5,874,403</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5,537,227</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Kendra Scott, LLC</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07/17/2020</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L+600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3,000,000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2,970,849</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2,977,500</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Lanyon Solutions, Inc.</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11/13/2020</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5.50%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L+450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1,965,012</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1,958,874</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1,943,731</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11/30/2018</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L+525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5,789,068</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5,735,375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5,736,619</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 xml:space="preserve">Lindblad Expeditions, Inc. </w:t>
            </w:r>
            <w:r>
              <w:rPr>
                <w:rFonts w:ascii="Arial" w:cs="Arial" w:eastAsia="Arial" w:hAnsi="Arial"/>
                <w:sz w:val="10"/>
                <w:szCs w:val="10"/>
                <w:color w:val="auto"/>
              </w:rPr>
              <w:t>(11)</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05/10/2021</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5.50%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L+450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2,208,750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2,197,809</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2,197,706</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Lindblad Maritime Enterprises, Ltd. </w:t>
            </w:r>
            <w:r>
              <w:rPr>
                <w:rFonts w:ascii="Arial" w:cs="Arial" w:eastAsia="Arial" w:hAnsi="Arial"/>
                <w:sz w:val="10"/>
                <w:szCs w:val="10"/>
                <w:color w:val="auto"/>
              </w:rPr>
              <w:t>(6), (11)</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05/10/2021</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285,000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283,588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283,575</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LTI Holdings, Inc.</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04/18/2022</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5"/>
              </w:rPr>
              <w:t>Chemicals, Plastics and Rubber</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5.25%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L+425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1,995,000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1,985,364</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1,973,175</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New Trident HoldCorp, Inc.</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07/31/2019</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L+525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8,917,647</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8,854,192</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8,566,559</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 xml:space="preserve">Physiotherapy Corporation </w:t>
            </w:r>
            <w:r>
              <w:rPr>
                <w:rFonts w:ascii="Arial" w:cs="Arial" w:eastAsia="Arial" w:hAnsi="Arial"/>
                <w:sz w:val="10"/>
                <w:szCs w:val="10"/>
                <w:color w:val="auto"/>
              </w:rPr>
              <w:t>(8)</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06/04/2021</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L+475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3,500,000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3,482,889</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3,491,250</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PlayPower, Inc.</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06/23/2021</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L+475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3,990,000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3,951,094</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3,970,050</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Polyconcept Finance B.V.</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06/28/2019</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L+475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8"/>
              </w:rPr>
              <w:t>11,482,697</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11,430,576</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11,425,283</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Premier Dental Services, Inc.</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11/01/2018</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8,219,601</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8,131,135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7,109,955</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Profile Products LLC</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05/20/2021</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8"/>
              </w:rPr>
              <w:t>Environmental Industries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7,470,287</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7,398,025</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7,470,287</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Profile Products LLC (Revolver) </w:t>
            </w:r>
            <w:r>
              <w:rPr>
                <w:rFonts w:ascii="Arial" w:cs="Arial" w:eastAsia="Arial" w:hAnsi="Arial"/>
                <w:sz w:val="10"/>
                <w:szCs w:val="10"/>
                <w:color w:val="auto"/>
              </w:rPr>
              <w:t>(8) , (10)</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05/20/2020</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Environmental Industries</w:t>
            </w:r>
          </w:p>
        </w:tc>
        <w:tc>
          <w:tcPr>
            <w:tcW w:w="8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2,459,016</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Quality Home Brands Holdings LLC</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12/17/2018</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7.75%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L+650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4,912,500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4,880,217</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4,914,563</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Research Now Group, Inc.</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03/18/2021</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6,965,000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6,931,604</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6,912,763</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Robertshaw US Holding Corp.</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06/18/2019</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L+750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3,582,758</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3,557,217</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3,575,247</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Ryan, LLC</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08/07/2020</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6.75%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L+575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4,443,750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4,378,244</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4,382,648</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04/21/2017</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L+750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6,101,682</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5,946,657</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5,491,514</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St. George’s University Scholastic Services LLC </w:t>
            </w:r>
            <w:r>
              <w:rPr>
                <w:rFonts w:ascii="Arial" w:cs="Arial" w:eastAsia="Arial" w:hAnsi="Arial"/>
                <w:sz w:val="10"/>
                <w:szCs w:val="10"/>
                <w:color w:val="auto"/>
              </w:rPr>
              <w:t>(6), (11)</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08/09/2021</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L+475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714,200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711,056</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714,200</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Surgical Specialties Corporation (US), Inc.</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08/22/2018</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7.25%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L+575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8"/>
              </w:rPr>
              <w:t>10,037,432</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10,017,760</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9,937,058</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Survey Sampling International, LLC</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12/16/2020</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6,218,750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6,171,308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6,164,336</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Systems Maintenance Services Holding, Inc.</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10/18/2019</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L+400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5,895,000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5,875,736</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5,895,000</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Tensar Corporation</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07/09/2021</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L+475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4,950,000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4,906,969</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4,588,056</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TOMS Shoes, LLC</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11/02/2020</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L+550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1,990,000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1,814,920</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1,845,725</w:t>
            </w:r>
          </w:p>
        </w:tc>
        <w:tc>
          <w:tcPr>
            <w:tcW w:w="0" w:type="dxa"/>
            <w:vAlign w:val="bottom"/>
          </w:tcPr>
          <w:p>
            <w:pPr>
              <w:spacing w:after="0"/>
              <w:rPr>
                <w:sz w:val="1"/>
                <w:szCs w:val="1"/>
                <w:color w:val="auto"/>
              </w:rPr>
            </w:pPr>
          </w:p>
        </w:tc>
      </w:tr>
      <w:tr>
        <w:trPr>
          <w:trHeight w:val="121"/>
        </w:trPr>
        <w:tc>
          <w:tcPr>
            <w:tcW w:w="45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68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w w:val="86"/>
              </w:rPr>
              <w:t>01/14/2019</w:t>
            </w:r>
          </w:p>
        </w:tc>
        <w:tc>
          <w:tcPr>
            <w:tcW w:w="18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Telecommunications</w:t>
            </w:r>
          </w:p>
        </w:tc>
        <w:tc>
          <w:tcPr>
            <w:tcW w:w="80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9.50%</w:t>
            </w:r>
          </w:p>
        </w:tc>
        <w:tc>
          <w:tcPr>
            <w:tcW w:w="90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L+850</w:t>
            </w:r>
          </w:p>
        </w:tc>
        <w:tc>
          <w:tcPr>
            <w:tcW w:w="7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430,126</w:t>
            </w:r>
          </w:p>
        </w:tc>
        <w:tc>
          <w:tcPr>
            <w:tcW w:w="8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430,126</w:t>
            </w: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430,126</w:t>
            </w:r>
          </w:p>
        </w:tc>
        <w:tc>
          <w:tcPr>
            <w:tcW w:w="0" w:type="dxa"/>
            <w:vAlign w:val="bottom"/>
          </w:tcPr>
          <w:p>
            <w:pPr>
              <w:spacing w:after="0"/>
              <w:rPr>
                <w:sz w:val="1"/>
                <w:szCs w:val="1"/>
                <w:color w:val="auto"/>
              </w:rPr>
            </w:pPr>
          </w:p>
        </w:tc>
      </w:tr>
      <w:tr>
        <w:trPr>
          <w:trHeight w:val="163"/>
        </w:trPr>
        <w:tc>
          <w:tcPr>
            <w:tcW w:w="4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(PIK 1.00%)</w:t>
            </w:r>
          </w:p>
        </w:tc>
        <w:tc>
          <w:tcPr>
            <w:tcW w:w="9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6"/>
              </w:rPr>
              <w:t>01/14/2019</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8.50%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L+750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599,702</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548,736</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569,717</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 (10)</w:t>
            </w:r>
          </w:p>
        </w:tc>
        <w:tc>
          <w:tcPr>
            <w:tcW w:w="6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6"/>
              </w:rPr>
              <w:t>01/14/2019</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8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151,090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Basis Point</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Spread</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322"/>
              <w:spacing w:after="0" w:line="135" w:lineRule="exact"/>
              <w:rPr>
                <w:sz w:val="20"/>
                <w:szCs w:val="20"/>
                <w:color w:val="auto"/>
              </w:rPr>
            </w:pPr>
            <w:r>
              <w:rPr>
                <w:rFonts w:ascii="Arial" w:cs="Arial" w:eastAsia="Arial" w:hAnsi="Arial"/>
                <w:sz w:val="13"/>
                <w:szCs w:val="13"/>
                <w:b w:val="1"/>
                <w:bCs w:val="1"/>
                <w:color w:val="auto"/>
              </w:rPr>
              <w:t>Current</w:t>
            </w:r>
          </w:p>
        </w:tc>
        <w:tc>
          <w:tcPr>
            <w:tcW w:w="8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Above</w:t>
            </w: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Par /</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60" w:type="dxa"/>
            <w:vAlign w:val="bottom"/>
            <w:gridSpan w:val="2"/>
            <w:vMerge w:val="continue"/>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Maturity</w:t>
            </w:r>
          </w:p>
        </w:tc>
        <w:tc>
          <w:tcPr>
            <w:tcW w:w="1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Industry</w:t>
            </w:r>
          </w:p>
        </w:tc>
        <w:tc>
          <w:tcPr>
            <w:tcW w:w="920" w:type="dxa"/>
            <w:vAlign w:val="bottom"/>
            <w:gridSpan w:val="2"/>
          </w:tcPr>
          <w:p>
            <w:pPr>
              <w:jc w:val="right"/>
              <w:ind w:right="342"/>
              <w:spacing w:after="0"/>
              <w:rPr>
                <w:sz w:val="20"/>
                <w:szCs w:val="20"/>
                <w:color w:val="auto"/>
              </w:rPr>
            </w:pPr>
            <w:r>
              <w:rPr>
                <w:rFonts w:ascii="Arial" w:cs="Arial" w:eastAsia="Arial" w:hAnsi="Arial"/>
                <w:sz w:val="13"/>
                <w:szCs w:val="13"/>
                <w:b w:val="1"/>
                <w:bCs w:val="1"/>
                <w:color w:val="auto"/>
              </w:rPr>
              <w:t>Coupon</w:t>
            </w: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 xml:space="preserve">Fair Value </w:t>
            </w:r>
            <w:r>
              <w:rPr>
                <w:rFonts w:ascii="Arial" w:cs="Arial" w:eastAsia="Arial" w:hAnsi="Arial"/>
                <w:sz w:val="10"/>
                <w:szCs w:val="10"/>
                <w:b w:val="1"/>
                <w:bCs w:val="1"/>
                <w:color w:val="auto"/>
                <w:w w:val="99"/>
              </w:rPr>
              <w:t>(2)</w:t>
            </w:r>
          </w:p>
        </w:tc>
        <w:tc>
          <w:tcPr>
            <w:tcW w:w="0" w:type="dxa"/>
            <w:vAlign w:val="bottom"/>
          </w:tcPr>
          <w:p>
            <w:pPr>
              <w:spacing w:after="0"/>
              <w:rPr>
                <w:sz w:val="1"/>
                <w:szCs w:val="1"/>
                <w:color w:val="auto"/>
              </w:rPr>
            </w:pPr>
          </w:p>
        </w:tc>
      </w:tr>
      <w:tr>
        <w:trPr>
          <w:trHeight w:val="128"/>
        </w:trPr>
        <w:tc>
          <w:tcPr>
            <w:tcW w:w="43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U.S. Farathane, LLC</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02/07/2022</w:t>
            </w:r>
          </w:p>
        </w:tc>
        <w:tc>
          <w:tcPr>
            <w:tcW w:w="18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95"/>
              </w:rPr>
              <w:t>Automotive</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6.75</w:t>
            </w:r>
          </w:p>
        </w:tc>
        <w:tc>
          <w:tcPr>
            <w:tcW w:w="300" w:type="dxa"/>
            <w:vAlign w:val="bottom"/>
            <w:tcBorders>
              <w:top w:val="single" w:sz="8" w:color="CCEEFF"/>
            </w:tcBorders>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w w:val="74"/>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L+575</w:t>
            </w:r>
          </w:p>
        </w:tc>
        <w:tc>
          <w:tcPr>
            <w:tcW w:w="2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3,800,641</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3,729,952</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3,807,672</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460" w:type="dxa"/>
            <w:vAlign w:val="bottom"/>
            <w:gridSpan w:val="2"/>
          </w:tcPr>
          <w:p>
            <w:pPr>
              <w:spacing w:after="0" w:line="121" w:lineRule="exact"/>
              <w:rPr>
                <w:sz w:val="20"/>
                <w:szCs w:val="20"/>
                <w:color w:val="auto"/>
              </w:rPr>
            </w:pPr>
            <w:r>
              <w:rPr>
                <w:rFonts w:ascii="Arial" w:cs="Arial" w:eastAsia="Arial" w:hAnsi="Arial"/>
                <w:sz w:val="13"/>
                <w:szCs w:val="13"/>
                <w:color w:val="auto"/>
              </w:rPr>
              <w:t xml:space="preserve">US Med Acquisition, Inc. </w:t>
            </w:r>
            <w:r>
              <w:rPr>
                <w:rFonts w:ascii="Arial" w:cs="Arial" w:eastAsia="Arial" w:hAnsi="Arial"/>
                <w:sz w:val="10"/>
                <w:szCs w:val="10"/>
                <w:color w:val="auto"/>
              </w:rPr>
              <w:t>(8)</w:t>
            </w:r>
          </w:p>
        </w:tc>
        <w:tc>
          <w:tcPr>
            <w:tcW w:w="8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w w:val="92"/>
              </w:rPr>
              <w:t>08/13/2021</w:t>
            </w:r>
          </w:p>
        </w:tc>
        <w:tc>
          <w:tcPr>
            <w:tcW w:w="172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3"/>
              </w:rPr>
              <w:t>Healthcare and</w:t>
            </w:r>
          </w:p>
        </w:tc>
        <w:tc>
          <w:tcPr>
            <w:tcW w:w="920" w:type="dxa"/>
            <w:vAlign w:val="bottom"/>
            <w:gridSpan w:val="2"/>
          </w:tcPr>
          <w:p>
            <w:pPr>
              <w:jc w:val="right"/>
              <w:ind w:right="142"/>
              <w:spacing w:after="0" w:line="121" w:lineRule="exact"/>
              <w:rPr>
                <w:sz w:val="20"/>
                <w:szCs w:val="20"/>
                <w:color w:val="auto"/>
              </w:rPr>
            </w:pPr>
            <w:r>
              <w:rPr>
                <w:rFonts w:ascii="Arial" w:cs="Arial" w:eastAsia="Arial" w:hAnsi="Arial"/>
                <w:sz w:val="13"/>
                <w:szCs w:val="13"/>
                <w:color w:val="auto"/>
              </w:rPr>
              <w:t>10.00%</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L+900</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3,121,094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3,121,094</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3,121,094</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Pharmaceuticals</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4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Vistage Worldwide, Inc. </w:t>
            </w:r>
            <w:r>
              <w:rPr>
                <w:rFonts w:ascii="Arial" w:cs="Arial" w:eastAsia="Arial" w:hAnsi="Arial"/>
                <w:sz w:val="10"/>
                <w:szCs w:val="10"/>
                <w:color w:val="auto"/>
              </w:rPr>
              <w:t>(8)</w:t>
            </w:r>
          </w:p>
        </w:tc>
        <w:tc>
          <w:tcPr>
            <w:tcW w:w="8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w w:val="92"/>
              </w:rPr>
              <w:t>08/19/2021</w:t>
            </w:r>
          </w:p>
        </w:tc>
        <w:tc>
          <w:tcPr>
            <w:tcW w:w="172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87"/>
              </w:rPr>
              <w:t>Media: Broadcasting and</w:t>
            </w:r>
          </w:p>
        </w:tc>
        <w:tc>
          <w:tcPr>
            <w:tcW w:w="920" w:type="dxa"/>
            <w:vAlign w:val="bottom"/>
            <w:gridSpan w:val="2"/>
            <w:shd w:val="clear" w:color="auto" w:fill="CCEEFF"/>
          </w:tcPr>
          <w:p>
            <w:pPr>
              <w:jc w:val="right"/>
              <w:ind w:right="142"/>
              <w:spacing w:after="0" w:line="121" w:lineRule="exact"/>
              <w:rPr>
                <w:sz w:val="20"/>
                <w:szCs w:val="20"/>
                <w:color w:val="auto"/>
              </w:rPr>
            </w:pPr>
            <w:r>
              <w:rPr>
                <w:rFonts w:ascii="Arial" w:cs="Arial" w:eastAsia="Arial" w:hAnsi="Arial"/>
                <w:sz w:val="13"/>
                <w:szCs w:val="13"/>
                <w:color w:val="auto"/>
              </w:rPr>
              <w:t>6.50%</w:t>
            </w:r>
          </w:p>
        </w:tc>
        <w:tc>
          <w:tcPr>
            <w:tcW w:w="8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L+550</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5,000,000</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4,950,477</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4,975,000</w:t>
            </w:r>
          </w:p>
        </w:tc>
        <w:tc>
          <w:tcPr>
            <w:tcW w:w="0" w:type="dxa"/>
            <w:vAlign w:val="bottom"/>
          </w:tcPr>
          <w:p>
            <w:pPr>
              <w:spacing w:after="0"/>
              <w:rPr>
                <w:sz w:val="1"/>
                <w:szCs w:val="1"/>
                <w:color w:val="auto"/>
              </w:rPr>
            </w:pPr>
          </w:p>
        </w:tc>
      </w:tr>
      <w:tr>
        <w:trPr>
          <w:trHeight w:val="149"/>
        </w:trPr>
        <w:tc>
          <w:tcPr>
            <w:tcW w:w="4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Subscription</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60" w:type="dxa"/>
            <w:vAlign w:val="bottom"/>
            <w:gridSpan w:val="2"/>
          </w:tcPr>
          <w:p>
            <w:pPr>
              <w:spacing w:after="0" w:line="135" w:lineRule="exact"/>
              <w:rPr>
                <w:sz w:val="20"/>
                <w:szCs w:val="20"/>
                <w:color w:val="auto"/>
              </w:rPr>
            </w:pPr>
            <w:r>
              <w:rPr>
                <w:rFonts w:ascii="Arial" w:cs="Arial" w:eastAsia="Arial" w:hAnsi="Arial"/>
                <w:sz w:val="13"/>
                <w:szCs w:val="13"/>
                <w:color w:val="auto"/>
              </w:rPr>
              <w:t>Wilton Brands, LLC</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2"/>
              </w:rPr>
              <w:t>08/30/2018</w:t>
            </w: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Consumer Goods: Non-Durable</w:t>
            </w:r>
          </w:p>
        </w:tc>
        <w:tc>
          <w:tcPr>
            <w:tcW w:w="92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8.50%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L+725</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2,703,000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2,674,736</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2,630,370</w:t>
            </w:r>
          </w:p>
        </w:tc>
        <w:tc>
          <w:tcPr>
            <w:tcW w:w="0" w:type="dxa"/>
            <w:vAlign w:val="bottom"/>
          </w:tcPr>
          <w:p>
            <w:pPr>
              <w:spacing w:after="0"/>
              <w:rPr>
                <w:sz w:val="1"/>
                <w:szCs w:val="1"/>
                <w:color w:val="auto"/>
              </w:rPr>
            </w:pPr>
          </w:p>
        </w:tc>
      </w:tr>
      <w:tr>
        <w:trPr>
          <w:trHeight w:val="121"/>
        </w:trPr>
        <w:tc>
          <w:tcPr>
            <w:tcW w:w="44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Worley Claims Services, LLC</w:t>
            </w:r>
          </w:p>
        </w:tc>
        <w:tc>
          <w:tcPr>
            <w:tcW w:w="8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w w:val="92"/>
              </w:rPr>
              <w:t>10/30/2020</w:t>
            </w:r>
          </w:p>
        </w:tc>
        <w:tc>
          <w:tcPr>
            <w:tcW w:w="172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88"/>
              </w:rPr>
              <w:t>Banking, Finance, Insurance</w:t>
            </w:r>
          </w:p>
        </w:tc>
        <w:tc>
          <w:tcPr>
            <w:tcW w:w="920" w:type="dxa"/>
            <w:vAlign w:val="bottom"/>
            <w:gridSpan w:val="2"/>
            <w:shd w:val="clear" w:color="auto" w:fill="CCEEFF"/>
          </w:tcPr>
          <w:p>
            <w:pPr>
              <w:jc w:val="right"/>
              <w:ind w:right="142"/>
              <w:spacing w:after="0" w:line="121" w:lineRule="exact"/>
              <w:rPr>
                <w:sz w:val="20"/>
                <w:szCs w:val="20"/>
                <w:color w:val="auto"/>
              </w:rPr>
            </w:pPr>
            <w:r>
              <w:rPr>
                <w:rFonts w:ascii="Arial" w:cs="Arial" w:eastAsia="Arial" w:hAnsi="Arial"/>
                <w:sz w:val="13"/>
                <w:szCs w:val="13"/>
                <w:color w:val="auto"/>
              </w:rPr>
              <w:t>9.00%</w:t>
            </w:r>
          </w:p>
        </w:tc>
        <w:tc>
          <w:tcPr>
            <w:tcW w:w="8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L+800</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6,490,688</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6,429,955</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6,490,688</w:t>
            </w:r>
          </w:p>
        </w:tc>
        <w:tc>
          <w:tcPr>
            <w:tcW w:w="0" w:type="dxa"/>
            <w:vAlign w:val="bottom"/>
          </w:tcPr>
          <w:p>
            <w:pPr>
              <w:spacing w:after="0"/>
              <w:rPr>
                <w:sz w:val="1"/>
                <w:szCs w:val="1"/>
                <w:color w:val="auto"/>
              </w:rPr>
            </w:pPr>
          </w:p>
        </w:tc>
      </w:tr>
      <w:tr>
        <w:trPr>
          <w:trHeight w:val="149"/>
        </w:trPr>
        <w:tc>
          <w:tcPr>
            <w:tcW w:w="4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4"/>
              </w:rPr>
              <w:t>and Real Estate</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2"/>
          </w:tcPr>
          <w:p>
            <w:pPr>
              <w:spacing w:after="0" w:line="142" w:lineRule="exact"/>
              <w:rPr>
                <w:sz w:val="20"/>
                <w:szCs w:val="20"/>
                <w:color w:val="auto"/>
              </w:rPr>
            </w:pPr>
            <w:r>
              <w:rPr>
                <w:rFonts w:ascii="Arial" w:cs="Arial" w:eastAsia="Arial" w:hAnsi="Arial"/>
                <w:sz w:val="13"/>
                <w:szCs w:val="13"/>
                <w:color w:val="auto"/>
              </w:rPr>
              <w:t>Total First Lien Secured Debt</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335,790,073</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332,180,834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Debt—12.8%</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Affinion Group, Inc. </w:t>
            </w:r>
            <w:r>
              <w:rPr>
                <w:rFonts w:ascii="Arial" w:cs="Arial" w:eastAsia="Arial" w:hAnsi="Arial"/>
                <w:sz w:val="10"/>
                <w:szCs w:val="10"/>
                <w:color w:val="auto"/>
              </w:rPr>
              <w:t>(8)</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2"/>
              </w:rPr>
              <w:t>10/31/2018</w:t>
            </w: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8.50%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L+700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1,000,000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919,155</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893,130</w:t>
            </w:r>
          </w:p>
        </w:tc>
        <w:tc>
          <w:tcPr>
            <w:tcW w:w="0" w:type="dxa"/>
            <w:vAlign w:val="bottom"/>
          </w:tcPr>
          <w:p>
            <w:pPr>
              <w:spacing w:after="0"/>
              <w:rPr>
                <w:sz w:val="1"/>
                <w:szCs w:val="1"/>
                <w:color w:val="auto"/>
              </w:rPr>
            </w:pPr>
          </w:p>
        </w:tc>
      </w:tr>
      <w:tr>
        <w:trPr>
          <w:trHeight w:val="135"/>
        </w:trPr>
        <w:tc>
          <w:tcPr>
            <w:tcW w:w="4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 (8)</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2"/>
              </w:rPr>
              <w:t>09/01/2017</w:t>
            </w:r>
          </w:p>
        </w:tc>
        <w:tc>
          <w:tcPr>
            <w:tcW w:w="17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9"/>
              </w:rPr>
              <w:t>Metals and Mining</w:t>
            </w:r>
          </w:p>
        </w:tc>
        <w:tc>
          <w:tcPr>
            <w:tcW w:w="920" w:type="dxa"/>
            <w:vAlign w:val="bottom"/>
            <w:gridSpan w:val="2"/>
            <w:shd w:val="clear" w:color="auto" w:fill="CCEEFF"/>
          </w:tcPr>
          <w:p>
            <w:pPr>
              <w:jc w:val="right"/>
              <w:ind w:right="142"/>
              <w:spacing w:after="0" w:line="135" w:lineRule="exact"/>
              <w:rPr>
                <w:sz w:val="20"/>
                <w:szCs w:val="20"/>
                <w:color w:val="auto"/>
              </w:rPr>
            </w:pPr>
            <w:r>
              <w:rPr>
                <w:rFonts w:ascii="Arial" w:cs="Arial" w:eastAsia="Arial" w:hAnsi="Arial"/>
                <w:sz w:val="13"/>
                <w:szCs w:val="13"/>
                <w:color w:val="auto"/>
              </w:rPr>
              <w:t>11.50%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950,000</w:t>
            </w:r>
          </w:p>
        </w:tc>
        <w:tc>
          <w:tcPr>
            <w:tcW w:w="0" w:type="dxa"/>
            <w:vAlign w:val="bottom"/>
          </w:tcPr>
          <w:p>
            <w:pPr>
              <w:spacing w:after="0"/>
              <w:rPr>
                <w:sz w:val="1"/>
                <w:szCs w:val="1"/>
                <w:color w:val="auto"/>
              </w:rPr>
            </w:pPr>
          </w:p>
        </w:tc>
      </w:tr>
      <w:tr>
        <w:trPr>
          <w:trHeight w:val="135"/>
        </w:trPr>
        <w:tc>
          <w:tcPr>
            <w:tcW w:w="4460" w:type="dxa"/>
            <w:vAlign w:val="bottom"/>
            <w:gridSpan w:val="2"/>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2520" w:type="dxa"/>
            <w:vAlign w:val="bottom"/>
            <w:gridSpan w:val="4"/>
          </w:tcPr>
          <w:p>
            <w:pPr>
              <w:ind w:left="60"/>
              <w:spacing w:after="0" w:line="135" w:lineRule="exact"/>
              <w:rPr>
                <w:sz w:val="20"/>
                <w:szCs w:val="20"/>
                <w:color w:val="auto"/>
              </w:rPr>
            </w:pPr>
            <w:r>
              <w:rPr>
                <w:rFonts w:ascii="Arial" w:cs="Arial" w:eastAsia="Arial" w:hAnsi="Arial"/>
                <w:sz w:val="13"/>
                <w:szCs w:val="13"/>
                <w:color w:val="auto"/>
                <w:w w:val="93"/>
              </w:rPr>
              <w:t>12/31/2020   Chemicals, Plastics and Rubber</w:t>
            </w:r>
          </w:p>
        </w:tc>
        <w:tc>
          <w:tcPr>
            <w:tcW w:w="92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11.00%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L+1,050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2,000,000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1,965,770</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2,000,000</w:t>
            </w:r>
          </w:p>
        </w:tc>
        <w:tc>
          <w:tcPr>
            <w:tcW w:w="0" w:type="dxa"/>
            <w:vAlign w:val="bottom"/>
          </w:tcPr>
          <w:p>
            <w:pPr>
              <w:spacing w:after="0"/>
              <w:rPr>
                <w:sz w:val="1"/>
                <w:szCs w:val="1"/>
                <w:color w:val="auto"/>
              </w:rPr>
            </w:pPr>
          </w:p>
        </w:tc>
      </w:tr>
      <w:tr>
        <w:trPr>
          <w:trHeight w:val="135"/>
        </w:trPr>
        <w:tc>
          <w:tcPr>
            <w:tcW w:w="4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Howard Berger Co. LLC</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2"/>
              </w:rPr>
              <w:t>09/30/2020</w:t>
            </w:r>
          </w:p>
        </w:tc>
        <w:tc>
          <w:tcPr>
            <w:tcW w:w="17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8"/>
              </w:rPr>
              <w:t>Wholesale</w:t>
            </w:r>
          </w:p>
        </w:tc>
        <w:tc>
          <w:tcPr>
            <w:tcW w:w="920" w:type="dxa"/>
            <w:vAlign w:val="bottom"/>
            <w:gridSpan w:val="2"/>
            <w:shd w:val="clear" w:color="auto" w:fill="CCEEFF"/>
          </w:tcPr>
          <w:p>
            <w:pPr>
              <w:jc w:val="right"/>
              <w:ind w:right="142"/>
              <w:spacing w:after="0" w:line="135" w:lineRule="exact"/>
              <w:rPr>
                <w:sz w:val="20"/>
                <w:szCs w:val="20"/>
                <w:color w:val="auto"/>
              </w:rPr>
            </w:pPr>
            <w:r>
              <w:rPr>
                <w:rFonts w:ascii="Arial" w:cs="Arial" w:eastAsia="Arial" w:hAnsi="Arial"/>
                <w:sz w:val="13"/>
                <w:szCs w:val="13"/>
                <w:color w:val="auto"/>
              </w:rPr>
              <w:t>11.00%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L+1,000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11,000,000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5"/>
              </w:rPr>
              <w:t>10,423,463</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10,670,000</w:t>
            </w:r>
          </w:p>
        </w:tc>
        <w:tc>
          <w:tcPr>
            <w:tcW w:w="0" w:type="dxa"/>
            <w:vAlign w:val="bottom"/>
          </w:tcPr>
          <w:p>
            <w:pPr>
              <w:spacing w:after="0"/>
              <w:rPr>
                <w:sz w:val="1"/>
                <w:szCs w:val="1"/>
                <w:color w:val="auto"/>
              </w:rPr>
            </w:pPr>
          </w:p>
        </w:tc>
      </w:tr>
      <w:tr>
        <w:trPr>
          <w:trHeight w:val="135"/>
        </w:trPr>
        <w:tc>
          <w:tcPr>
            <w:tcW w:w="446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J.A. Cosmetics Holdings, Inc. </w:t>
            </w:r>
            <w:r>
              <w:rPr>
                <w:rFonts w:ascii="Arial" w:cs="Arial" w:eastAsia="Arial" w:hAnsi="Arial"/>
                <w:sz w:val="10"/>
                <w:szCs w:val="10"/>
                <w:color w:val="auto"/>
              </w:rPr>
              <w:t>(8)</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2"/>
              </w:rPr>
              <w:t>07/31/2019</w:t>
            </w: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11.00%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L+1,000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4,000,000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3,938,373</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4,040,000</w:t>
            </w:r>
          </w:p>
        </w:tc>
        <w:tc>
          <w:tcPr>
            <w:tcW w:w="0" w:type="dxa"/>
            <w:vAlign w:val="bottom"/>
          </w:tcPr>
          <w:p>
            <w:pPr>
              <w:spacing w:after="0"/>
              <w:rPr>
                <w:sz w:val="1"/>
                <w:szCs w:val="1"/>
                <w:color w:val="auto"/>
              </w:rPr>
            </w:pPr>
          </w:p>
        </w:tc>
      </w:tr>
      <w:tr>
        <w:trPr>
          <w:trHeight w:val="135"/>
        </w:trPr>
        <w:tc>
          <w:tcPr>
            <w:tcW w:w="4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Language Line, LLC</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2"/>
              </w:rPr>
              <w:t>07/07/2022</w:t>
            </w:r>
          </w:p>
        </w:tc>
        <w:tc>
          <w:tcPr>
            <w:tcW w:w="17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Consumer Services</w:t>
            </w:r>
          </w:p>
        </w:tc>
        <w:tc>
          <w:tcPr>
            <w:tcW w:w="920" w:type="dxa"/>
            <w:vAlign w:val="bottom"/>
            <w:gridSpan w:val="2"/>
            <w:shd w:val="clear" w:color="auto" w:fill="CCEEFF"/>
          </w:tcPr>
          <w:p>
            <w:pPr>
              <w:jc w:val="right"/>
              <w:ind w:right="142"/>
              <w:spacing w:after="0" w:line="135" w:lineRule="exact"/>
              <w:rPr>
                <w:sz w:val="20"/>
                <w:szCs w:val="20"/>
                <w:color w:val="auto"/>
              </w:rPr>
            </w:pPr>
            <w:r>
              <w:rPr>
                <w:rFonts w:ascii="Arial" w:cs="Arial" w:eastAsia="Arial" w:hAnsi="Arial"/>
                <w:sz w:val="13"/>
                <w:szCs w:val="13"/>
                <w:color w:val="auto"/>
              </w:rPr>
              <w:t>10.75%</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L+975</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10,750,000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5"/>
              </w:rPr>
              <w:t>10,589,814</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10,723,125</w:t>
            </w:r>
          </w:p>
        </w:tc>
        <w:tc>
          <w:tcPr>
            <w:tcW w:w="0" w:type="dxa"/>
            <w:vAlign w:val="bottom"/>
          </w:tcPr>
          <w:p>
            <w:pPr>
              <w:spacing w:after="0"/>
              <w:rPr>
                <w:sz w:val="1"/>
                <w:szCs w:val="1"/>
                <w:color w:val="auto"/>
              </w:rPr>
            </w:pPr>
          </w:p>
        </w:tc>
      </w:tr>
      <w:tr>
        <w:trPr>
          <w:trHeight w:val="135"/>
        </w:trPr>
        <w:tc>
          <w:tcPr>
            <w:tcW w:w="4460" w:type="dxa"/>
            <w:vAlign w:val="bottom"/>
            <w:gridSpan w:val="2"/>
          </w:tcPr>
          <w:p>
            <w:pPr>
              <w:spacing w:after="0" w:line="135" w:lineRule="exact"/>
              <w:rPr>
                <w:sz w:val="20"/>
                <w:szCs w:val="20"/>
                <w:color w:val="auto"/>
              </w:rPr>
            </w:pPr>
            <w:r>
              <w:rPr>
                <w:rFonts w:ascii="Arial" w:cs="Arial" w:eastAsia="Arial" w:hAnsi="Arial"/>
                <w:sz w:val="13"/>
                <w:szCs w:val="13"/>
                <w:color w:val="auto"/>
              </w:rPr>
              <w:t>Novitex Acquisition, LLC</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2"/>
              </w:rPr>
              <w:t>07/07/2021</w:t>
            </w: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4"/>
              </w:rPr>
              <w:t>Business Services</w:t>
            </w:r>
          </w:p>
        </w:tc>
        <w:tc>
          <w:tcPr>
            <w:tcW w:w="92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11.75%</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L+1,050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11,000,000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5"/>
              </w:rPr>
              <w:t>10,902,202</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5"/>
              </w:rPr>
              <w:t>10,780,000</w:t>
            </w:r>
          </w:p>
        </w:tc>
        <w:tc>
          <w:tcPr>
            <w:tcW w:w="0" w:type="dxa"/>
            <w:vAlign w:val="bottom"/>
          </w:tcPr>
          <w:p>
            <w:pPr>
              <w:spacing w:after="0"/>
              <w:rPr>
                <w:sz w:val="1"/>
                <w:szCs w:val="1"/>
                <w:color w:val="auto"/>
              </w:rPr>
            </w:pPr>
          </w:p>
        </w:tc>
      </w:tr>
      <w:tr>
        <w:trPr>
          <w:trHeight w:val="121"/>
        </w:trPr>
        <w:tc>
          <w:tcPr>
            <w:tcW w:w="44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Penton Media, Inc. </w:t>
            </w:r>
            <w:r>
              <w:rPr>
                <w:rFonts w:ascii="Arial" w:cs="Arial" w:eastAsia="Arial" w:hAnsi="Arial"/>
                <w:sz w:val="10"/>
                <w:szCs w:val="10"/>
                <w:color w:val="auto"/>
              </w:rPr>
              <w:t>(8)</w:t>
            </w:r>
          </w:p>
        </w:tc>
        <w:tc>
          <w:tcPr>
            <w:tcW w:w="8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w w:val="92"/>
              </w:rPr>
              <w:t>10/02/2020</w:t>
            </w:r>
          </w:p>
        </w:tc>
        <w:tc>
          <w:tcPr>
            <w:tcW w:w="172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91"/>
              </w:rPr>
              <w:t>Media: Diversified and</w:t>
            </w:r>
          </w:p>
        </w:tc>
        <w:tc>
          <w:tcPr>
            <w:tcW w:w="920" w:type="dxa"/>
            <w:vAlign w:val="bottom"/>
            <w:gridSpan w:val="2"/>
            <w:shd w:val="clear" w:color="auto" w:fill="CCEEFF"/>
          </w:tcPr>
          <w:p>
            <w:pPr>
              <w:jc w:val="right"/>
              <w:ind w:right="142"/>
              <w:spacing w:after="0" w:line="121" w:lineRule="exact"/>
              <w:rPr>
                <w:sz w:val="20"/>
                <w:szCs w:val="20"/>
                <w:color w:val="auto"/>
              </w:rPr>
            </w:pPr>
            <w:r>
              <w:rPr>
                <w:rFonts w:ascii="Arial" w:cs="Arial" w:eastAsia="Arial" w:hAnsi="Arial"/>
                <w:sz w:val="13"/>
                <w:szCs w:val="13"/>
                <w:color w:val="auto"/>
              </w:rPr>
              <w:t>9.00%</w:t>
            </w:r>
          </w:p>
        </w:tc>
        <w:tc>
          <w:tcPr>
            <w:tcW w:w="8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L+775</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5,252,824</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5,194,116</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5,230,920</w:t>
            </w:r>
          </w:p>
        </w:tc>
        <w:tc>
          <w:tcPr>
            <w:tcW w:w="0" w:type="dxa"/>
            <w:vAlign w:val="bottom"/>
          </w:tcPr>
          <w:p>
            <w:pPr>
              <w:spacing w:after="0"/>
              <w:rPr>
                <w:sz w:val="1"/>
                <w:szCs w:val="1"/>
                <w:color w:val="auto"/>
              </w:rPr>
            </w:pPr>
          </w:p>
        </w:tc>
      </w:tr>
      <w:tr>
        <w:trPr>
          <w:trHeight w:val="149"/>
        </w:trPr>
        <w:tc>
          <w:tcPr>
            <w:tcW w:w="4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Production</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 (11)</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2"/>
              </w:rPr>
              <w:t>08/01/2017</w:t>
            </w: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Energy: Oil and Gas</w:t>
            </w:r>
          </w:p>
        </w:tc>
        <w:tc>
          <w:tcPr>
            <w:tcW w:w="92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10.00%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2,812,500</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2,697,607</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2,615,625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5"/>
              </w:rPr>
              <w:t>47,630,500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47,902,800</w:t>
            </w:r>
          </w:p>
        </w:tc>
        <w:tc>
          <w:tcPr>
            <w:tcW w:w="0" w:type="dxa"/>
            <w:vAlign w:val="bottom"/>
          </w:tcPr>
          <w:p>
            <w:pPr>
              <w:spacing w:after="0"/>
              <w:rPr>
                <w:sz w:val="1"/>
                <w:szCs w:val="1"/>
                <w:color w:val="auto"/>
              </w:rPr>
            </w:pPr>
          </w:p>
        </w:tc>
      </w:tr>
      <w:tr>
        <w:trPr>
          <w:trHeight w:val="142"/>
        </w:trPr>
        <w:tc>
          <w:tcPr>
            <w:tcW w:w="44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Subordinated Debt/Corporate Notes—1.5% </w:t>
            </w:r>
            <w:r>
              <w:rPr>
                <w:rFonts w:ascii="Arial" w:cs="Arial" w:eastAsia="Arial" w:hAnsi="Arial"/>
                <w:sz w:val="10"/>
                <w:szCs w:val="10"/>
                <w:b w:val="1"/>
                <w:bCs w:val="1"/>
                <w:color w:val="auto"/>
              </w:rPr>
              <w:t>(8)</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2"/>
              </w:rPr>
              <w:t>09/14/2018</w:t>
            </w:r>
          </w:p>
        </w:tc>
        <w:tc>
          <w:tcPr>
            <w:tcW w:w="17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(7)</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4,786,483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4,361,551</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1,818,864</w:t>
            </w:r>
          </w:p>
        </w:tc>
        <w:tc>
          <w:tcPr>
            <w:tcW w:w="0" w:type="dxa"/>
            <w:vAlign w:val="bottom"/>
          </w:tcPr>
          <w:p>
            <w:pPr>
              <w:spacing w:after="0"/>
              <w:rPr>
                <w:sz w:val="1"/>
                <w:szCs w:val="1"/>
                <w:color w:val="auto"/>
              </w:rPr>
            </w:pPr>
          </w:p>
        </w:tc>
      </w:tr>
      <w:tr>
        <w:trPr>
          <w:trHeight w:val="135"/>
        </w:trPr>
        <w:tc>
          <w:tcPr>
            <w:tcW w:w="4460" w:type="dxa"/>
            <w:vAlign w:val="bottom"/>
            <w:gridSpan w:val="2"/>
          </w:tcPr>
          <w:p>
            <w:pPr>
              <w:spacing w:after="0" w:line="135" w:lineRule="exact"/>
              <w:rPr>
                <w:sz w:val="20"/>
                <w:szCs w:val="20"/>
                <w:color w:val="auto"/>
              </w:rPr>
            </w:pPr>
            <w:r>
              <w:rPr>
                <w:rFonts w:ascii="Arial" w:cs="Arial" w:eastAsia="Arial" w:hAnsi="Arial"/>
                <w:sz w:val="13"/>
                <w:szCs w:val="13"/>
                <w:color w:val="auto"/>
              </w:rPr>
              <w:t>Affinion Investments LLC</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2"/>
              </w:rPr>
              <w:t>08/15/2018</w:t>
            </w: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(7)</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2,484,000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2,146,500</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1,664,280</w:t>
            </w:r>
          </w:p>
        </w:tc>
        <w:tc>
          <w:tcPr>
            <w:tcW w:w="0" w:type="dxa"/>
            <w:vAlign w:val="bottom"/>
          </w:tcPr>
          <w:p>
            <w:pPr>
              <w:spacing w:after="0"/>
              <w:rPr>
                <w:sz w:val="1"/>
                <w:szCs w:val="1"/>
                <w:color w:val="auto"/>
              </w:rPr>
            </w:pPr>
          </w:p>
        </w:tc>
      </w:tr>
      <w:tr>
        <w:trPr>
          <w:trHeight w:val="121"/>
        </w:trPr>
        <w:tc>
          <w:tcPr>
            <w:tcW w:w="44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Credit Infonet, Inc.</w:t>
            </w:r>
          </w:p>
        </w:tc>
        <w:tc>
          <w:tcPr>
            <w:tcW w:w="8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w w:val="92"/>
              </w:rPr>
              <w:t>10/26/2018</w:t>
            </w:r>
          </w:p>
        </w:tc>
        <w:tc>
          <w:tcPr>
            <w:tcW w:w="172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88"/>
              </w:rPr>
              <w:t>High Tech Industries</w:t>
            </w:r>
          </w:p>
        </w:tc>
        <w:tc>
          <w:tcPr>
            <w:tcW w:w="920" w:type="dxa"/>
            <w:vAlign w:val="bottom"/>
            <w:gridSpan w:val="2"/>
            <w:shd w:val="clear" w:color="auto" w:fill="CCEEFF"/>
          </w:tcPr>
          <w:p>
            <w:pPr>
              <w:jc w:val="right"/>
              <w:ind w:right="142"/>
              <w:spacing w:after="0" w:line="121" w:lineRule="exact"/>
              <w:rPr>
                <w:sz w:val="20"/>
                <w:szCs w:val="20"/>
                <w:color w:val="auto"/>
              </w:rPr>
            </w:pPr>
            <w:r>
              <w:rPr>
                <w:rFonts w:ascii="Arial" w:cs="Arial" w:eastAsia="Arial" w:hAnsi="Arial"/>
                <w:sz w:val="13"/>
                <w:szCs w:val="13"/>
                <w:color w:val="auto"/>
              </w:rPr>
              <w:t>13.00%</w:t>
            </w:r>
          </w:p>
        </w:tc>
        <w:tc>
          <w:tcPr>
            <w:tcW w:w="8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2,025,065</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1,999,885</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1,992,841</w:t>
            </w:r>
          </w:p>
        </w:tc>
        <w:tc>
          <w:tcPr>
            <w:tcW w:w="0" w:type="dxa"/>
            <w:vAlign w:val="bottom"/>
          </w:tcPr>
          <w:p>
            <w:pPr>
              <w:spacing w:after="0"/>
              <w:rPr>
                <w:sz w:val="1"/>
                <w:szCs w:val="1"/>
                <w:color w:val="auto"/>
              </w:rPr>
            </w:pPr>
          </w:p>
        </w:tc>
      </w:tr>
      <w:tr>
        <w:trPr>
          <w:trHeight w:val="163"/>
        </w:trPr>
        <w:tc>
          <w:tcPr>
            <w:tcW w:w="4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2"/>
              <w:spacing w:after="0"/>
              <w:rPr>
                <w:sz w:val="20"/>
                <w:szCs w:val="20"/>
                <w:color w:val="auto"/>
              </w:rPr>
            </w:pPr>
            <w:r>
              <w:rPr>
                <w:rFonts w:ascii="Arial" w:cs="Arial" w:eastAsia="Arial" w:hAnsi="Arial"/>
                <w:sz w:val="13"/>
                <w:szCs w:val="13"/>
                <w:color w:val="auto"/>
              </w:rPr>
              <w:t>(PIK 1.75%)</w:t>
            </w: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460" w:type="dxa"/>
            <w:vAlign w:val="bottom"/>
            <w:gridSpan w:val="2"/>
          </w:tcPr>
          <w:p>
            <w:pPr>
              <w:spacing w:after="0" w:line="121" w:lineRule="exact"/>
              <w:rPr>
                <w:sz w:val="20"/>
                <w:szCs w:val="20"/>
                <w:color w:val="auto"/>
              </w:rPr>
            </w:pPr>
            <w:r>
              <w:rPr>
                <w:rFonts w:ascii="Arial" w:cs="Arial" w:eastAsia="Arial" w:hAnsi="Arial"/>
                <w:sz w:val="13"/>
                <w:szCs w:val="13"/>
                <w:color w:val="auto"/>
              </w:rPr>
              <w:t>UniTek Global Services, Inc.</w:t>
            </w:r>
          </w:p>
        </w:tc>
        <w:tc>
          <w:tcPr>
            <w:tcW w:w="8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w w:val="92"/>
              </w:rPr>
              <w:t>07/15/2019</w:t>
            </w:r>
          </w:p>
        </w:tc>
        <w:tc>
          <w:tcPr>
            <w:tcW w:w="172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8"/>
              </w:rPr>
              <w:t>Telecommunications</w:t>
            </w:r>
          </w:p>
        </w:tc>
        <w:tc>
          <w:tcPr>
            <w:tcW w:w="920" w:type="dxa"/>
            <w:vAlign w:val="bottom"/>
            <w:gridSpan w:val="2"/>
          </w:tcPr>
          <w:p>
            <w:pPr>
              <w:jc w:val="right"/>
              <w:ind w:right="142"/>
              <w:spacing w:after="0" w:line="121" w:lineRule="exact"/>
              <w:rPr>
                <w:sz w:val="20"/>
                <w:szCs w:val="20"/>
                <w:color w:val="auto"/>
              </w:rPr>
            </w:pPr>
            <w:r>
              <w:rPr>
                <w:rFonts w:ascii="Arial" w:cs="Arial" w:eastAsia="Arial" w:hAnsi="Arial"/>
                <w:sz w:val="13"/>
                <w:szCs w:val="13"/>
                <w:color w:val="auto"/>
              </w:rPr>
              <w:t>15.00%</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126,259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126,259</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126,259</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02"/>
              <w:spacing w:after="0"/>
              <w:rPr>
                <w:sz w:val="20"/>
                <w:szCs w:val="20"/>
                <w:color w:val="auto"/>
              </w:rPr>
            </w:pPr>
            <w:r>
              <w:rPr>
                <w:rFonts w:ascii="Arial" w:cs="Arial" w:eastAsia="Arial" w:hAnsi="Arial"/>
                <w:sz w:val="13"/>
                <w:szCs w:val="13"/>
                <w:color w:val="auto"/>
                <w:w w:val="95"/>
              </w:rPr>
              <w:t>(PIK 15.00%)</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8,634,195</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5,602,244</w:t>
            </w:r>
          </w:p>
        </w:tc>
        <w:tc>
          <w:tcPr>
            <w:tcW w:w="0" w:type="dxa"/>
            <w:vAlign w:val="bottom"/>
          </w:tcPr>
          <w:p>
            <w:pPr>
              <w:spacing w:after="0"/>
              <w:rPr>
                <w:sz w:val="1"/>
                <w:szCs w:val="1"/>
                <w:color w:val="auto"/>
              </w:rPr>
            </w:pPr>
          </w:p>
        </w:tc>
      </w:tr>
      <w:tr>
        <w:trPr>
          <w:trHeight w:val="142"/>
        </w:trPr>
        <w:tc>
          <w:tcPr>
            <w:tcW w:w="44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Preferred Equity—0.3% </w:t>
            </w:r>
            <w:r>
              <w:rPr>
                <w:rFonts w:ascii="Arial" w:cs="Arial" w:eastAsia="Arial" w:hAnsi="Arial"/>
                <w:sz w:val="10"/>
                <w:szCs w:val="10"/>
                <w:b w:val="1"/>
                <w:bCs w:val="1"/>
                <w:color w:val="auto"/>
              </w:rPr>
              <w:t>(7), (8)</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J.A. Cosmetics US, Inc.</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7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shd w:val="clear" w:color="auto" w:fill="CCEEFF"/>
          </w:tcPr>
          <w:p>
            <w:pPr>
              <w:jc w:val="right"/>
              <w:ind w:right="142"/>
              <w:spacing w:after="0" w:line="135" w:lineRule="exact"/>
              <w:rPr>
                <w:sz w:val="20"/>
                <w:szCs w:val="20"/>
                <w:color w:val="auto"/>
              </w:rPr>
            </w:pPr>
            <w:r>
              <w:rPr>
                <w:rFonts w:ascii="Arial" w:cs="Arial" w:eastAsia="Arial" w:hAnsi="Arial"/>
                <w:sz w:val="13"/>
                <w:szCs w:val="13"/>
                <w:color w:val="auto"/>
              </w:rPr>
              <w:t>8.00%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399,704</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455,490</w:t>
            </w:r>
          </w:p>
        </w:tc>
        <w:tc>
          <w:tcPr>
            <w:tcW w:w="0" w:type="dxa"/>
            <w:vAlign w:val="bottom"/>
          </w:tcPr>
          <w:p>
            <w:pPr>
              <w:spacing w:after="0"/>
              <w:rPr>
                <w:sz w:val="1"/>
                <w:szCs w:val="1"/>
                <w:color w:val="auto"/>
              </w:rPr>
            </w:pPr>
          </w:p>
        </w:tc>
      </w:tr>
      <w:tr>
        <w:trPr>
          <w:trHeight w:val="142"/>
        </w:trPr>
        <w:tc>
          <w:tcPr>
            <w:tcW w:w="4460" w:type="dxa"/>
            <w:vAlign w:val="bottom"/>
            <w:gridSpan w:val="2"/>
          </w:tcPr>
          <w:p>
            <w:pPr>
              <w:spacing w:after="0" w:line="135" w:lineRule="exact"/>
              <w:rPr>
                <w:sz w:val="20"/>
                <w:szCs w:val="20"/>
                <w:color w:val="auto"/>
              </w:rPr>
            </w:pPr>
            <w:r>
              <w:rPr>
                <w:rFonts w:ascii="Arial" w:cs="Arial" w:eastAsia="Arial" w:hAnsi="Arial"/>
                <w:sz w:val="13"/>
                <w:szCs w:val="13"/>
                <w:color w:val="auto"/>
              </w:rPr>
              <w:t>UniTek Global Services, Inc.</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Telecommunications</w:t>
            </w:r>
          </w:p>
        </w:tc>
        <w:tc>
          <w:tcPr>
            <w:tcW w:w="92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13.50%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1,047,317</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670,283</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691,115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1,069,987</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1,146,605</w:t>
            </w:r>
          </w:p>
        </w:tc>
        <w:tc>
          <w:tcPr>
            <w:tcW w:w="0" w:type="dxa"/>
            <w:vAlign w:val="bottom"/>
          </w:tcPr>
          <w:p>
            <w:pPr>
              <w:spacing w:after="0"/>
              <w:rPr>
                <w:sz w:val="1"/>
                <w:szCs w:val="1"/>
                <w:color w:val="auto"/>
              </w:rPr>
            </w:pPr>
          </w:p>
        </w:tc>
      </w:tr>
      <w:tr>
        <w:trPr>
          <w:trHeight w:val="142"/>
        </w:trPr>
        <w:tc>
          <w:tcPr>
            <w:tcW w:w="44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Common Equity/Warrants—0.5% </w:t>
            </w:r>
            <w:r>
              <w:rPr>
                <w:rFonts w:ascii="Arial" w:cs="Arial" w:eastAsia="Arial" w:hAnsi="Arial"/>
                <w:sz w:val="10"/>
                <w:szCs w:val="10"/>
                <w:b w:val="1"/>
                <w:bCs w:val="1"/>
                <w:color w:val="auto"/>
              </w:rPr>
              <w:t>(7), (8)</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A2Z Wireless Holdings, Inc.</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7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0"/>
              </w:rPr>
              <w:t>Retail</w:t>
            </w:r>
          </w:p>
        </w:tc>
        <w:tc>
          <w:tcPr>
            <w:tcW w:w="920" w:type="dxa"/>
            <w:vAlign w:val="bottom"/>
            <w:gridSpan w:val="2"/>
            <w:shd w:val="clear" w:color="auto" w:fill="CCEEFF"/>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463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118,817</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674,296</w:t>
            </w:r>
          </w:p>
        </w:tc>
        <w:tc>
          <w:tcPr>
            <w:tcW w:w="0" w:type="dxa"/>
            <w:vAlign w:val="bottom"/>
          </w:tcPr>
          <w:p>
            <w:pPr>
              <w:spacing w:after="0"/>
              <w:rPr>
                <w:sz w:val="1"/>
                <w:szCs w:val="1"/>
                <w:color w:val="auto"/>
              </w:rPr>
            </w:pPr>
          </w:p>
        </w:tc>
      </w:tr>
      <w:tr>
        <w:trPr>
          <w:trHeight w:val="135"/>
        </w:trPr>
        <w:tc>
          <w:tcPr>
            <w:tcW w:w="4460" w:type="dxa"/>
            <w:vAlign w:val="bottom"/>
            <w:gridSpan w:val="2"/>
          </w:tcPr>
          <w:p>
            <w:pPr>
              <w:spacing w:after="0" w:line="135" w:lineRule="exact"/>
              <w:rPr>
                <w:sz w:val="20"/>
                <w:szCs w:val="20"/>
                <w:color w:val="auto"/>
              </w:rPr>
            </w:pPr>
            <w:r>
              <w:rPr>
                <w:rFonts w:ascii="Arial" w:cs="Arial" w:eastAsia="Arial" w:hAnsi="Arial"/>
                <w:sz w:val="13"/>
                <w:szCs w:val="13"/>
                <w:color w:val="auto"/>
              </w:rPr>
              <w:t>Affinion Group Holdings, Inc., Series A (Warrants)</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2"/>
              </w:rPr>
              <w:t>12/12/2023</w:t>
            </w: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554,715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1,186,649</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291,226</w:t>
            </w:r>
          </w:p>
        </w:tc>
        <w:tc>
          <w:tcPr>
            <w:tcW w:w="0" w:type="dxa"/>
            <w:vAlign w:val="bottom"/>
          </w:tcPr>
          <w:p>
            <w:pPr>
              <w:spacing w:after="0"/>
              <w:rPr>
                <w:sz w:val="1"/>
                <w:szCs w:val="1"/>
                <w:color w:val="auto"/>
              </w:rPr>
            </w:pPr>
          </w:p>
        </w:tc>
      </w:tr>
      <w:tr>
        <w:trPr>
          <w:trHeight w:val="135"/>
        </w:trPr>
        <w:tc>
          <w:tcPr>
            <w:tcW w:w="4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 Series B (Warrants)</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2"/>
              </w:rPr>
              <w:t>12/12/2023</w:t>
            </w:r>
          </w:p>
        </w:tc>
        <w:tc>
          <w:tcPr>
            <w:tcW w:w="17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shd w:val="clear" w:color="auto" w:fill="CCEEFF"/>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1,135,743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22,715</w:t>
            </w:r>
          </w:p>
        </w:tc>
        <w:tc>
          <w:tcPr>
            <w:tcW w:w="0" w:type="dxa"/>
            <w:vAlign w:val="bottom"/>
          </w:tcPr>
          <w:p>
            <w:pPr>
              <w:spacing w:after="0"/>
              <w:rPr>
                <w:sz w:val="1"/>
                <w:szCs w:val="1"/>
                <w:color w:val="auto"/>
              </w:rPr>
            </w:pPr>
          </w:p>
        </w:tc>
      </w:tr>
      <w:tr>
        <w:trPr>
          <w:trHeight w:val="121"/>
        </w:trPr>
        <w:tc>
          <w:tcPr>
            <w:tcW w:w="4460" w:type="dxa"/>
            <w:vAlign w:val="bottom"/>
            <w:gridSpan w:val="2"/>
          </w:tcPr>
          <w:p>
            <w:pPr>
              <w:spacing w:after="0" w:line="121" w:lineRule="exact"/>
              <w:rPr>
                <w:sz w:val="20"/>
                <w:szCs w:val="20"/>
                <w:color w:val="auto"/>
              </w:rPr>
            </w:pPr>
            <w:r>
              <w:rPr>
                <w:rFonts w:ascii="Arial" w:cs="Arial" w:eastAsia="Arial" w:hAnsi="Arial"/>
                <w:sz w:val="13"/>
                <w:szCs w:val="13"/>
                <w:color w:val="auto"/>
              </w:rPr>
              <w:t>Faraday Holdings, LLC</w:t>
            </w:r>
          </w:p>
        </w:tc>
        <w:tc>
          <w:tcPr>
            <w:tcW w:w="8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172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90"/>
              </w:rPr>
              <w:t>Construction and Building</w:t>
            </w:r>
          </w:p>
        </w:tc>
        <w:tc>
          <w:tcPr>
            <w:tcW w:w="920" w:type="dxa"/>
            <w:vAlign w:val="bottom"/>
            <w:gridSpan w:val="2"/>
          </w:tcPr>
          <w:p>
            <w:pPr>
              <w:jc w:val="right"/>
              <w:ind w:right="242"/>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939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45,761</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52,466</w:t>
            </w:r>
          </w:p>
        </w:tc>
        <w:tc>
          <w:tcPr>
            <w:tcW w:w="0" w:type="dxa"/>
            <w:vAlign w:val="bottom"/>
          </w:tcPr>
          <w:p>
            <w:pPr>
              <w:spacing w:after="0"/>
              <w:rPr>
                <w:sz w:val="1"/>
                <w:szCs w:val="1"/>
                <w:color w:val="auto"/>
              </w:rPr>
            </w:pPr>
          </w:p>
        </w:tc>
      </w:tr>
      <w:tr>
        <w:trPr>
          <w:trHeight w:val="161"/>
        </w:trPr>
        <w:tc>
          <w:tcPr>
            <w:tcW w:w="4460" w:type="dxa"/>
            <w:vAlign w:val="bottom"/>
            <w:gridSpan w:val="2"/>
          </w:tcPr>
          <w:p>
            <w:pPr>
              <w:ind w:left="140"/>
              <w:spacing w:after="0"/>
              <w:rPr>
                <w:sz w:val="20"/>
                <w:szCs w:val="20"/>
                <w:color w:val="auto"/>
              </w:rPr>
            </w:pPr>
            <w:r>
              <w:rPr>
                <w:rFonts w:ascii="Arial" w:cs="Arial" w:eastAsia="Arial" w:hAnsi="Arial"/>
                <w:sz w:val="13"/>
                <w:szCs w:val="13"/>
                <w:color w:val="auto"/>
              </w:rPr>
              <w:t>(Interior Specialists, Inc.)</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46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J.A. Cosmetics US, Inc.</w:t>
            </w:r>
          </w:p>
        </w:tc>
        <w:tc>
          <w:tcPr>
            <w:tcW w:w="8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3"/>
                <w:szCs w:val="13"/>
                <w:color w:val="auto"/>
              </w:rPr>
              <w:t>—</w:t>
            </w:r>
          </w:p>
        </w:tc>
        <w:tc>
          <w:tcPr>
            <w:tcW w:w="1720" w:type="dxa"/>
            <w:vAlign w:val="bottom"/>
            <w:gridSpan w:val="2"/>
            <w:shd w:val="clear" w:color="auto" w:fill="CCEEFF"/>
          </w:tcPr>
          <w:p>
            <w:pPr>
              <w:jc w:val="center"/>
              <w:ind w:right="100"/>
              <w:spacing w:after="0" w:line="136"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shd w:val="clear" w:color="auto" w:fill="CCEEFF"/>
          </w:tcPr>
          <w:p>
            <w:pPr>
              <w:jc w:val="right"/>
              <w:ind w:right="242"/>
              <w:spacing w:after="0" w:line="136"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215,689</w:t>
            </w:r>
          </w:p>
        </w:tc>
        <w:tc>
          <w:tcPr>
            <w:tcW w:w="0" w:type="dxa"/>
            <w:vAlign w:val="bottom"/>
          </w:tcPr>
          <w:p>
            <w:pPr>
              <w:spacing w:after="0"/>
              <w:rPr>
                <w:sz w:val="1"/>
                <w:szCs w:val="1"/>
                <w:color w:val="auto"/>
              </w:rPr>
            </w:pPr>
          </w:p>
        </w:tc>
      </w:tr>
      <w:tr>
        <w:trPr>
          <w:trHeight w:val="121"/>
        </w:trPr>
        <w:tc>
          <w:tcPr>
            <w:tcW w:w="4460" w:type="dxa"/>
            <w:vAlign w:val="bottom"/>
            <w:gridSpan w:val="2"/>
          </w:tcPr>
          <w:p>
            <w:pPr>
              <w:spacing w:after="0" w:line="121" w:lineRule="exact"/>
              <w:rPr>
                <w:sz w:val="20"/>
                <w:szCs w:val="20"/>
                <w:color w:val="auto"/>
              </w:rPr>
            </w:pPr>
            <w:r>
              <w:rPr>
                <w:rFonts w:ascii="Arial" w:cs="Arial" w:eastAsia="Arial" w:hAnsi="Arial"/>
                <w:sz w:val="13"/>
                <w:szCs w:val="13"/>
                <w:color w:val="auto"/>
              </w:rPr>
              <w:t>Patriot National, Inc. (Warrants)</w:t>
            </w:r>
          </w:p>
        </w:tc>
        <w:tc>
          <w:tcPr>
            <w:tcW w:w="8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w w:val="92"/>
              </w:rPr>
              <w:t>11/27/2023</w:t>
            </w:r>
          </w:p>
        </w:tc>
        <w:tc>
          <w:tcPr>
            <w:tcW w:w="172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8"/>
              </w:rPr>
              <w:t>Banking, Finance, Insurance</w:t>
            </w:r>
          </w:p>
        </w:tc>
        <w:tc>
          <w:tcPr>
            <w:tcW w:w="920" w:type="dxa"/>
            <w:vAlign w:val="bottom"/>
            <w:gridSpan w:val="2"/>
          </w:tcPr>
          <w:p>
            <w:pPr>
              <w:jc w:val="right"/>
              <w:ind w:right="242"/>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14,484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28,002</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190,609</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3"/>
                <w:szCs w:val="13"/>
                <w:color w:val="auto"/>
                <w:w w:val="84"/>
              </w:rPr>
              <w:t>and Real Estate</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UniTek Global Services, Inc.</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7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8"/>
              </w:rPr>
              <w:t>Telecommunications</w:t>
            </w:r>
          </w:p>
        </w:tc>
        <w:tc>
          <w:tcPr>
            <w:tcW w:w="920" w:type="dxa"/>
            <w:vAlign w:val="bottom"/>
            <w:gridSpan w:val="2"/>
            <w:shd w:val="clear" w:color="auto" w:fill="CCEEFF"/>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149,617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4460" w:type="dxa"/>
            <w:vAlign w:val="bottom"/>
            <w:gridSpan w:val="2"/>
          </w:tcPr>
          <w:p>
            <w:pPr>
              <w:spacing w:after="0" w:line="121" w:lineRule="exact"/>
              <w:rPr>
                <w:sz w:val="20"/>
                <w:szCs w:val="20"/>
                <w:color w:val="auto"/>
              </w:rPr>
            </w:pPr>
            <w:r>
              <w:rPr>
                <w:rFonts w:ascii="Arial" w:cs="Arial" w:eastAsia="Arial" w:hAnsi="Arial"/>
                <w:sz w:val="13"/>
                <w:szCs w:val="13"/>
                <w:color w:val="auto"/>
              </w:rPr>
              <w:t>Vestcom Parent Holdings, Inc.</w:t>
            </w:r>
          </w:p>
        </w:tc>
        <w:tc>
          <w:tcPr>
            <w:tcW w:w="8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172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92"/>
              </w:rPr>
              <w:t>Media: Advertising, Printing</w:t>
            </w:r>
          </w:p>
        </w:tc>
        <w:tc>
          <w:tcPr>
            <w:tcW w:w="920" w:type="dxa"/>
            <w:vAlign w:val="bottom"/>
            <w:gridSpan w:val="2"/>
          </w:tcPr>
          <w:p>
            <w:pPr>
              <w:jc w:val="right"/>
              <w:ind w:right="242"/>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15,179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56,895</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255,899</w:t>
            </w: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and Publishing</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Equity/Warrants</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1,436,420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1,702,900</w:t>
            </w:r>
          </w:p>
        </w:tc>
        <w:tc>
          <w:tcPr>
            <w:tcW w:w="0" w:type="dxa"/>
            <w:vAlign w:val="bottom"/>
          </w:tcPr>
          <w:p>
            <w:pPr>
              <w:spacing w:after="0"/>
              <w:rPr>
                <w:sz w:val="1"/>
                <w:szCs w:val="1"/>
                <w:color w:val="auto"/>
              </w:rPr>
            </w:pPr>
          </w:p>
        </w:tc>
      </w:tr>
      <w:tr>
        <w:trPr>
          <w:trHeight w:val="149"/>
        </w:trPr>
        <w:tc>
          <w:tcPr>
            <w:tcW w:w="44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w w:val="99"/>
              </w:rPr>
              <w:t>Total Investments in Non-Controlled, Non-Affiliated Portfolio Companies</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394,561,175</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388,535,383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Investments in Controlled, Affiliated Portfolio Companies—0.7%</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First Lien Secured Debt—0.7%</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4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GMC Television Broadcasting Holdings, LLC </w:t>
            </w:r>
            <w:r>
              <w:rPr>
                <w:rFonts w:ascii="Arial" w:cs="Arial" w:eastAsia="Arial" w:hAnsi="Arial"/>
                <w:sz w:val="10"/>
                <w:szCs w:val="10"/>
                <w:color w:val="auto"/>
              </w:rPr>
              <w:t>(8), (12)</w:t>
            </w:r>
          </w:p>
        </w:tc>
        <w:tc>
          <w:tcPr>
            <w:tcW w:w="8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w w:val="92"/>
              </w:rPr>
              <w:t>12/30/2016</w:t>
            </w:r>
          </w:p>
        </w:tc>
        <w:tc>
          <w:tcPr>
            <w:tcW w:w="172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87"/>
              </w:rPr>
              <w:t>Media: Broadcasting and</w:t>
            </w:r>
          </w:p>
        </w:tc>
        <w:tc>
          <w:tcPr>
            <w:tcW w:w="920" w:type="dxa"/>
            <w:vAlign w:val="bottom"/>
            <w:gridSpan w:val="2"/>
            <w:shd w:val="clear" w:color="auto" w:fill="CCEEFF"/>
          </w:tcPr>
          <w:p>
            <w:pPr>
              <w:jc w:val="right"/>
              <w:ind w:right="142"/>
              <w:spacing w:after="0" w:line="121" w:lineRule="exact"/>
              <w:rPr>
                <w:sz w:val="20"/>
                <w:szCs w:val="20"/>
                <w:color w:val="auto"/>
              </w:rPr>
            </w:pPr>
            <w:r>
              <w:rPr>
                <w:rFonts w:ascii="Arial" w:cs="Arial" w:eastAsia="Arial" w:hAnsi="Arial"/>
                <w:sz w:val="13"/>
                <w:szCs w:val="13"/>
                <w:color w:val="auto"/>
              </w:rPr>
              <w:t>4.33%</w:t>
            </w:r>
          </w:p>
        </w:tc>
        <w:tc>
          <w:tcPr>
            <w:tcW w:w="8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L+400</w:t>
            </w:r>
            <w:r>
              <w:rPr>
                <w:rFonts w:ascii="Arial" w:cs="Arial" w:eastAsia="Arial" w:hAnsi="Arial"/>
                <w:sz w:val="10"/>
                <w:szCs w:val="10"/>
                <w:color w:val="auto"/>
              </w:rPr>
              <w:t>(9)</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3,702,009</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2,777,132</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2,776,507</w:t>
            </w:r>
          </w:p>
        </w:tc>
        <w:tc>
          <w:tcPr>
            <w:tcW w:w="0" w:type="dxa"/>
            <w:vAlign w:val="bottom"/>
          </w:tcPr>
          <w:p>
            <w:pPr>
              <w:spacing w:after="0"/>
              <w:rPr>
                <w:sz w:val="1"/>
                <w:szCs w:val="1"/>
                <w:color w:val="auto"/>
              </w:rPr>
            </w:pPr>
          </w:p>
        </w:tc>
      </w:tr>
      <w:tr>
        <w:trPr>
          <w:trHeight w:val="149"/>
        </w:trPr>
        <w:tc>
          <w:tcPr>
            <w:tcW w:w="4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Subscription</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Investments—104.9%</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397,338,307</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391,311,890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Equivalents—5.8%</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60" w:type="dxa"/>
            <w:vAlign w:val="bottom"/>
            <w:gridSpan w:val="2"/>
          </w:tcPr>
          <w:p>
            <w:pPr>
              <w:spacing w:after="0" w:line="135" w:lineRule="exact"/>
              <w:rPr>
                <w:sz w:val="20"/>
                <w:szCs w:val="20"/>
                <w:color w:val="auto"/>
              </w:rPr>
            </w:pPr>
            <w:r>
              <w:rPr>
                <w:rFonts w:ascii="Arial" w:cs="Arial" w:eastAsia="Arial" w:hAnsi="Arial"/>
                <w:sz w:val="13"/>
                <w:szCs w:val="13"/>
                <w:color w:val="auto"/>
              </w:rPr>
              <w:t>BlackRock Liquidity Funds, Temp Cash and Temp Fund, Institutional Shares</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5"/>
              </w:rPr>
              <w:t>21,428,514</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5"/>
              </w:rPr>
              <w:t>21,428,514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Equivalents—110.7%</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85"/>
              </w:rPr>
              <w:t>418,766,821</w:t>
            </w:r>
          </w:p>
        </w:tc>
        <w:tc>
          <w:tcPr>
            <w:tcW w:w="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412,740,404</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Assets—(10.7)%</w:t>
            </w: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6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w w:val="84"/>
              </w:rPr>
              <w:t>(39,849,955)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372,890,449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79"/>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ind w:right="-79"/>
        <w:spacing w:after="0"/>
        <w:rPr>
          <w:sz w:val="20"/>
          <w:szCs w:val="20"/>
          <w:color w:val="auto"/>
        </w:rPr>
      </w:pPr>
      <w:r>
        <w:rPr>
          <w:rFonts w:ascii="Arial" w:cs="Arial" w:eastAsia="Arial" w:hAnsi="Arial"/>
          <w:sz w:val="14"/>
          <w:szCs w:val="14"/>
          <w:b w:val="1"/>
          <w:b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8516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98" w:lineRule="exact"/>
        <w:rPr>
          <w:sz w:val="20"/>
          <w:szCs w:val="20"/>
          <w:color w:val="auto"/>
        </w:rPr>
      </w:pPr>
    </w:p>
    <w:p>
      <w:pPr>
        <w:ind w:left="460" w:right="80" w:hanging="452"/>
        <w:spacing w:after="0" w:line="224"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payment-in-kind, or PIK, interest and other fee rates, if any.</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460" w:right="300" w:hanging="452"/>
        <w:spacing w:after="0" w:line="234" w:lineRule="auto"/>
        <w:tabs>
          <w:tab w:leader="none" w:pos="4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460" w:hanging="452"/>
        <w:spacing w:after="0" w:line="234" w:lineRule="auto"/>
        <w:tabs>
          <w:tab w:leader="none" w:pos="4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460" w:hanging="452"/>
        <w:spacing w:after="0"/>
        <w:tabs>
          <w:tab w:leader="none" w:pos="460" w:val="left"/>
        </w:tabs>
        <w:numPr>
          <w:ilvl w:val="0"/>
          <w:numId w:val="4"/>
        </w:numPr>
        <w:rPr>
          <w:rFonts w:ascii="Arial" w:cs="Arial" w:eastAsia="Arial" w:hAnsi="Arial"/>
          <w:sz w:val="10"/>
          <w:szCs w:val="10"/>
          <w:color w:val="auto"/>
        </w:rPr>
      </w:pPr>
      <w:r>
        <w:rPr>
          <w:rFonts w:ascii="Arial" w:cs="Arial" w:eastAsia="Arial" w:hAnsi="Arial"/>
          <w:sz w:val="10"/>
          <w:szCs w:val="10"/>
          <w:color w:val="auto"/>
        </w:rPr>
        <w:t>Security is exempt from registration under Rule 144A promulgated under the Securities Act. The security may be resold in transactions that are exempt from registration, normally to qualified institutional buyers.</w:t>
      </w:r>
    </w:p>
    <w:p>
      <w:pPr>
        <w:spacing w:after="0" w:line="20" w:lineRule="exact"/>
        <w:rPr>
          <w:rFonts w:ascii="Arial" w:cs="Arial" w:eastAsia="Arial" w:hAnsi="Arial"/>
          <w:sz w:val="10"/>
          <w:szCs w:val="10"/>
          <w:color w:val="auto"/>
        </w:rPr>
      </w:pP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 and held through Funding I.</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ind w:left="460" w:right="3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or a revolving line of credit that is currently an unfunded investment. This security does not earn a basis point spread above an index while it is unfunded.</w:t>
      </w:r>
    </w:p>
    <w:p>
      <w:pPr>
        <w:ind w:left="460" w:right="220" w:hanging="452"/>
        <w:spacing w:after="0" w:line="223"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ind w:left="460" w:hanging="452"/>
        <w:spacing w:after="0"/>
        <w:tabs>
          <w:tab w:leader="none" w:pos="46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Became a controlled affiliate during the quarter ended September 30, 2015.</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160"/>
          </w:cols>
          <w:pgMar w:left="32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00" w:lineRule="exact"/>
        <w:rPr>
          <w:sz w:val="20"/>
          <w:szCs w:val="20"/>
          <w:color w:val="auto"/>
        </w:rPr>
      </w:pPr>
    </w:p>
    <w:p>
      <w:pPr>
        <w:ind w:right="160" w:firstLine="562"/>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66" w:lineRule="exact"/>
        <w:rPr>
          <w:sz w:val="20"/>
          <w:szCs w:val="20"/>
          <w:color w:val="auto"/>
        </w:rPr>
      </w:pPr>
    </w:p>
    <w:p>
      <w:pPr>
        <w:ind w:right="40" w:firstLine="562"/>
        <w:spacing w:after="0" w:line="228" w:lineRule="auto"/>
        <w:rPr>
          <w:sz w:val="20"/>
          <w:szCs w:val="20"/>
          <w:color w:val="auto"/>
        </w:rPr>
      </w:pPr>
      <w:r>
        <w:rPr>
          <w:rFonts w:ascii="Arial" w:cs="Arial" w:eastAsia="Arial" w:hAnsi="Arial"/>
          <w:sz w:val="14"/>
          <w:szCs w:val="14"/>
          <w:color w:val="auto"/>
        </w:rPr>
        <w:t>Our investment objectives are to generate current income and capital appreciation. We seek to achieve our investment objective by investing primarily in loans bearing a variable-rate of interest, or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debt,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77" w:lineRule="exact"/>
        <w:rPr>
          <w:sz w:val="20"/>
          <w:szCs w:val="20"/>
          <w:color w:val="auto"/>
        </w:rPr>
      </w:pPr>
    </w:p>
    <w:p>
      <w:pPr>
        <w:ind w:right="220" w:firstLine="562"/>
        <w:spacing w:after="0" w:line="290" w:lineRule="auto"/>
        <w:rPr>
          <w:sz w:val="20"/>
          <w:szCs w:val="20"/>
          <w:color w:val="auto"/>
        </w:rPr>
      </w:pPr>
      <w:r>
        <w:rPr>
          <w:rFonts w:ascii="Arial" w:cs="Arial" w:eastAsia="Arial" w:hAnsi="Arial"/>
          <w:sz w:val="13"/>
          <w:szCs w:val="13"/>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44"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 The Credit Facility allows Funding I to borrow up to $350 million at LIBOR plus 200 basis points during the revolving period. The Credit Facility is secured by all of the assets held by Funding I. See Note 10.</w:t>
      </w:r>
    </w:p>
    <w:p>
      <w:pPr>
        <w:spacing w:after="0" w:line="6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On August 18, 2015, we completed the acquisition of MCG Capital Corporation, or MCG, pursuant to the Agreement and Plan of Merger, or the Merger Agreement, dated as of</w:t>
      </w:r>
    </w:p>
    <w:p>
      <w:pPr>
        <w:ind w:right="20"/>
        <w:spacing w:after="0" w:line="237" w:lineRule="auto"/>
        <w:rPr>
          <w:sz w:val="20"/>
          <w:szCs w:val="20"/>
          <w:color w:val="auto"/>
        </w:rPr>
      </w:pPr>
      <w:r>
        <w:rPr>
          <w:rFonts w:ascii="Arial" w:cs="Arial" w:eastAsia="Arial" w:hAnsi="Arial"/>
          <w:sz w:val="14"/>
          <w:szCs w:val="14"/>
          <w:color w:val="auto"/>
        </w:rPr>
        <w:t>April 28, 2015, by and among MCG, our Investment Adviser and the Company. As a result of the transactions contemplated by the Merger Agreement, MCG was ultimately merged with and into PFLT Funding II, LLC with PFLT Funding II, LLC as the surviving company.</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00"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The preparation of our consolidated financial statements, or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71"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71" w:lineRule="exact"/>
        <w:rPr>
          <w:sz w:val="20"/>
          <w:szCs w:val="20"/>
          <w:color w:val="auto"/>
        </w:rPr>
      </w:pPr>
    </w:p>
    <w:p>
      <w:pPr>
        <w:ind w:right="240" w:firstLine="562"/>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780" w:right="160" w:hanging="327"/>
        <w:spacing w:after="0" w:line="25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780" w:hanging="327"/>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780" w:right="220" w:hanging="327"/>
        <w:spacing w:after="0" w:line="264" w:lineRule="auto"/>
        <w:tabs>
          <w:tab w:leader="none" w:pos="7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780" w:right="80" w:hanging="327"/>
        <w:spacing w:after="0" w:line="238"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780" w:right="200" w:hanging="327"/>
        <w:spacing w:after="0" w:line="253"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66" w:lineRule="exact"/>
        <w:rPr>
          <w:sz w:val="20"/>
          <w:szCs w:val="20"/>
          <w:color w:val="auto"/>
        </w:rPr>
      </w:pPr>
    </w:p>
    <w:p>
      <w:pPr>
        <w:jc w:val="both"/>
        <w:ind w:right="240" w:firstLine="562"/>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96"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77" w:lineRule="exact"/>
        <w:rPr>
          <w:sz w:val="20"/>
          <w:szCs w:val="20"/>
          <w:color w:val="auto"/>
        </w:rPr>
      </w:pPr>
    </w:p>
    <w:p>
      <w:pPr>
        <w:ind w:right="120"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ind w:right="200" w:firstLine="562"/>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 Income Taxes</w:t>
      </w:r>
    </w:p>
    <w:p>
      <w:pPr>
        <w:spacing w:after="0" w:line="96"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We have complied with the requirements of Subchapter M of the Code and expect to be subject to taxation as a RIC.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subject to taxation as a RIC, we typically do not incur any material level of federal income taxes. Although we are not subject to federal income taxes as a RIC, we may elect to retain a portion of our calendar year income. For both the three and six months ended March 31, 2016, we did not accrue for excise taxes. For the three and six months ended March 31, 2015, we accrued estimated excise taxes of $0.1 million and $0.2 million, respectively.</w:t>
      </w:r>
    </w:p>
    <w:p>
      <w:pPr>
        <w:spacing w:after="0" w:line="77"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14"/>
          <w:szCs w:val="14"/>
          <w:color w:val="auto"/>
        </w:rPr>
        <w:t>We recognize the effect of a tax position in our Consolidated Financial Statements when it is more likely than not, based on the technical merits, that the position will be sustained upon examination by the applicable tax authority. We did not have any uncertain tax positions or any unrecognized tax benefits that met the recognition or measurement criteria of ASC 740-10-25 as of the periods presented herein.</w:t>
      </w:r>
    </w:p>
    <w:p>
      <w:pPr>
        <w:spacing w:after="0" w:line="75"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net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9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75" w:lineRule="exact"/>
        <w:rPr>
          <w:sz w:val="20"/>
          <w:szCs w:val="20"/>
          <w:color w:val="auto"/>
        </w:rPr>
      </w:pPr>
    </w:p>
    <w:p>
      <w:pPr>
        <w:ind w:right="540" w:firstLine="562"/>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 Foreign Currency Translation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09" w:lineRule="exact"/>
        <w:rPr>
          <w:sz w:val="20"/>
          <w:szCs w:val="20"/>
          <w:color w:val="auto"/>
        </w:rPr>
      </w:pPr>
    </w:p>
    <w:p>
      <w:pPr>
        <w:ind w:left="1120" w:hanging="329"/>
        <w:spacing w:after="0"/>
        <w:tabs>
          <w:tab w:leader="none" w:pos="1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20" w:firstLine="337"/>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20"/>
          </w:cols>
          <w:pgMar w:left="32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96"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our subsidiaries in our Consolidated Financial Statements.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(g) Asset Transfers and Servicing</w:t>
      </w:r>
    </w:p>
    <w:p>
      <w:pPr>
        <w:spacing w:after="0" w:line="96" w:lineRule="exact"/>
        <w:rPr>
          <w:sz w:val="20"/>
          <w:szCs w:val="20"/>
          <w:color w:val="auto"/>
        </w:rPr>
      </w:pPr>
    </w:p>
    <w:p>
      <w:pPr>
        <w:jc w:val="both"/>
        <w:ind w:right="200" w:firstLine="562"/>
        <w:spacing w:after="0" w:line="238" w:lineRule="auto"/>
        <w:rPr>
          <w:sz w:val="20"/>
          <w:szCs w:val="20"/>
          <w:color w:val="auto"/>
        </w:rPr>
      </w:pPr>
      <w:r>
        <w:rPr>
          <w:rFonts w:ascii="Arial" w:cs="Arial" w:eastAsia="Arial" w:hAnsi="Arial"/>
          <w:sz w:val="14"/>
          <w:szCs w:val="14"/>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of its assets and such assets are not intended to be available to the creditors of PennantPark Floating Rate Capital Ltd. or any of its affiliates.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00" w:lineRule="exact"/>
        <w:rPr>
          <w:sz w:val="20"/>
          <w:szCs w:val="20"/>
          <w:color w:val="auto"/>
        </w:rPr>
      </w:pPr>
    </w:p>
    <w:p>
      <w:pPr>
        <w:ind w:right="60" w:firstLine="562"/>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2016.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69" w:lineRule="exact"/>
        <w:rPr>
          <w:sz w:val="20"/>
          <w:szCs w:val="20"/>
          <w:color w:val="auto"/>
        </w:rPr>
      </w:pPr>
    </w:p>
    <w:p>
      <w:pPr>
        <w:ind w:right="60" w:firstLine="562"/>
        <w:spacing w:after="0" w:line="245" w:lineRule="auto"/>
        <w:rPr>
          <w:sz w:val="20"/>
          <w:szCs w:val="20"/>
          <w:color w:val="auto"/>
        </w:rPr>
      </w:pPr>
      <w:r>
        <w:rPr>
          <w:rFonts w:ascii="Arial" w:cs="Arial" w:eastAsia="Arial" w:hAnsi="Arial"/>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six months ended March 31, 2016, the Investment Adviser earned base management fees of $1.2 million and $2.3 million, respectively, from us. For the three and six months ended March 31, 2015, the Investment Adviser earned base management fees of $0.9 million and $1.7 million, respectively, from us.</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incentive fee has two parts, as follows:</w:t>
      </w:r>
    </w:p>
    <w:p>
      <w:pPr>
        <w:spacing w:after="0" w:line="96" w:lineRule="exact"/>
        <w:rPr>
          <w:sz w:val="20"/>
          <w:szCs w:val="20"/>
          <w:color w:val="auto"/>
        </w:rPr>
      </w:pPr>
    </w:p>
    <w:p>
      <w:pPr>
        <w:ind w:firstLine="562"/>
        <w:spacing w:after="0" w:line="239"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w:t>
      </w:r>
    </w:p>
    <w:p>
      <w:pPr>
        <w:spacing w:after="0" w:line="7" w:lineRule="exact"/>
        <w:rPr>
          <w:sz w:val="20"/>
          <w:szCs w:val="20"/>
          <w:color w:val="auto"/>
        </w:rPr>
      </w:pPr>
    </w:p>
    <w:p>
      <w:pPr>
        <w:jc w:val="both"/>
        <w:ind w:right="120"/>
        <w:spacing w:after="0" w:line="229" w:lineRule="auto"/>
        <w:rPr>
          <w:sz w:val="20"/>
          <w:szCs w:val="20"/>
          <w:color w:val="auto"/>
        </w:rPr>
      </w:pPr>
      <w:r>
        <w:rPr>
          <w:rFonts w:ascii="Arial" w:cs="Arial" w:eastAsia="Arial" w:hAnsi="Arial"/>
          <w:sz w:val="14"/>
          <w:szCs w:val="14"/>
          <w:color w:val="auto"/>
        </w:rPr>
        <w:t>2.9167% in any calendar quarter. These calculations are pro-rated for any share issuances or repurchases during the relevant quarter, if applicable. For the three and six months ended March 31, 2016, the Investment Adviser earned an incentive fee on net investment income as calculated under the Investment Management Agreement of $0.8 million and $0.8 million, respectively, from us. For the three and six months ended March 31, 2015, the Investment Adviser earned an incentive fee on net investment income as calculated under the Investment Management Agreement of $1.0 million and $1.7 million, respectively, from us.</w:t>
      </w:r>
    </w:p>
    <w:p>
      <w:pPr>
        <w:spacing w:after="0" w:line="76" w:lineRule="exact"/>
        <w:rPr>
          <w:sz w:val="20"/>
          <w:szCs w:val="20"/>
          <w:color w:val="auto"/>
        </w:rPr>
      </w:pPr>
    </w:p>
    <w:p>
      <w:pPr>
        <w:ind w:firstLine="562"/>
        <w:spacing w:after="0" w:line="277"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and six months ended March 31, 2016, the Investment Adviser did not earn an incentive fee on capital gains, as calculated under the Investment Management Agreement. For the three and six months ended March 31, 2015, the Investment Adviser earned an incentive fee on capital gains of approximately zero and $(0.4) million, respectively, as calculated under the Investment Management Agreement (as described above).</w:t>
      </w:r>
    </w:p>
    <w:p>
      <w:pPr>
        <w:spacing w:after="0" w:line="54"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each of the three and six months ended March 31, 2016, the Investment Adviser did not accrue an incentive fee on our unrealized and realized capital gains as calculated under GAAP.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32" w:lineRule="exact"/>
        <w:rPr>
          <w:sz w:val="20"/>
          <w:szCs w:val="20"/>
          <w:color w:val="auto"/>
        </w:rPr>
      </w:pPr>
    </w:p>
    <w:p>
      <w:pPr>
        <w:ind w:right="160"/>
        <w:spacing w:after="0" w:line="253" w:lineRule="auto"/>
        <w:rPr>
          <w:sz w:val="20"/>
          <w:szCs w:val="20"/>
          <w:color w:val="auto"/>
        </w:rPr>
      </w:pPr>
      <w:r>
        <w:rPr>
          <w:rFonts w:ascii="Arial" w:cs="Arial" w:eastAsia="Arial" w:hAnsi="Arial"/>
          <w:sz w:val="14"/>
          <w:szCs w:val="14"/>
          <w:color w:val="auto"/>
        </w:rPr>
        <w:t>For the three and six months ended March 31, 2015, the Investment Adviser accrued an incentive fee on our unrealized and realized capital gains as calculated under GAAP of $0.3 million and $(0.3) million, respectively.</w:t>
      </w:r>
    </w:p>
    <w:p>
      <w:pPr>
        <w:spacing w:after="0" w:line="66" w:lineRule="exact"/>
        <w:rPr>
          <w:sz w:val="20"/>
          <w:szCs w:val="20"/>
          <w:color w:val="auto"/>
        </w:rPr>
      </w:pPr>
    </w:p>
    <w:p>
      <w:pPr>
        <w:ind w:firstLine="562"/>
        <w:spacing w:after="0" w:line="226" w:lineRule="auto"/>
        <w:rPr>
          <w:sz w:val="20"/>
          <w:szCs w:val="20"/>
          <w:color w:val="auto"/>
        </w:rPr>
      </w:pPr>
      <w:r>
        <w:rPr>
          <w:rFonts w:ascii="Arial" w:cs="Arial" w:eastAsia="Arial" w:hAnsi="Arial"/>
          <w:sz w:val="14"/>
          <w:szCs w:val="14"/>
          <w:color w:val="auto"/>
        </w:rPr>
        <w:t>The Administration Agreement with the Administrator was reapproved by our board of directors, including a majority of the directors who are not interested persons of us, in February 2016. Under the Administration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Statements of Operations. For the three and six months ended March 31, 2016, the Investment Adviser was reimbursed approximately $0.3 million and $0.5 million, respectively, from us, including expenses the Investment Adviser incurred on behalf of the Administrator, for services described above. For the three and six months ended March 31, 2015, the Investment Adviser was reimbursed approximately $0.3 million and $0.4 million, respectively, from us, including expenses the Investment Adviser incurred on behalf of the Administrator, for services described above.</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00"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Purchases of investments, including PIK interest, for the three and six months ended March 31, 2016 totaled $57.3 million and $156.5 million, respectively. For the same periods in the prior year, purchases of investments, including PIK interest, totaled $38.5 million and $85.7 million, respectively. Sales and repayments of investments for the three and six months ended March 31, 2016 totaled $29.9 million and $56.8 million, respectively. For the same periods in the prior year, sales and repayments of investments totaled $48.0 million and $92.9 million, respectively.</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2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280" w:type="dxa"/>
            <w:vAlign w:val="bottom"/>
          </w:tcPr>
          <w:p>
            <w:pPr>
              <w:spacing w:after="0"/>
              <w:rPr>
                <w:sz w:val="14"/>
                <w:szCs w:val="14"/>
                <w:color w:val="auto"/>
              </w:rPr>
            </w:pPr>
          </w:p>
        </w:tc>
        <w:tc>
          <w:tcPr>
            <w:tcW w:w="2540" w:type="dxa"/>
            <w:vAlign w:val="bottom"/>
            <w:gridSpan w:val="6"/>
          </w:tcPr>
          <w:p>
            <w:pPr>
              <w:ind w:left="580"/>
              <w:spacing w:after="0"/>
              <w:rPr>
                <w:sz w:val="20"/>
                <w:szCs w:val="20"/>
                <w:color w:val="auto"/>
              </w:rPr>
            </w:pPr>
            <w:r>
              <w:rPr>
                <w:rFonts w:ascii="Arial" w:cs="Arial" w:eastAsia="Arial" w:hAnsi="Arial"/>
                <w:sz w:val="14"/>
                <w:szCs w:val="14"/>
                <w:b w:val="1"/>
                <w:bCs w:val="1"/>
                <w:color w:val="auto"/>
              </w:rPr>
              <w:t>March 31, 2016</w:t>
            </w:r>
          </w:p>
        </w:tc>
        <w:tc>
          <w:tcPr>
            <w:tcW w:w="300" w:type="dxa"/>
            <w:vAlign w:val="bottom"/>
          </w:tcPr>
          <w:p>
            <w:pPr>
              <w:spacing w:after="0"/>
              <w:rPr>
                <w:sz w:val="14"/>
                <w:szCs w:val="14"/>
                <w:color w:val="auto"/>
              </w:rPr>
            </w:pPr>
          </w:p>
        </w:tc>
        <w:tc>
          <w:tcPr>
            <w:tcW w:w="2480" w:type="dxa"/>
            <w:vAlign w:val="bottom"/>
            <w:gridSpan w:val="6"/>
          </w:tcPr>
          <w:p>
            <w:pPr>
              <w:ind w:left="46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142"/>
        </w:trPr>
        <w:tc>
          <w:tcPr>
            <w:tcW w:w="3820" w:type="dxa"/>
            <w:vAlign w:val="bottom"/>
            <w:gridSpan w:val="3"/>
            <w:vMerge w:val="continue"/>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Cost</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Cost</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22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435,910,445</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426,008,057</w:t>
            </w:r>
          </w:p>
        </w:tc>
        <w:tc>
          <w:tcPr>
            <w:tcW w:w="1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338,567,205</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334,957,341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2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50,324,849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48,051,586</w:t>
            </w:r>
          </w:p>
        </w:tc>
        <w:tc>
          <w:tcPr>
            <w:tcW w:w="30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47,630,500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47,902,800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3,126,367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2,947,201</w:t>
            </w: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8,634,195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5,602,244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Preferred equity / common equity / warrants</w:t>
            </w:r>
          </w:p>
        </w:tc>
        <w:tc>
          <w:tcPr>
            <w:tcW w:w="2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6,202,154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6,272,950</w:t>
            </w:r>
          </w:p>
        </w:tc>
        <w:tc>
          <w:tcPr>
            <w:tcW w:w="30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2,506,407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2,849,505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495,563,815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483,279,794</w:t>
            </w: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397,338,307</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391,311,890</w:t>
            </w:r>
          </w:p>
        </w:tc>
        <w:tc>
          <w:tcPr>
            <w:tcW w:w="0" w:type="dxa"/>
            <w:vAlign w:val="bottom"/>
          </w:tcPr>
          <w:p>
            <w:pPr>
              <w:spacing w:after="0"/>
              <w:rPr>
                <w:sz w:val="1"/>
                <w:szCs w:val="1"/>
                <w:color w:val="auto"/>
              </w:rPr>
            </w:pPr>
          </w:p>
        </w:tc>
      </w:tr>
      <w:tr>
        <w:trPr>
          <w:trHeight w:val="163"/>
        </w:trPr>
        <w:tc>
          <w:tcPr>
            <w:tcW w:w="3820" w:type="dxa"/>
            <w:vAlign w:val="bottom"/>
            <w:gridSpan w:val="3"/>
          </w:tcPr>
          <w:p>
            <w:pPr>
              <w:spacing w:after="0" w:line="155" w:lineRule="exact"/>
              <w:rPr>
                <w:sz w:val="20"/>
                <w:szCs w:val="20"/>
                <w:color w:val="auto"/>
              </w:rPr>
            </w:pPr>
            <w:r>
              <w:rPr>
                <w:rFonts w:ascii="Arial" w:cs="Arial" w:eastAsia="Arial" w:hAnsi="Arial"/>
                <w:sz w:val="14"/>
                <w:szCs w:val="14"/>
                <w:color w:val="auto"/>
              </w:rPr>
              <w:t>Cash and cash equivalents</w:t>
            </w: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13,407,108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13,445,729</w:t>
            </w:r>
          </w:p>
        </w:tc>
        <w:tc>
          <w:tcPr>
            <w:tcW w:w="1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21,428,514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21,428,514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508,970,923</w:t>
            </w:r>
          </w:p>
        </w:tc>
        <w:tc>
          <w:tcPr>
            <w:tcW w:w="2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496,725,523</w:t>
            </w:r>
          </w:p>
        </w:tc>
        <w:tc>
          <w:tcPr>
            <w:tcW w:w="3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418,766,821</w:t>
            </w:r>
          </w:p>
        </w:tc>
        <w:tc>
          <w:tcPr>
            <w:tcW w:w="2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412,740,404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table below describes investments by industry classification and enumerates the percentage, by fair value, of the total portfolio assets (excluding cash equivalents) in such industries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of:</w:t>
      </w:r>
    </w:p>
    <w:p>
      <w:pPr>
        <w:spacing w:after="0" w:line="215" w:lineRule="exact"/>
        <w:rPr>
          <w:sz w:val="20"/>
          <w:szCs w:val="20"/>
          <w:color w:val="auto"/>
        </w:rPr>
      </w:pPr>
    </w:p>
    <w:tbl>
      <w:tblPr>
        <w:tblLayout w:type="fixed"/>
        <w:tblInd w:w="1820" w:type="dxa"/>
        <w:tblCellMar>
          <w:top w:w="0" w:type="dxa"/>
          <w:left w:w="0" w:type="dxa"/>
          <w:bottom w:w="0" w:type="dxa"/>
          <w:right w:w="0" w:type="dxa"/>
        </w:tblCellMar>
      </w:tblPr>
      <w:tr>
        <w:trPr>
          <w:trHeight w:val="185"/>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Industry Classification</w:t>
            </w:r>
          </w:p>
        </w:tc>
        <w:tc>
          <w:tcPr>
            <w:tcW w:w="1060" w:type="dxa"/>
            <w:vAlign w:val="bottom"/>
          </w:tcPr>
          <w:p>
            <w:pPr>
              <w:spacing w:after="0"/>
              <w:rPr>
                <w:sz w:val="16"/>
                <w:szCs w:val="16"/>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2016</w:t>
            </w:r>
          </w:p>
        </w:tc>
        <w:tc>
          <w:tcPr>
            <w:tcW w:w="17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1760" w:type="dxa"/>
            <w:vAlign w:val="bottom"/>
            <w:vMerge w:val="restart"/>
            <w:shd w:val="clear" w:color="auto" w:fill="CCEEFF"/>
          </w:tcPr>
          <w:p>
            <w:pPr>
              <w:spacing w:after="0" w:line="20" w:lineRule="exact"/>
              <w:rPr>
                <w:sz w:val="1"/>
                <w:szCs w:val="1"/>
                <w:color w:val="auto"/>
              </w:rPr>
            </w:pPr>
          </w:p>
        </w:tc>
        <w:tc>
          <w:tcPr>
            <w:tcW w:w="106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High Tech Industries</w:t>
            </w:r>
          </w:p>
        </w:tc>
        <w:tc>
          <w:tcPr>
            <w:tcW w:w="1760" w:type="dxa"/>
            <w:vAlign w:val="bottom"/>
            <w:vMerge w:val="continue"/>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164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rPr>
              <w:t>10%</w:t>
            </w:r>
          </w:p>
        </w:tc>
        <w:tc>
          <w:tcPr>
            <w:tcW w:w="420" w:type="dxa"/>
            <w:vAlign w:val="bottom"/>
            <w:vMerge w:val="continue"/>
            <w:shd w:val="clear" w:color="auto" w:fill="CCEEFF"/>
          </w:tcPr>
          <w:p>
            <w:pPr>
              <w:spacing w:after="0"/>
              <w:rPr>
                <w:sz w:val="12"/>
                <w:szCs w:val="12"/>
                <w:color w:val="auto"/>
              </w:rPr>
            </w:pPr>
          </w:p>
        </w:tc>
        <w:tc>
          <w:tcPr>
            <w:tcW w:w="13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Healthcare and Pharmaceuticals</w:t>
            </w:r>
          </w:p>
        </w:tc>
        <w:tc>
          <w:tcPr>
            <w:tcW w:w="2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w:t>
            </w:r>
          </w:p>
        </w:tc>
        <w:tc>
          <w:tcPr>
            <w:tcW w:w="520" w:type="dxa"/>
            <w:vAlign w:val="bottom"/>
          </w:tcPr>
          <w:p>
            <w:pPr>
              <w:spacing w:after="0"/>
              <w:rPr>
                <w:sz w:val="12"/>
                <w:szCs w:val="12"/>
                <w:color w:val="auto"/>
              </w:rPr>
            </w:pPr>
          </w:p>
        </w:tc>
        <w:tc>
          <w:tcPr>
            <w:tcW w:w="1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2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5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Construction and Building</w:t>
            </w:r>
          </w:p>
        </w:tc>
        <w:tc>
          <w:tcPr>
            <w:tcW w:w="2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w:t>
            </w:r>
          </w:p>
        </w:tc>
        <w:tc>
          <w:tcPr>
            <w:tcW w:w="520" w:type="dxa"/>
            <w:vAlign w:val="bottom"/>
          </w:tcPr>
          <w:p>
            <w:pPr>
              <w:spacing w:after="0"/>
              <w:rPr>
                <w:sz w:val="12"/>
                <w:szCs w:val="12"/>
                <w:color w:val="auto"/>
              </w:rPr>
            </w:pPr>
          </w:p>
        </w:tc>
        <w:tc>
          <w:tcPr>
            <w:tcW w:w="1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Goods: Durable</w:t>
            </w:r>
          </w:p>
        </w:tc>
        <w:tc>
          <w:tcPr>
            <w:tcW w:w="2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5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Consumer Goods: Non-Durable</w:t>
            </w:r>
          </w:p>
        </w:tc>
        <w:tc>
          <w:tcPr>
            <w:tcW w:w="2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w:t>
            </w:r>
          </w:p>
        </w:tc>
        <w:tc>
          <w:tcPr>
            <w:tcW w:w="520" w:type="dxa"/>
            <w:vAlign w:val="bottom"/>
          </w:tcPr>
          <w:p>
            <w:pPr>
              <w:spacing w:after="0"/>
              <w:rPr>
                <w:sz w:val="12"/>
                <w:szCs w:val="12"/>
                <w:color w:val="auto"/>
              </w:rPr>
            </w:pPr>
          </w:p>
        </w:tc>
        <w:tc>
          <w:tcPr>
            <w:tcW w:w="1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Hotel, Gaming and Leisure</w:t>
            </w:r>
          </w:p>
        </w:tc>
        <w:tc>
          <w:tcPr>
            <w:tcW w:w="2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5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Retail</w:t>
            </w:r>
          </w:p>
        </w:tc>
        <w:tc>
          <w:tcPr>
            <w:tcW w:w="2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520" w:type="dxa"/>
            <w:vAlign w:val="bottom"/>
          </w:tcPr>
          <w:p>
            <w:pPr>
              <w:spacing w:after="0"/>
              <w:rPr>
                <w:sz w:val="12"/>
                <w:szCs w:val="12"/>
                <w:color w:val="auto"/>
              </w:rPr>
            </w:pPr>
          </w:p>
        </w:tc>
        <w:tc>
          <w:tcPr>
            <w:tcW w:w="1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Aerospace and Defense</w:t>
            </w:r>
          </w:p>
        </w:tc>
        <w:tc>
          <w:tcPr>
            <w:tcW w:w="2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5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Consumer Services</w:t>
            </w:r>
          </w:p>
        </w:tc>
        <w:tc>
          <w:tcPr>
            <w:tcW w:w="2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520" w:type="dxa"/>
            <w:vAlign w:val="bottom"/>
          </w:tcPr>
          <w:p>
            <w:pPr>
              <w:spacing w:after="0"/>
              <w:rPr>
                <w:sz w:val="12"/>
                <w:szCs w:val="12"/>
                <w:color w:val="auto"/>
              </w:rPr>
            </w:pPr>
          </w:p>
        </w:tc>
        <w:tc>
          <w:tcPr>
            <w:tcW w:w="1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Wholesale</w:t>
            </w:r>
          </w:p>
        </w:tc>
        <w:tc>
          <w:tcPr>
            <w:tcW w:w="2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5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2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520" w:type="dxa"/>
            <w:vAlign w:val="bottom"/>
          </w:tcPr>
          <w:p>
            <w:pPr>
              <w:spacing w:after="0"/>
              <w:rPr>
                <w:sz w:val="12"/>
                <w:szCs w:val="12"/>
                <w:color w:val="auto"/>
              </w:rPr>
            </w:pPr>
          </w:p>
        </w:tc>
        <w:tc>
          <w:tcPr>
            <w:tcW w:w="1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2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5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Media: Diversified and Production</w:t>
            </w:r>
          </w:p>
        </w:tc>
        <w:tc>
          <w:tcPr>
            <w:tcW w:w="2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520" w:type="dxa"/>
            <w:vAlign w:val="bottom"/>
          </w:tcPr>
          <w:p>
            <w:pPr>
              <w:spacing w:after="0"/>
              <w:rPr>
                <w:sz w:val="12"/>
                <w:szCs w:val="12"/>
                <w:color w:val="auto"/>
              </w:rPr>
            </w:pPr>
          </w:p>
        </w:tc>
        <w:tc>
          <w:tcPr>
            <w:tcW w:w="1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Automotive</w:t>
            </w:r>
          </w:p>
        </w:tc>
        <w:tc>
          <w:tcPr>
            <w:tcW w:w="2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5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Banking, Finance, Insurance &amp; Real Estate</w:t>
            </w:r>
          </w:p>
        </w:tc>
        <w:tc>
          <w:tcPr>
            <w:tcW w:w="2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520" w:type="dxa"/>
            <w:vAlign w:val="bottom"/>
          </w:tcPr>
          <w:p>
            <w:pPr>
              <w:spacing w:after="0"/>
              <w:rPr>
                <w:sz w:val="12"/>
                <w:szCs w:val="12"/>
                <w:color w:val="auto"/>
              </w:rPr>
            </w:pPr>
          </w:p>
        </w:tc>
        <w:tc>
          <w:tcPr>
            <w:tcW w:w="1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Capital Equipment</w:t>
            </w:r>
          </w:p>
        </w:tc>
        <w:tc>
          <w:tcPr>
            <w:tcW w:w="2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Environmental Industries</w:t>
            </w:r>
          </w:p>
        </w:tc>
        <w:tc>
          <w:tcPr>
            <w:tcW w:w="2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520" w:type="dxa"/>
            <w:vAlign w:val="bottom"/>
          </w:tcPr>
          <w:p>
            <w:pPr>
              <w:spacing w:after="0"/>
              <w:rPr>
                <w:sz w:val="12"/>
                <w:szCs w:val="12"/>
                <w:color w:val="auto"/>
              </w:rPr>
            </w:pPr>
          </w:p>
        </w:tc>
        <w:tc>
          <w:tcPr>
            <w:tcW w:w="1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106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14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1060" w:type="dxa"/>
            <w:vAlign w:val="bottom"/>
          </w:tcPr>
          <w:p>
            <w:pPr>
              <w:spacing w:after="0"/>
              <w:rPr>
                <w:sz w:val="13"/>
                <w:szCs w:val="13"/>
                <w:color w:val="auto"/>
              </w:rPr>
            </w:pPr>
          </w:p>
        </w:tc>
        <w:tc>
          <w:tcPr>
            <w:tcW w:w="16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100%</w:t>
            </w:r>
          </w:p>
        </w:tc>
        <w:tc>
          <w:tcPr>
            <w:tcW w:w="420" w:type="dxa"/>
            <w:vAlign w:val="bottom"/>
          </w:tcPr>
          <w:p>
            <w:pPr>
              <w:spacing w:after="0"/>
              <w:rPr>
                <w:sz w:val="13"/>
                <w:szCs w:val="13"/>
                <w:color w:val="auto"/>
              </w:rPr>
            </w:pPr>
          </w:p>
        </w:tc>
        <w:tc>
          <w:tcPr>
            <w:tcW w:w="13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vMerge w:val="restart"/>
          </w:tcPr>
          <w:p>
            <w:pPr>
              <w:jc w:val="right"/>
              <w:ind w:right="248"/>
              <w:spacing w:after="0"/>
              <w:rPr>
                <w:sz w:val="20"/>
                <w:szCs w:val="20"/>
                <w:color w:val="auto"/>
              </w:rPr>
            </w:pPr>
            <w:r>
              <w:rPr>
                <w:rFonts w:ascii="Arial" w:cs="Arial" w:eastAsia="Arial" w:hAnsi="Arial"/>
                <w:sz w:val="14"/>
                <w:szCs w:val="14"/>
                <w:color w:val="auto"/>
              </w:rPr>
              <w:t>17</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00"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740"/>
        <w:spacing w:after="0"/>
        <w:tabs>
          <w:tab w:leader="none" w:pos="150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20" w:right="780" w:hanging="782"/>
        <w:spacing w:after="0" w:line="238" w:lineRule="auto"/>
        <w:tabs>
          <w:tab w:leader="none" w:pos="150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520" w:right="760" w:hanging="782"/>
        <w:spacing w:after="0" w:line="253" w:lineRule="auto"/>
        <w:tabs>
          <w:tab w:leader="none" w:pos="150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66" w:lineRule="exact"/>
        <w:rPr>
          <w:sz w:val="20"/>
          <w:szCs w:val="20"/>
          <w:color w:val="auto"/>
        </w:rPr>
      </w:pPr>
    </w:p>
    <w:p>
      <w:pPr>
        <w:jc w:val="both"/>
        <w:ind w:right="240" w:firstLine="562"/>
        <w:spacing w:after="0" w:line="26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60" w:lineRule="exact"/>
        <w:rPr>
          <w:sz w:val="20"/>
          <w:szCs w:val="20"/>
          <w:color w:val="auto"/>
        </w:rPr>
      </w:pPr>
    </w:p>
    <w:p>
      <w:pPr>
        <w:ind w:right="80" w:firstLine="562"/>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7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Our investments are generally structured as Floating Rate Loans, mainly senior secured debt,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76" w:lineRule="exact"/>
        <w:rPr>
          <w:sz w:val="20"/>
          <w:szCs w:val="20"/>
          <w:color w:val="auto"/>
        </w:rPr>
      </w:pPr>
    </w:p>
    <w:p>
      <w:pPr>
        <w:ind w:right="140" w:firstLine="562"/>
        <w:spacing w:after="0" w:line="23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2016 and 2015, our ability to observe valuation inputs resulted in one reclassification of an asset from Level 2 to 1 and one reclassification of an asset from Level 2 to 3, respectively.</w:t>
      </w:r>
    </w:p>
    <w:p>
      <w:pPr>
        <w:spacing w:after="0" w:line="77" w:lineRule="exact"/>
        <w:rPr>
          <w:sz w:val="20"/>
          <w:szCs w:val="20"/>
          <w:color w:val="auto"/>
        </w:rPr>
      </w:pPr>
    </w:p>
    <w:p>
      <w:pPr>
        <w:ind w:right="120" w:firstLine="562"/>
        <w:spacing w:after="0" w:line="238" w:lineRule="auto"/>
        <w:rPr>
          <w:sz w:val="20"/>
          <w:szCs w:val="20"/>
          <w:color w:val="auto"/>
        </w:rPr>
      </w:pPr>
      <w:r>
        <w:rPr>
          <w:rFonts w:ascii="Arial" w:cs="Arial" w:eastAsia="Arial" w:hAnsi="Arial"/>
          <w:sz w:val="14"/>
          <w:szCs w:val="14"/>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75" w:lineRule="exact"/>
        <w:rPr>
          <w:sz w:val="20"/>
          <w:szCs w:val="20"/>
          <w:color w:val="auto"/>
        </w:rPr>
      </w:pPr>
    </w:p>
    <w:p>
      <w:pPr>
        <w:ind w:right="40" w:firstLine="562"/>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typically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67" w:lineRule="exact"/>
        <w:rPr>
          <w:sz w:val="20"/>
          <w:szCs w:val="20"/>
          <w:color w:val="auto"/>
        </w:rPr>
      </w:pPr>
    </w:p>
    <w:p>
      <w:pPr>
        <w:ind w:right="100" w:firstLine="562"/>
        <w:spacing w:after="0" w:line="245" w:lineRule="auto"/>
        <w:rPr>
          <w:sz w:val="20"/>
          <w:szCs w:val="20"/>
          <w:color w:val="auto"/>
        </w:rPr>
      </w:pPr>
      <w:r>
        <w:rPr>
          <w:rFonts w:ascii="Arial" w:cs="Arial" w:eastAsia="Arial" w:hAnsi="Arial"/>
          <w:sz w:val="13"/>
          <w:szCs w:val="13"/>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20"/>
          </w:cols>
          <w:pgMar w:left="32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20" w:type="dxa"/>
            <w:vAlign w:val="bottom"/>
          </w:tcPr>
          <w:p>
            <w:pPr>
              <w:spacing w:after="0"/>
              <w:rPr>
                <w:sz w:val="14"/>
                <w:szCs w:val="14"/>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Fair Value at</w:t>
            </w:r>
          </w:p>
        </w:tc>
        <w:tc>
          <w:tcPr>
            <w:tcW w:w="18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Valuation Technique</w:t>
            </w:r>
          </w:p>
        </w:tc>
        <w:tc>
          <w:tcPr>
            <w:tcW w:w="21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Unobservable Input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4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8"/>
              </w:rPr>
              <w:t>March 31, 2016</w:t>
            </w:r>
          </w:p>
        </w:tc>
        <w:tc>
          <w:tcPr>
            <w:tcW w:w="1860" w:type="dxa"/>
            <w:vAlign w:val="bottom"/>
            <w:gridSpan w:val="2"/>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37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273,639,598</w:t>
            </w:r>
          </w:p>
        </w:tc>
        <w:tc>
          <w:tcPr>
            <w:tcW w:w="52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Market Comparable</w:t>
            </w:r>
          </w:p>
        </w:tc>
        <w:tc>
          <w:tcPr>
            <w:tcW w:w="44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Broker/Dealer bids or quotes</w:t>
            </w:r>
          </w:p>
        </w:tc>
        <w:tc>
          <w:tcPr>
            <w:tcW w:w="4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120" w:type="dxa"/>
            <w:vAlign w:val="bottom"/>
          </w:tcPr>
          <w:p>
            <w:pPr>
              <w:spacing w:after="0"/>
              <w:rPr>
                <w:sz w:val="12"/>
                <w:szCs w:val="12"/>
                <w:color w:val="auto"/>
              </w:rPr>
            </w:pPr>
          </w:p>
        </w:tc>
        <w:tc>
          <w:tcPr>
            <w:tcW w:w="16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203,367,246</w:t>
            </w:r>
          </w:p>
        </w:tc>
        <w:tc>
          <w:tcPr>
            <w:tcW w:w="18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2"/>
              </w:rPr>
              <w:t>Market Comparable</w:t>
            </w:r>
          </w:p>
        </w:tc>
        <w:tc>
          <w:tcPr>
            <w:tcW w:w="21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7"/>
              </w:rPr>
              <w:t>Market Yield</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3"/>
              </w:rPr>
              <w:t>5.3% – 17.4% (9.7%)</w:t>
            </w: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6,181,574</w:t>
            </w:r>
          </w:p>
        </w:tc>
        <w:tc>
          <w:tcPr>
            <w:tcW w:w="186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4"/>
              </w:rPr>
              <w:t>Enterprise Market Value</w:t>
            </w:r>
          </w:p>
        </w:tc>
        <w:tc>
          <w:tcPr>
            <w:tcW w:w="212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rPr>
              <w:t>EBITDA multiple</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6.0x – 10.5x (7.8x)</w:t>
            </w:r>
          </w:p>
        </w:tc>
        <w:tc>
          <w:tcPr>
            <w:tcW w:w="0" w:type="dxa"/>
            <w:vAlign w:val="bottom"/>
          </w:tcPr>
          <w:p>
            <w:pPr>
              <w:spacing w:after="0"/>
              <w:rPr>
                <w:sz w:val="1"/>
                <w:szCs w:val="1"/>
                <w:color w:val="auto"/>
              </w:rPr>
            </w:pPr>
          </w:p>
        </w:tc>
      </w:tr>
      <w:tr>
        <w:trPr>
          <w:trHeight w:val="156"/>
        </w:trPr>
        <w:tc>
          <w:tcPr>
            <w:tcW w:w="416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Total Level 3 investments</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483,188,418</w:t>
            </w:r>
          </w:p>
        </w:tc>
        <w:tc>
          <w:tcPr>
            <w:tcW w:w="5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1660" w:type="dxa"/>
            <w:vAlign w:val="bottom"/>
            <w:gridSpan w:val="2"/>
            <w:shd w:val="clear" w:color="auto" w:fill="CCEEFF"/>
          </w:tcPr>
          <w:p>
            <w:pPr>
              <w:jc w:val="right"/>
              <w:ind w:right="520"/>
              <w:spacing w:after="0" w:line="143" w:lineRule="exact"/>
              <w:rPr>
                <w:sz w:val="20"/>
                <w:szCs w:val="20"/>
                <w:color w:val="auto"/>
              </w:rPr>
            </w:pPr>
            <w:r>
              <w:rPr>
                <w:rFonts w:ascii="Arial" w:cs="Arial" w:eastAsia="Arial" w:hAnsi="Arial"/>
                <w:sz w:val="14"/>
                <w:szCs w:val="14"/>
                <w:color w:val="auto"/>
              </w:rPr>
              <w:t>127,992,417</w:t>
            </w:r>
          </w:p>
        </w:tc>
        <w:tc>
          <w:tcPr>
            <w:tcW w:w="1860" w:type="dxa"/>
            <w:vAlign w:val="bottom"/>
            <w:gridSpan w:val="2"/>
            <w:shd w:val="clear" w:color="auto" w:fill="CCEEFF"/>
          </w:tcPr>
          <w:p>
            <w:pPr>
              <w:jc w:val="center"/>
              <w:ind w:right="440"/>
              <w:spacing w:after="0" w:line="143" w:lineRule="exact"/>
              <w:rPr>
                <w:sz w:val="20"/>
                <w:szCs w:val="20"/>
                <w:color w:val="auto"/>
              </w:rPr>
            </w:pPr>
            <w:r>
              <w:rPr>
                <w:rFonts w:ascii="Arial" w:cs="Arial" w:eastAsia="Arial" w:hAnsi="Arial"/>
                <w:sz w:val="14"/>
                <w:szCs w:val="14"/>
                <w:color w:val="auto"/>
                <w:w w:val="92"/>
              </w:rPr>
              <w:t>Market Comparable</w:t>
            </w:r>
          </w:p>
        </w:tc>
        <w:tc>
          <w:tcPr>
            <w:tcW w:w="2120" w:type="dxa"/>
            <w:vAlign w:val="bottom"/>
            <w:gridSpan w:val="2"/>
            <w:shd w:val="clear" w:color="auto" w:fill="CCEEFF"/>
          </w:tcPr>
          <w:p>
            <w:pPr>
              <w:jc w:val="center"/>
              <w:ind w:right="440"/>
              <w:spacing w:after="0" w:line="143" w:lineRule="exact"/>
              <w:rPr>
                <w:sz w:val="20"/>
                <w:szCs w:val="20"/>
                <w:color w:val="auto"/>
              </w:rPr>
            </w:pPr>
            <w:r>
              <w:rPr>
                <w:rFonts w:ascii="Arial" w:cs="Arial" w:eastAsia="Arial" w:hAnsi="Arial"/>
                <w:sz w:val="14"/>
                <w:szCs w:val="14"/>
                <w:color w:val="auto"/>
                <w:w w:val="97"/>
              </w:rPr>
              <w:t>Market Yield</w:t>
            </w:r>
          </w:p>
        </w:tc>
        <w:tc>
          <w:tcPr>
            <w:tcW w:w="132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3.4%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Fair Value at</w:t>
            </w:r>
          </w:p>
        </w:tc>
        <w:tc>
          <w:tcPr>
            <w:tcW w:w="500" w:type="dxa"/>
            <w:vAlign w:val="bottom"/>
          </w:tcPr>
          <w:p>
            <w:pPr>
              <w:spacing w:after="0"/>
              <w:rPr>
                <w:sz w:val="14"/>
                <w:szCs w:val="14"/>
                <w:color w:val="auto"/>
              </w:rPr>
            </w:pPr>
          </w:p>
        </w:tc>
        <w:tc>
          <w:tcPr>
            <w:tcW w:w="18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Valuation Technique</w:t>
            </w:r>
          </w:p>
        </w:tc>
        <w:tc>
          <w:tcPr>
            <w:tcW w:w="21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Unobservable Input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4160" w:type="dxa"/>
            <w:vAlign w:val="bottom"/>
            <w:gridSpan w:val="2"/>
            <w:vMerge w:val="continue"/>
          </w:tcPr>
          <w:p>
            <w:pPr>
              <w:spacing w:after="0"/>
              <w:rPr>
                <w:sz w:val="14"/>
                <w:szCs w:val="14"/>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3"/>
              </w:rPr>
              <w:t>September 30, 2015</w:t>
            </w:r>
          </w:p>
        </w:tc>
        <w:tc>
          <w:tcPr>
            <w:tcW w:w="50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37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4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259,566,475</w:t>
            </w:r>
          </w:p>
        </w:tc>
        <w:tc>
          <w:tcPr>
            <w:tcW w:w="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Market Comparable</w:t>
            </w:r>
          </w:p>
        </w:tc>
        <w:tc>
          <w:tcPr>
            <w:tcW w:w="44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Broker/Dealer bids or quotes</w:t>
            </w:r>
          </w:p>
        </w:tc>
        <w:tc>
          <w:tcPr>
            <w:tcW w:w="4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16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128,895,910</w:t>
            </w:r>
          </w:p>
        </w:tc>
        <w:tc>
          <w:tcPr>
            <w:tcW w:w="500" w:type="dxa"/>
            <w:vAlign w:val="bottom"/>
          </w:tcPr>
          <w:p>
            <w:pPr>
              <w:spacing w:after="0"/>
              <w:rPr>
                <w:sz w:val="12"/>
                <w:szCs w:val="12"/>
                <w:color w:val="auto"/>
              </w:rPr>
            </w:pPr>
          </w:p>
        </w:tc>
        <w:tc>
          <w:tcPr>
            <w:tcW w:w="18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2"/>
              </w:rPr>
              <w:t>Market Comparable</w:t>
            </w:r>
          </w:p>
        </w:tc>
        <w:tc>
          <w:tcPr>
            <w:tcW w:w="21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7"/>
              </w:rPr>
              <w:t>Market Yield</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4"/>
              </w:rPr>
              <w:t>5.5% – 34.7% (10.6%)</w:t>
            </w: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313,941</w:t>
            </w:r>
          </w:p>
        </w:tc>
        <w:tc>
          <w:tcPr>
            <w:tcW w:w="5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2"/>
              </w:rPr>
              <w:t>Market Comparable</w:t>
            </w:r>
          </w:p>
        </w:tc>
        <w:tc>
          <w:tcPr>
            <w:tcW w:w="212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3"/>
              </w:rPr>
              <w:t>Broker/Dealer bids or quotes</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5"/>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2,344,955</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Enterprise Market Value</w:t>
            </w:r>
          </w:p>
        </w:tc>
        <w:tc>
          <w:tcPr>
            <w:tcW w:w="21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rPr>
              <w:t>EBITDA multiple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6"/>
              </w:rPr>
              <w:t>6.0x–10.5x (7.6x)</w:t>
            </w: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391,121,281</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2"/>
              </w:rPr>
              <w:t>Market Comparable</w:t>
            </w:r>
          </w:p>
        </w:tc>
        <w:tc>
          <w:tcPr>
            <w:tcW w:w="212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7"/>
              </w:rPr>
              <w:t>Market Yield</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3"/>
              </w:rPr>
              <w:t>2.9%</w:t>
            </w:r>
          </w:p>
        </w:tc>
        <w:tc>
          <w:tcPr>
            <w:tcW w:w="0" w:type="dxa"/>
            <w:vAlign w:val="bottom"/>
          </w:tcPr>
          <w:p>
            <w:pPr>
              <w:spacing w:after="0" w:line="20" w:lineRule="exact"/>
              <w:rPr>
                <w:sz w:val="1"/>
                <w:szCs w:val="1"/>
                <w:color w:val="auto"/>
              </w:rPr>
            </w:pPr>
          </w:p>
        </w:tc>
      </w:tr>
      <w:tr>
        <w:trPr>
          <w:trHeight w:val="143"/>
        </w:trPr>
        <w:tc>
          <w:tcPr>
            <w:tcW w:w="4160" w:type="dxa"/>
            <w:vAlign w:val="bottom"/>
            <w:gridSpan w:val="2"/>
            <w:vMerge w:val="continue"/>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29,600,000</w:t>
            </w:r>
          </w:p>
        </w:tc>
        <w:tc>
          <w:tcPr>
            <w:tcW w:w="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investments, cash and cash equivalents and Credit Facility were categorized as follows in the fair value hierarchy for ASC 820 purposes: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Fair Value Measurements at March 31, 2016</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11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1020" w:type="dxa"/>
            <w:vAlign w:val="bottom"/>
          </w:tcPr>
          <w:p>
            <w:pPr>
              <w:jc w:val="right"/>
              <w:ind w:right="34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 (First lien)</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5"/>
                <w:szCs w:val="5"/>
                <w:color w:val="auto"/>
                <w:w w:val="70"/>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426,008,057</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ind w:left="880"/>
              <w:spacing w:after="0" w:line="142"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426,008,057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 (Second lien)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48,051,586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48,051,586</w:t>
            </w:r>
          </w:p>
        </w:tc>
        <w:tc>
          <w:tcPr>
            <w:tcW w:w="0" w:type="dxa"/>
            <w:vAlign w:val="bottom"/>
          </w:tcPr>
          <w:p>
            <w:pPr>
              <w:spacing w:after="0"/>
              <w:rPr>
                <w:sz w:val="1"/>
                <w:szCs w:val="1"/>
                <w:color w:val="auto"/>
              </w:rPr>
            </w:pPr>
          </w:p>
        </w:tc>
      </w:tr>
      <w:tr>
        <w:trPr>
          <w:trHeight w:val="148"/>
        </w:trPr>
        <w:tc>
          <w:tcPr>
            <w:tcW w:w="5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Debt investments (Subordinated debt / corporate notes)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2,947,201</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2,947,201</w:t>
            </w:r>
          </w:p>
        </w:tc>
        <w:tc>
          <w:tcPr>
            <w:tcW w:w="0" w:type="dxa"/>
            <w:vAlign w:val="bottom"/>
          </w:tcPr>
          <w:p>
            <w:pPr>
              <w:spacing w:after="0"/>
              <w:rPr>
                <w:sz w:val="1"/>
                <w:szCs w:val="1"/>
                <w:color w:val="auto"/>
              </w:rPr>
            </w:pPr>
          </w:p>
        </w:tc>
      </w:tr>
      <w:tr>
        <w:trPr>
          <w:trHeight w:val="149"/>
        </w:trPr>
        <w:tc>
          <w:tcPr>
            <w:tcW w:w="532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6,272,950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91,376</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6,181,574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3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483,279,794</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91,376</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483,188,418</w:t>
            </w:r>
          </w:p>
        </w:tc>
        <w:tc>
          <w:tcPr>
            <w:tcW w:w="0" w:type="dxa"/>
            <w:vAlign w:val="bottom"/>
          </w:tcPr>
          <w:p>
            <w:pPr>
              <w:spacing w:after="0"/>
              <w:rPr>
                <w:sz w:val="1"/>
                <w:szCs w:val="1"/>
                <w:color w:val="auto"/>
              </w:rPr>
            </w:pPr>
          </w:p>
        </w:tc>
      </w:tr>
      <w:tr>
        <w:trPr>
          <w:trHeight w:val="163"/>
        </w:trPr>
        <w:tc>
          <w:tcPr>
            <w:tcW w:w="532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13,445,729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13,445,729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ind w:left="88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and cash and cash equivalents</w:t>
            </w:r>
          </w:p>
        </w:tc>
        <w:tc>
          <w:tcPr>
            <w:tcW w:w="180" w:type="dxa"/>
            <w:vAlign w:val="bottom"/>
            <w:gridSpan w:val="2"/>
            <w:shd w:val="clear" w:color="auto" w:fill="CCEEFF"/>
          </w:tcPr>
          <w:p>
            <w:pPr>
              <w:jc w:val="right"/>
              <w:ind w:right="94"/>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496,725,523</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13,537,105</w:t>
            </w:r>
          </w:p>
        </w:tc>
        <w:tc>
          <w:tcPr>
            <w:tcW w:w="3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483,188,418</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2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94"/>
              <w:spacing w:after="0"/>
              <w:rPr>
                <w:sz w:val="20"/>
                <w:szCs w:val="20"/>
                <w:color w:val="auto"/>
              </w:rPr>
            </w:pPr>
            <w:r>
              <w:rPr>
                <w:rFonts w:ascii="Arial" w:cs="Arial" w:eastAsia="Arial" w:hAnsi="Arial"/>
                <w:sz w:val="5"/>
                <w:szCs w:val="5"/>
                <w:color w:val="auto"/>
                <w:w w:val="70"/>
              </w:rPr>
              <w:t>$</w:t>
            </w: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127,992,417</w:t>
            </w:r>
          </w:p>
        </w:tc>
        <w:tc>
          <w:tcPr>
            <w:tcW w:w="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ind w:left="880"/>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127,992,417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w w:val="97"/>
              </w:rPr>
              <w:t>Fair Value Measurements at September 30, 2015</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1020" w:type="dxa"/>
            <w:vAlign w:val="bottom"/>
          </w:tcPr>
          <w:p>
            <w:pPr>
              <w:jc w:val="right"/>
              <w:ind w:right="34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 (First lien)</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334,957,341</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ind w:left="880"/>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334,957,341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line="149" w:lineRule="exact"/>
              <w:rPr>
                <w:sz w:val="20"/>
                <w:szCs w:val="20"/>
                <w:color w:val="auto"/>
              </w:rPr>
            </w:pPr>
            <w:r>
              <w:rPr>
                <w:rFonts w:ascii="Arial" w:cs="Arial" w:eastAsia="Arial" w:hAnsi="Arial"/>
                <w:sz w:val="14"/>
                <w:szCs w:val="14"/>
                <w:color w:val="auto"/>
              </w:rPr>
              <w:t>Debt investments (Second lien)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47,902,800</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47,902,800</w:t>
            </w:r>
          </w:p>
        </w:tc>
        <w:tc>
          <w:tcPr>
            <w:tcW w:w="0" w:type="dxa"/>
            <w:vAlign w:val="bottom"/>
          </w:tcPr>
          <w:p>
            <w:pPr>
              <w:spacing w:after="0"/>
              <w:rPr>
                <w:sz w:val="1"/>
                <w:szCs w:val="1"/>
                <w:color w:val="auto"/>
              </w:rPr>
            </w:pPr>
          </w:p>
        </w:tc>
      </w:tr>
      <w:tr>
        <w:trPr>
          <w:trHeight w:val="148"/>
        </w:trPr>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investments (Subordinated debt / corporate notes)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5,602,244</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5,602,244</w:t>
            </w:r>
          </w:p>
        </w:tc>
        <w:tc>
          <w:tcPr>
            <w:tcW w:w="0" w:type="dxa"/>
            <w:vAlign w:val="bottom"/>
          </w:tcPr>
          <w:p>
            <w:pPr>
              <w:spacing w:after="0"/>
              <w:rPr>
                <w:sz w:val="1"/>
                <w:szCs w:val="1"/>
                <w:color w:val="auto"/>
              </w:rPr>
            </w:pPr>
          </w:p>
        </w:tc>
      </w:tr>
      <w:tr>
        <w:trPr>
          <w:trHeight w:val="149"/>
        </w:trPr>
        <w:tc>
          <w:tcPr>
            <w:tcW w:w="514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2,849,505</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190,609</w:t>
            </w:r>
          </w:p>
        </w:tc>
        <w:tc>
          <w:tcPr>
            <w:tcW w:w="26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2,658,896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1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391,311,890</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190,609</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391,121,281</w:t>
            </w:r>
          </w:p>
        </w:tc>
        <w:tc>
          <w:tcPr>
            <w:tcW w:w="0" w:type="dxa"/>
            <w:vAlign w:val="bottom"/>
          </w:tcPr>
          <w:p>
            <w:pPr>
              <w:spacing w:after="0"/>
              <w:rPr>
                <w:sz w:val="1"/>
                <w:szCs w:val="1"/>
                <w:color w:val="auto"/>
              </w:rPr>
            </w:pPr>
          </w:p>
        </w:tc>
      </w:tr>
      <w:tr>
        <w:trPr>
          <w:trHeight w:val="163"/>
        </w:trPr>
        <w:tc>
          <w:tcPr>
            <w:tcW w:w="5140" w:type="dxa"/>
            <w:vAlign w:val="bottom"/>
          </w:tcPr>
          <w:p>
            <w:pPr>
              <w:spacing w:after="0" w:line="155" w:lineRule="exact"/>
              <w:rPr>
                <w:sz w:val="20"/>
                <w:szCs w:val="20"/>
                <w:color w:val="auto"/>
              </w:rPr>
            </w:pPr>
            <w:r>
              <w:rPr>
                <w:rFonts w:ascii="Arial" w:cs="Arial" w:eastAsia="Arial" w:hAnsi="Arial"/>
                <w:sz w:val="14"/>
                <w:szCs w:val="14"/>
                <w:color w:val="auto"/>
              </w:rPr>
              <w:t>Cash equivalents</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21,428,514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ind w:left="380"/>
              <w:spacing w:after="0" w:line="155" w:lineRule="exact"/>
              <w:rPr>
                <w:sz w:val="20"/>
                <w:szCs w:val="20"/>
                <w:color w:val="auto"/>
              </w:rPr>
            </w:pPr>
            <w:r>
              <w:rPr>
                <w:rFonts w:ascii="Arial" w:cs="Arial" w:eastAsia="Arial" w:hAnsi="Arial"/>
                <w:sz w:val="14"/>
                <w:szCs w:val="14"/>
                <w:color w:val="auto"/>
                <w:w w:val="88"/>
              </w:rPr>
              <w:t>21,428,514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and cash equivalents</w:t>
            </w: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412,740,404</w:t>
            </w:r>
          </w:p>
        </w:tc>
        <w:tc>
          <w:tcPr>
            <w:tcW w:w="4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21,428,514</w:t>
            </w:r>
          </w:p>
        </w:tc>
        <w:tc>
          <w:tcPr>
            <w:tcW w:w="3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190,609</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391,121,281</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29,600,000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ind w:left="880"/>
              <w:spacing w:after="0" w:line="143"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29,600,000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5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808"/>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Six Months Ended March 31, 2016</w:t>
            </w: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6"/>
              </w:rPr>
              <w:t>Second lien,</w:t>
            </w: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vMerge w:val="restart"/>
          </w:tcPr>
          <w:p>
            <w:pPr>
              <w:jc w:val="right"/>
              <w:ind w:right="448"/>
              <w:spacing w:after="0"/>
              <w:rPr>
                <w:sz w:val="20"/>
                <w:szCs w:val="20"/>
                <w:color w:val="auto"/>
              </w:rPr>
            </w:pPr>
            <w:r>
              <w:rPr>
                <w:rFonts w:ascii="Arial" w:cs="Arial" w:eastAsia="Arial" w:hAnsi="Arial"/>
                <w:sz w:val="14"/>
                <w:szCs w:val="14"/>
                <w:b w:val="1"/>
                <w:bCs w:val="1"/>
                <w:color w:val="auto"/>
              </w:rPr>
              <w:t>First Lien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260" w:type="dxa"/>
            <w:vAlign w:val="bottom"/>
          </w:tcPr>
          <w:p>
            <w:pPr>
              <w:spacing w:after="0"/>
              <w:rPr>
                <w:sz w:val="12"/>
                <w:szCs w:val="12"/>
                <w:color w:val="auto"/>
              </w:rPr>
            </w:pP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and equity investments</w:t>
            </w: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60" w:type="dxa"/>
            <w:vAlign w:val="bottom"/>
            <w:tcBorders>
              <w:top w:val="single" w:sz="8" w:color="CCEEFF"/>
              <w:right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right w:val="single" w:sz="8" w:color="CCEEFF"/>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334,957,341</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56,163,940</w:t>
            </w:r>
          </w:p>
        </w:tc>
        <w:tc>
          <w:tcPr>
            <w:tcW w:w="360" w:type="dxa"/>
            <w:vAlign w:val="bottom"/>
            <w:tcBorders>
              <w:top w:val="single" w:sz="8" w:color="CCEEFF"/>
              <w:left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391,121,281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realized gains (losses)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right"/>
              <w:ind w:right="128"/>
              <w:spacing w:after="0" w:line="149" w:lineRule="exact"/>
              <w:rPr>
                <w:sz w:val="20"/>
                <w:szCs w:val="20"/>
                <w:color w:val="auto"/>
              </w:rPr>
            </w:pPr>
            <w:r>
              <w:rPr>
                <w:rFonts w:ascii="Arial" w:cs="Arial" w:eastAsia="Arial" w:hAnsi="Arial"/>
                <w:sz w:val="14"/>
                <w:szCs w:val="14"/>
                <w:color w:val="auto"/>
              </w:rPr>
              <w:t>209,522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(2,447,359)</w:t>
            </w:r>
          </w:p>
        </w:tc>
        <w:tc>
          <w:tcPr>
            <w:tcW w:w="26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(2,237,837)</w:t>
            </w:r>
          </w:p>
        </w:tc>
        <w:tc>
          <w:tcPr>
            <w:tcW w:w="0" w:type="dxa"/>
            <w:vAlign w:val="bottom"/>
          </w:tcPr>
          <w:p>
            <w:pPr>
              <w:spacing w:after="0"/>
              <w:rPr>
                <w:sz w:val="1"/>
                <w:szCs w:val="1"/>
                <w:color w:val="auto"/>
              </w:rPr>
            </w:pPr>
          </w:p>
        </w:tc>
      </w:tr>
      <w:tr>
        <w:trPr>
          <w:trHeight w:val="149"/>
        </w:trPr>
        <w:tc>
          <w:tcPr>
            <w:tcW w:w="62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(depreciation) appreciation</w:t>
            </w:r>
          </w:p>
        </w:tc>
        <w:tc>
          <w:tcPr>
            <w:tcW w:w="2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(6,292,525)</w:t>
            </w: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134,146</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(6,158,379)</w:t>
            </w:r>
          </w:p>
        </w:tc>
        <w:tc>
          <w:tcPr>
            <w:tcW w:w="0" w:type="dxa"/>
            <w:vAlign w:val="bottom"/>
          </w:tcPr>
          <w:p>
            <w:pPr>
              <w:spacing w:after="0"/>
              <w:rPr>
                <w:sz w:val="1"/>
                <w:szCs w:val="1"/>
                <w:color w:val="auto"/>
              </w:rPr>
            </w:pPr>
          </w:p>
        </w:tc>
      </w:tr>
      <w:tr>
        <w:trPr>
          <w:trHeight w:val="148"/>
        </w:trPr>
        <w:tc>
          <w:tcPr>
            <w:tcW w:w="62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right"/>
              <w:ind w:right="128"/>
              <w:spacing w:after="0" w:line="149" w:lineRule="exact"/>
              <w:rPr>
                <w:sz w:val="20"/>
                <w:szCs w:val="20"/>
                <w:color w:val="auto"/>
              </w:rPr>
            </w:pPr>
            <w:r>
              <w:rPr>
                <w:rFonts w:ascii="Arial" w:cs="Arial" w:eastAsia="Arial" w:hAnsi="Arial"/>
                <w:sz w:val="14"/>
                <w:szCs w:val="14"/>
                <w:color w:val="auto"/>
              </w:rPr>
              <w:t>152,501,262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4,766,656</w:t>
            </w:r>
          </w:p>
        </w:tc>
        <w:tc>
          <w:tcPr>
            <w:tcW w:w="2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157,267,918</w:t>
            </w:r>
          </w:p>
        </w:tc>
        <w:tc>
          <w:tcPr>
            <w:tcW w:w="0" w:type="dxa"/>
            <w:vAlign w:val="bottom"/>
          </w:tcPr>
          <w:p>
            <w:pPr>
              <w:spacing w:after="0"/>
              <w:rPr>
                <w:sz w:val="1"/>
                <w:szCs w:val="1"/>
                <w:color w:val="auto"/>
              </w:rPr>
            </w:pPr>
          </w:p>
        </w:tc>
      </w:tr>
      <w:tr>
        <w:trPr>
          <w:trHeight w:val="148"/>
        </w:trPr>
        <w:tc>
          <w:tcPr>
            <w:tcW w:w="62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2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(55,367,543)</w:t>
            </w: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(1,437,022)</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(56,804,565)</w:t>
            </w:r>
          </w:p>
        </w:tc>
        <w:tc>
          <w:tcPr>
            <w:tcW w:w="0" w:type="dxa"/>
            <w:vAlign w:val="bottom"/>
          </w:tcPr>
          <w:p>
            <w:pPr>
              <w:spacing w:after="0"/>
              <w:rPr>
                <w:sz w:val="1"/>
                <w:szCs w:val="1"/>
                <w:color w:val="auto"/>
              </w:rPr>
            </w:pPr>
          </w:p>
        </w:tc>
      </w:tr>
      <w:tr>
        <w:trPr>
          <w:trHeight w:val="148"/>
        </w:trPr>
        <w:tc>
          <w:tcPr>
            <w:tcW w:w="62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44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426,008,057</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57,180,361</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483,188,418</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 depreciation on</w:t>
            </w: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2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2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4"/>
              </w:rPr>
              <w:t>investments in our Consolidated Statements of Operations attributable to our Level 3 assets still held at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220" w:type="dxa"/>
            <w:vAlign w:val="bottom"/>
            <w:gridSpan w:val="2"/>
          </w:tcPr>
          <w:p>
            <w:pPr>
              <w:ind w:left="160"/>
              <w:spacing w:after="0"/>
              <w:rPr>
                <w:sz w:val="20"/>
                <w:szCs w:val="20"/>
                <w:color w:val="auto"/>
              </w:rPr>
            </w:pPr>
            <w:r>
              <w:rPr>
                <w:rFonts w:ascii="Arial" w:cs="Arial" w:eastAsia="Arial" w:hAnsi="Arial"/>
                <w:sz w:val="14"/>
                <w:szCs w:val="14"/>
                <w:color w:val="auto"/>
              </w:rPr>
              <w:t>the reporting date.</w:t>
            </w:r>
          </w:p>
        </w:tc>
        <w:tc>
          <w:tcPr>
            <w:tcW w:w="44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gridSpan w:val="3"/>
          </w:tcPr>
          <w:p>
            <w:pPr>
              <w:jc w:val="right"/>
              <w:ind w:right="68"/>
              <w:spacing w:after="0"/>
              <w:rPr>
                <w:sz w:val="20"/>
                <w:szCs w:val="20"/>
                <w:color w:val="auto"/>
              </w:rPr>
            </w:pPr>
            <w:r>
              <w:rPr>
                <w:rFonts w:ascii="Arial" w:cs="Arial" w:eastAsia="Arial" w:hAnsi="Arial"/>
                <w:sz w:val="14"/>
                <w:szCs w:val="14"/>
                <w:color w:val="auto"/>
              </w:rPr>
              <w:t>(6,030,964)</w:t>
            </w:r>
          </w:p>
        </w:tc>
        <w:tc>
          <w:tcPr>
            <w:tcW w:w="2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4"/>
                <w:szCs w:val="14"/>
                <w:color w:val="auto"/>
              </w:rPr>
              <w:t>(2,335,281)</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(8,366,245)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3"/>
              </w:rPr>
              <w:t>Six Months Ended March 31, 2015</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6"/>
              </w:rPr>
              <w:t>Second lien,</w:t>
            </w: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vMerge w:val="restart"/>
          </w:tcPr>
          <w:p>
            <w:pPr>
              <w:jc w:val="right"/>
              <w:ind w:right="468"/>
              <w:spacing w:after="0"/>
              <w:rPr>
                <w:sz w:val="20"/>
                <w:szCs w:val="20"/>
                <w:color w:val="auto"/>
              </w:rPr>
            </w:pPr>
            <w:r>
              <w:rPr>
                <w:rFonts w:ascii="Arial" w:cs="Arial" w:eastAsia="Arial" w:hAnsi="Arial"/>
                <w:sz w:val="14"/>
                <w:szCs w:val="14"/>
                <w:b w:val="1"/>
                <w:bCs w:val="1"/>
                <w:color w:val="auto"/>
              </w:rPr>
              <w:t>First Lien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260" w:type="dxa"/>
            <w:vAlign w:val="bottom"/>
          </w:tcPr>
          <w:p>
            <w:pPr>
              <w:spacing w:after="0"/>
              <w:rPr>
                <w:sz w:val="12"/>
                <w:szCs w:val="12"/>
                <w:color w:val="auto"/>
              </w:rPr>
            </w:pP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and equity investments</w:t>
            </w: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right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302,565,355</w:t>
            </w: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40,707,230</w:t>
            </w:r>
          </w:p>
        </w:tc>
        <w:tc>
          <w:tcPr>
            <w:tcW w:w="360" w:type="dxa"/>
            <w:vAlign w:val="bottom"/>
            <w:tcBorders>
              <w:top w:val="single" w:sz="8" w:color="CCEEFF"/>
              <w:left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343,272,585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realized (losses) gains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(353,349)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873,487</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520,138</w:t>
            </w:r>
          </w:p>
        </w:tc>
        <w:tc>
          <w:tcPr>
            <w:tcW w:w="0" w:type="dxa"/>
            <w:vAlign w:val="bottom"/>
          </w:tcPr>
          <w:p>
            <w:pPr>
              <w:spacing w:after="0"/>
              <w:rPr>
                <w:sz w:val="1"/>
                <w:szCs w:val="1"/>
                <w:color w:val="auto"/>
              </w:rPr>
            </w:pPr>
          </w:p>
        </w:tc>
      </w:tr>
      <w:tr>
        <w:trPr>
          <w:trHeight w:val="148"/>
        </w:trPr>
        <w:tc>
          <w:tcPr>
            <w:tcW w:w="62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depreciation</w:t>
            </w:r>
          </w:p>
        </w:tc>
        <w:tc>
          <w:tcPr>
            <w:tcW w:w="2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(2,530,212)</w:t>
            </w: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(855,352)</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(3,385,564)</w:t>
            </w:r>
          </w:p>
        </w:tc>
        <w:tc>
          <w:tcPr>
            <w:tcW w:w="0" w:type="dxa"/>
            <w:vAlign w:val="bottom"/>
          </w:tcPr>
          <w:p>
            <w:pPr>
              <w:spacing w:after="0"/>
              <w:rPr>
                <w:sz w:val="1"/>
                <w:szCs w:val="1"/>
                <w:color w:val="auto"/>
              </w:rPr>
            </w:pPr>
          </w:p>
        </w:tc>
      </w:tr>
      <w:tr>
        <w:trPr>
          <w:trHeight w:val="148"/>
        </w:trPr>
        <w:tc>
          <w:tcPr>
            <w:tcW w:w="62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69,822,474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13,785,403</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83,607,877</w:t>
            </w:r>
          </w:p>
        </w:tc>
        <w:tc>
          <w:tcPr>
            <w:tcW w:w="0" w:type="dxa"/>
            <w:vAlign w:val="bottom"/>
          </w:tcPr>
          <w:p>
            <w:pPr>
              <w:spacing w:after="0"/>
              <w:rPr>
                <w:sz w:val="1"/>
                <w:szCs w:val="1"/>
                <w:color w:val="auto"/>
              </w:rPr>
            </w:pPr>
          </w:p>
        </w:tc>
      </w:tr>
      <w:tr>
        <w:trPr>
          <w:trHeight w:val="149"/>
        </w:trPr>
        <w:tc>
          <w:tcPr>
            <w:tcW w:w="62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2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(91,921,496)</w:t>
            </w: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(997,338)</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(92,918,834)</w:t>
            </w:r>
          </w:p>
        </w:tc>
        <w:tc>
          <w:tcPr>
            <w:tcW w:w="0" w:type="dxa"/>
            <w:vAlign w:val="bottom"/>
          </w:tcPr>
          <w:p>
            <w:pPr>
              <w:spacing w:after="0"/>
              <w:rPr>
                <w:sz w:val="1"/>
                <w:szCs w:val="1"/>
                <w:color w:val="auto"/>
              </w:rPr>
            </w:pPr>
          </w:p>
        </w:tc>
      </w:tr>
      <w:tr>
        <w:trPr>
          <w:trHeight w:val="148"/>
        </w:trPr>
        <w:tc>
          <w:tcPr>
            <w:tcW w:w="62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3,225,324</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3,225,324</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2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277,582,772</w:t>
            </w:r>
          </w:p>
        </w:tc>
        <w:tc>
          <w:tcPr>
            <w:tcW w:w="1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56,738,754</w:t>
            </w:r>
          </w:p>
        </w:tc>
        <w:tc>
          <w:tcPr>
            <w:tcW w:w="3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334,321,526</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 depreciation on</w:t>
            </w: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2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2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5"/>
              </w:rPr>
              <w:t>investments in our Consolidated Statement of Operations attributable to our Level 3 assets still held at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220" w:type="dxa"/>
            <w:vAlign w:val="bottom"/>
            <w:gridSpan w:val="2"/>
          </w:tcPr>
          <w:p>
            <w:pPr>
              <w:ind w:left="160"/>
              <w:spacing w:after="0"/>
              <w:rPr>
                <w:sz w:val="20"/>
                <w:szCs w:val="20"/>
                <w:color w:val="auto"/>
              </w:rPr>
            </w:pPr>
            <w:r>
              <w:rPr>
                <w:rFonts w:ascii="Arial" w:cs="Arial" w:eastAsia="Arial" w:hAnsi="Arial"/>
                <w:sz w:val="14"/>
                <w:szCs w:val="14"/>
                <w:color w:val="auto"/>
              </w:rPr>
              <w:t>the reporting date.</w:t>
            </w:r>
          </w:p>
        </w:tc>
        <w:tc>
          <w:tcPr>
            <w:tcW w:w="44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gridSpan w:val="3"/>
          </w:tcPr>
          <w:p>
            <w:pPr>
              <w:jc w:val="right"/>
              <w:ind w:right="88"/>
              <w:spacing w:after="0"/>
              <w:rPr>
                <w:sz w:val="20"/>
                <w:szCs w:val="20"/>
                <w:color w:val="auto"/>
              </w:rPr>
            </w:pPr>
            <w:r>
              <w:rPr>
                <w:rFonts w:ascii="Arial" w:cs="Arial" w:eastAsia="Arial" w:hAnsi="Arial"/>
                <w:sz w:val="14"/>
                <w:szCs w:val="14"/>
                <w:color w:val="auto"/>
              </w:rPr>
              <w:t>(2,447,038)</w:t>
            </w:r>
          </w:p>
        </w:tc>
        <w:tc>
          <w:tcPr>
            <w:tcW w:w="2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4"/>
                <w:szCs w:val="14"/>
                <w:color w:val="auto"/>
              </w:rPr>
              <w:t>(915,685)</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(3,362,723)</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5560"/>
              <w:spacing w:after="0"/>
              <w:rPr>
                <w:sz w:val="20"/>
                <w:szCs w:val="20"/>
                <w:color w:val="auto"/>
              </w:rPr>
            </w:pPr>
            <w:r>
              <w:rPr>
                <w:rFonts w:ascii="Arial" w:cs="Arial" w:eastAsia="Arial" w:hAnsi="Arial"/>
                <w:sz w:val="14"/>
                <w:szCs w:val="14"/>
                <w:color w:val="auto"/>
              </w:rPr>
              <w:t>20</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Carrying/Fair Value</w:t>
            </w:r>
          </w:p>
        </w:tc>
        <w:tc>
          <w:tcPr>
            <w:tcW w:w="0" w:type="dxa"/>
            <w:vAlign w:val="bottom"/>
          </w:tcPr>
          <w:p>
            <w:pPr>
              <w:spacing w:after="0"/>
              <w:rPr>
                <w:sz w:val="1"/>
                <w:szCs w:val="1"/>
                <w:color w:val="auto"/>
              </w:rPr>
            </w:pPr>
          </w:p>
        </w:tc>
      </w:tr>
      <w:tr>
        <w:trPr>
          <w:trHeight w:val="171"/>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4540" w:type="dxa"/>
            <w:vAlign w:val="bottom"/>
            <w:tcBorders>
              <w:bottom w:val="single" w:sz="8" w:color="auto"/>
            </w:tcBorders>
            <w:vMerge w:val="continue"/>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Beginning Balance (cost – $29,600,000 and $146,400,000, respectively)</w:t>
            </w:r>
          </w:p>
        </w:tc>
        <w:tc>
          <w:tcPr>
            <w:tcW w:w="386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29,600,000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146,949,000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300"/>
              <w:spacing w:after="0" w:line="149" w:lineRule="exact"/>
              <w:rPr>
                <w:sz w:val="20"/>
                <w:szCs w:val="20"/>
                <w:color w:val="auto"/>
              </w:rPr>
            </w:pPr>
            <w:r>
              <w:rPr>
                <w:rFonts w:ascii="Arial" w:cs="Arial" w:eastAsia="Arial" w:hAnsi="Arial"/>
                <w:sz w:val="14"/>
                <w:szCs w:val="14"/>
                <w:color w:val="auto"/>
              </w:rPr>
              <w:t>Net change in unrealized depreciation included in earnings</w:t>
            </w:r>
          </w:p>
        </w:tc>
        <w:tc>
          <w:tcPr>
            <w:tcW w:w="3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(215,083)</w:t>
            </w:r>
          </w:p>
        </w:tc>
        <w:tc>
          <w:tcPr>
            <w:tcW w:w="28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(255,750)</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Borrowings</w:t>
            </w:r>
          </w:p>
        </w:tc>
        <w:tc>
          <w:tcPr>
            <w:tcW w:w="3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121,907,500</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54,900,000</w:t>
            </w:r>
          </w:p>
        </w:tc>
        <w:tc>
          <w:tcPr>
            <w:tcW w:w="0" w:type="dxa"/>
            <w:vAlign w:val="bottom"/>
          </w:tcPr>
          <w:p>
            <w:pPr>
              <w:spacing w:after="0"/>
              <w:rPr>
                <w:sz w:val="1"/>
                <w:szCs w:val="1"/>
                <w:color w:val="auto"/>
              </w:rPr>
            </w:pPr>
          </w:p>
        </w:tc>
      </w:tr>
      <w:tr>
        <w:trPr>
          <w:trHeight w:val="149"/>
        </w:trPr>
        <w:tc>
          <w:tcPr>
            <w:tcW w:w="4540" w:type="dxa"/>
            <w:vAlign w:val="bottom"/>
          </w:tcPr>
          <w:p>
            <w:pPr>
              <w:ind w:left="300"/>
              <w:spacing w:after="0" w:line="149" w:lineRule="exact"/>
              <w:rPr>
                <w:sz w:val="20"/>
                <w:szCs w:val="20"/>
                <w:color w:val="auto"/>
              </w:rPr>
            </w:pPr>
            <w:r>
              <w:rPr>
                <w:rFonts w:ascii="Arial" w:cs="Arial" w:eastAsia="Arial" w:hAnsi="Arial"/>
                <w:sz w:val="14"/>
                <w:szCs w:val="14"/>
                <w:color w:val="auto"/>
              </w:rPr>
              <w:t>Repayments</w:t>
            </w:r>
          </w:p>
        </w:tc>
        <w:tc>
          <w:tcPr>
            <w:tcW w:w="3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(23,300,000)</w:t>
            </w:r>
          </w:p>
        </w:tc>
        <w:tc>
          <w:tcPr>
            <w:tcW w:w="28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(84,000,000)</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3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540" w:type="dxa"/>
            <w:vAlign w:val="bottom"/>
          </w:tcPr>
          <w:p>
            <w:pPr>
              <w:spacing w:after="0" w:line="155" w:lineRule="exact"/>
              <w:rPr>
                <w:sz w:val="20"/>
                <w:szCs w:val="20"/>
                <w:color w:val="auto"/>
              </w:rPr>
            </w:pPr>
            <w:r>
              <w:rPr>
                <w:rFonts w:ascii="Arial" w:cs="Arial" w:eastAsia="Arial" w:hAnsi="Arial"/>
                <w:sz w:val="14"/>
                <w:szCs w:val="14"/>
                <w:color w:val="auto"/>
              </w:rPr>
              <w:t>Ending Balance (cost – $128,207,500 and $117,300,000, respectively)</w:t>
            </w:r>
          </w:p>
        </w:tc>
        <w:tc>
          <w:tcPr>
            <w:tcW w:w="386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127,992,417</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117,593,250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As of March 31, 2016, we had outstanding non-U.S. dollar borrowings on our Credit Facility. Net currency change in fair value on these outstanding borrowings is listed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1020" w:type="dxa"/>
            <w:vAlign w:val="bottom"/>
          </w:tcPr>
          <w:p>
            <w:pPr>
              <w:spacing w:after="0"/>
              <w:rPr>
                <w:sz w:val="14"/>
                <w:szCs w:val="14"/>
                <w:color w:val="auto"/>
              </w:rPr>
            </w:pPr>
          </w:p>
        </w:tc>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Local Currency</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tcPr>
          <w:p>
            <w:pPr>
              <w:ind w:left="80"/>
              <w:spacing w:after="0"/>
              <w:rPr>
                <w:sz w:val="20"/>
                <w:szCs w:val="20"/>
                <w:color w:val="auto"/>
              </w:rPr>
            </w:pPr>
            <w:r>
              <w:rPr>
                <w:rFonts w:ascii="Arial" w:cs="Arial" w:eastAsia="Arial" w:hAnsi="Arial"/>
                <w:sz w:val="14"/>
                <w:szCs w:val="14"/>
                <w:b w:val="1"/>
                <w:bCs w:val="1"/>
                <w:color w:val="auto"/>
              </w:rPr>
              <w:t>Original</w:t>
            </w:r>
          </w:p>
        </w:tc>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Current Value</w:t>
            </w: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Reset Date</w:t>
            </w:r>
          </w:p>
        </w:tc>
        <w:tc>
          <w:tcPr>
            <w:tcW w:w="5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Change in Fair</w:t>
            </w:r>
          </w:p>
        </w:tc>
        <w:tc>
          <w:tcPr>
            <w:tcW w:w="0" w:type="dxa"/>
            <w:vAlign w:val="bottom"/>
          </w:tcPr>
          <w:p>
            <w:pPr>
              <w:spacing w:after="0"/>
              <w:rPr>
                <w:sz w:val="1"/>
                <w:szCs w:val="1"/>
                <w:color w:val="auto"/>
              </w:rPr>
            </w:pPr>
          </w:p>
        </w:tc>
      </w:tr>
      <w:tr>
        <w:trPr>
          <w:trHeight w:val="171"/>
        </w:trPr>
        <w:tc>
          <w:tcPr>
            <w:tcW w:w="112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100" w:type="dxa"/>
            <w:vAlign w:val="bottom"/>
            <w:gridSpan w:val="3"/>
          </w:tcPr>
          <w:p>
            <w:pPr>
              <w:ind w:left="20"/>
              <w:spacing w:after="0"/>
              <w:rPr>
                <w:sz w:val="20"/>
                <w:szCs w:val="20"/>
                <w:color w:val="auto"/>
              </w:rPr>
            </w:pPr>
            <w:r>
              <w:rPr>
                <w:rFonts w:ascii="Arial" w:cs="Arial" w:eastAsia="Arial" w:hAnsi="Arial"/>
                <w:sz w:val="14"/>
                <w:szCs w:val="14"/>
                <w:b w:val="1"/>
                <w:bCs w:val="1"/>
                <w:color w:val="auto"/>
              </w:rPr>
              <w:t>Borrowing Cost</w:t>
            </w:r>
          </w:p>
        </w:tc>
        <w:tc>
          <w:tcPr>
            <w:tcW w:w="200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1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Canadian Dollars</w:t>
            </w:r>
          </w:p>
        </w:tc>
        <w:tc>
          <w:tcPr>
            <w:tcW w:w="102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  17,500,000</w:t>
            </w:r>
          </w:p>
        </w:tc>
        <w:tc>
          <w:tcPr>
            <w:tcW w:w="5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12,407,501</w:t>
            </w:r>
          </w:p>
        </w:tc>
        <w:tc>
          <w:tcPr>
            <w:tcW w:w="1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6"/>
              </w:rPr>
              <w:t>$   13,474,493</w:t>
            </w:r>
          </w:p>
        </w:tc>
        <w:tc>
          <w:tcPr>
            <w:tcW w:w="1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96"/>
              </w:rPr>
              <w:t>April 1, 2016</w:t>
            </w:r>
          </w:p>
        </w:tc>
        <w:tc>
          <w:tcPr>
            <w:tcW w:w="5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1,066,992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had expenses of zero and $0.9 million, respectively, relating to amendment fees on the Credit Facility during the three and six months ended March 31, 2016. For the same periods in the prior year, we incurred no expenses relating to amendment fees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three and six months ended March 31, 2016, our Credit Facility had a net change in unrealized (appreciation) depreciation of $(0.4) million and $0.2 million, respectively. For the three and six months ended March 31, 2015, our Credit Facility had a net change in unrealized appreciation of $0.2 million and $0.3 million, respectively. As of March 31, 2016 and September 30, 2015, the net unrealized depreciation on our Credit Facility totaled $0.2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00" w:lineRule="exact"/>
        <w:rPr>
          <w:sz w:val="20"/>
          <w:szCs w:val="20"/>
          <w:color w:val="auto"/>
        </w:rPr>
      </w:pPr>
    </w:p>
    <w:p>
      <w:pPr>
        <w:ind w:right="300" w:firstLine="562"/>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six months ended March 31, 2016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Fair Value at</w:t>
            </w:r>
          </w:p>
        </w:tc>
        <w:tc>
          <w:tcPr>
            <w:tcW w:w="14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Purchases of /</w:t>
            </w:r>
          </w:p>
        </w:tc>
        <w:tc>
          <w:tcPr>
            <w:tcW w:w="14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Sale of /</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4"/>
                <w:szCs w:val="14"/>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Net Realized</w:t>
            </w:r>
          </w:p>
        </w:tc>
        <w:tc>
          <w:tcPr>
            <w:tcW w:w="0" w:type="dxa"/>
            <w:vAlign w:val="bottom"/>
          </w:tcPr>
          <w:p>
            <w:pPr>
              <w:spacing w:after="0"/>
              <w:rPr>
                <w:sz w:val="1"/>
                <w:szCs w:val="1"/>
                <w:color w:val="auto"/>
              </w:rPr>
            </w:pPr>
          </w:p>
        </w:tc>
      </w:tr>
      <w:tr>
        <w:trPr>
          <w:trHeight w:val="149"/>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Advances to</w:t>
            </w:r>
          </w:p>
        </w:tc>
        <w:tc>
          <w:tcPr>
            <w:tcW w:w="10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gridSpan w:val="2"/>
            <w:vMerge w:val="continue"/>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Affiliates</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from Affiliates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Accrued</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March 31, 2016</w:t>
            </w:r>
          </w:p>
        </w:tc>
        <w:tc>
          <w:tcPr>
            <w:tcW w:w="120" w:type="dxa"/>
            <w:vAlign w:val="bottom"/>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Gains (Losses)</w:t>
            </w:r>
          </w:p>
        </w:tc>
        <w:tc>
          <w:tcPr>
            <w:tcW w:w="0" w:type="dxa"/>
            <w:vAlign w:val="bottom"/>
          </w:tcPr>
          <w:p>
            <w:pPr>
              <w:spacing w:after="0"/>
              <w:rPr>
                <w:sz w:val="1"/>
                <w:szCs w:val="1"/>
                <w:color w:val="auto"/>
              </w:rPr>
            </w:pPr>
          </w:p>
        </w:tc>
      </w:tr>
      <w:tr>
        <w:trPr>
          <w:trHeight w:val="142"/>
        </w:trPr>
        <w:tc>
          <w:tcPr>
            <w:tcW w:w="37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Controlled Affiliates</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GMC Television Broadcasting Holdings, LLC</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2,776,507</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84,073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2,776,507</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Controlled Affiliates</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2,776,507</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84,073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2,776,507</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in net assets resulting from operations</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2,436,176</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6,124,487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4,183,055</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6,562,689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26,730,074</w:t>
            </w:r>
          </w:p>
        </w:tc>
        <w:tc>
          <w:tcPr>
            <w:tcW w:w="2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14,898,056</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26,730,074</w:t>
            </w:r>
          </w:p>
        </w:tc>
        <w:tc>
          <w:tcPr>
            <w:tcW w:w="3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14,898,056</w:t>
            </w:r>
          </w:p>
        </w:tc>
        <w:tc>
          <w:tcPr>
            <w:tcW w:w="0" w:type="dxa"/>
            <w:vAlign w:val="bottom"/>
          </w:tcPr>
          <w:p>
            <w:pPr>
              <w:spacing w:after="0"/>
              <w:rPr>
                <w:sz w:val="1"/>
                <w:szCs w:val="1"/>
                <w:color w:val="auto"/>
              </w:rPr>
            </w:pPr>
          </w:p>
        </w:tc>
      </w:tr>
      <w:tr>
        <w:trPr>
          <w:trHeight w:val="148"/>
        </w:trPr>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in net assets per share resulting from operations</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0.09</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0.41</w:t>
            </w:r>
          </w:p>
        </w:tc>
        <w:tc>
          <w:tcPr>
            <w:tcW w:w="3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0.16</w:t>
            </w:r>
          </w:p>
        </w:tc>
        <w:tc>
          <w:tcPr>
            <w:tcW w:w="3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00" w:lineRule="exact"/>
        <w:rPr>
          <w:sz w:val="20"/>
          <w:szCs w:val="20"/>
          <w:color w:val="auto"/>
        </w:rPr>
      </w:pPr>
    </w:p>
    <w:p>
      <w:pPr>
        <w:ind w:right="20" w:firstLine="562"/>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March 31, 2016 and September 30, 2015, cash and cash equivalents consisted of money market funds in the amounts of $13.4 million and $21.4 million at fair value, respectively.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FINANCIAL HIGHLIGHTS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gridSpan w:val="3"/>
          </w:tcPr>
          <w:p>
            <w:pPr>
              <w:ind w:left="560"/>
              <w:spacing w:after="0"/>
              <w:rPr>
                <w:sz w:val="20"/>
                <w:szCs w:val="20"/>
                <w:color w:val="auto"/>
              </w:rPr>
            </w:pPr>
            <w:r>
              <w:rPr>
                <w:rFonts w:ascii="Arial" w:cs="Arial" w:eastAsia="Arial" w:hAnsi="Arial"/>
                <w:sz w:val="14"/>
                <w:szCs w:val="14"/>
                <w:color w:val="auto"/>
              </w:rPr>
              <w:t>Below are the financial highlights:</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36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60" w:type="dxa"/>
            <w:vAlign w:val="bottom"/>
          </w:tcPr>
          <w:p>
            <w:pPr>
              <w:spacing w:after="0"/>
              <w:rPr>
                <w:sz w:val="11"/>
                <w:szCs w:val="11"/>
                <w:color w:val="auto"/>
              </w:rPr>
            </w:pPr>
          </w:p>
        </w:tc>
        <w:tc>
          <w:tcPr>
            <w:tcW w:w="52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62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13.95</w:t>
            </w:r>
          </w:p>
        </w:tc>
        <w:tc>
          <w:tcPr>
            <w:tcW w:w="4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14.40</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0.46</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0.67</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Net realized and unrealized loss </w:t>
            </w:r>
            <w:r>
              <w:rPr>
                <w:rFonts w:ascii="Arial" w:cs="Arial" w:eastAsia="Arial" w:hAnsi="Arial"/>
                <w:sz w:val="12"/>
                <w:szCs w:val="12"/>
                <w:color w:val="auto"/>
              </w:rPr>
              <w:t>(1)</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(0.30)</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360" w:type="dxa"/>
            <w:vAlign w:val="bottom"/>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(0.57)</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360" w:type="dxa"/>
            <w:vAlign w:val="bottom"/>
          </w:tcPr>
          <w:p>
            <w:pPr>
              <w:spacing w:after="0"/>
              <w:rPr>
                <w:sz w:val="14"/>
                <w:szCs w:val="14"/>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period</w:t>
            </w:r>
          </w:p>
        </w:tc>
        <w:tc>
          <w:tcPr>
            <w:tcW w:w="62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13.54</w:t>
            </w:r>
          </w:p>
        </w:tc>
        <w:tc>
          <w:tcPr>
            <w:tcW w:w="4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14.30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360" w:type="dxa"/>
            <w:vAlign w:val="bottom"/>
          </w:tcPr>
          <w:p>
            <w:pPr>
              <w:spacing w:after="0"/>
              <w:rPr>
                <w:sz w:val="12"/>
                <w:szCs w:val="12"/>
                <w:color w:val="auto"/>
              </w:rPr>
            </w:pPr>
          </w:p>
        </w:tc>
        <w:tc>
          <w:tcPr>
            <w:tcW w:w="5240" w:type="dxa"/>
            <w:vAlign w:val="bottom"/>
            <w:gridSpan w:val="2"/>
          </w:tcPr>
          <w:p>
            <w:pPr>
              <w:spacing w:after="0" w:line="143" w:lineRule="exact"/>
              <w:rPr>
                <w:sz w:val="20"/>
                <w:szCs w:val="20"/>
                <w:color w:val="auto"/>
              </w:rPr>
            </w:pPr>
            <w:r>
              <w:rPr>
                <w:rFonts w:ascii="Arial" w:cs="Arial" w:eastAsia="Arial" w:hAnsi="Arial"/>
                <w:sz w:val="14"/>
                <w:szCs w:val="14"/>
                <w:color w:val="auto"/>
              </w:rPr>
              <w:t>Per share market value, end of period</w:t>
            </w:r>
          </w:p>
        </w:tc>
        <w:tc>
          <w:tcPr>
            <w:tcW w:w="620" w:type="dxa"/>
            <w:vAlign w:val="bottom"/>
            <w:gridSpan w:val="2"/>
          </w:tcPr>
          <w:p>
            <w:pPr>
              <w:jc w:val="right"/>
              <w:ind w:right="129"/>
              <w:spacing w:after="0" w:line="143"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00"/>
              <w:spacing w:after="0" w:line="143" w:lineRule="exact"/>
              <w:rPr>
                <w:sz w:val="20"/>
                <w:szCs w:val="20"/>
                <w:color w:val="auto"/>
              </w:rPr>
            </w:pPr>
            <w:r>
              <w:rPr>
                <w:rFonts w:ascii="Arial" w:cs="Arial" w:eastAsia="Arial" w:hAnsi="Arial"/>
                <w:sz w:val="14"/>
                <w:szCs w:val="14"/>
                <w:color w:val="auto"/>
              </w:rPr>
              <w:t>11.70</w:t>
            </w:r>
          </w:p>
        </w:tc>
        <w:tc>
          <w:tcPr>
            <w:tcW w:w="420" w:type="dxa"/>
            <w:vAlign w:val="bottom"/>
            <w:gridSpan w:val="2"/>
          </w:tcPr>
          <w:p>
            <w:pPr>
              <w:jc w:val="right"/>
              <w:ind w:right="108"/>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14.03</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360" w:type="dxa"/>
            <w:vAlign w:val="bottom"/>
          </w:tcPr>
          <w:p>
            <w:pPr>
              <w:spacing w:after="0"/>
              <w:rPr>
                <w:sz w:val="12"/>
                <w:szCs w:val="12"/>
                <w:color w:val="auto"/>
              </w:rPr>
            </w:pPr>
          </w:p>
        </w:tc>
        <w:tc>
          <w:tcPr>
            <w:tcW w:w="52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2.93%</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26,730,074</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14,898,056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360" w:type="dxa"/>
            <w:vAlign w:val="bottom"/>
          </w:tcPr>
          <w:p>
            <w:pPr>
              <w:spacing w:after="0"/>
              <w:rPr>
                <w:sz w:val="12"/>
                <w:szCs w:val="12"/>
                <w:color w:val="auto"/>
              </w:rPr>
            </w:pPr>
          </w:p>
        </w:tc>
        <w:tc>
          <w:tcPr>
            <w:tcW w:w="52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Ratios** / Supplemental Data:</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2.61%</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Credit Facility related expenses to average net assets </w:t>
            </w:r>
            <w:r>
              <w:rPr>
                <w:rFonts w:ascii="Arial" w:cs="Arial" w:eastAsia="Arial" w:hAnsi="Arial"/>
                <w:sz w:val="12"/>
                <w:szCs w:val="12"/>
                <w:color w:val="auto"/>
              </w:rPr>
              <w:t>(5)</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1.37%</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24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60" w:type="dxa"/>
            <w:vAlign w:val="bottom"/>
          </w:tcPr>
          <w:p>
            <w:pPr>
              <w:spacing w:after="0"/>
              <w:rPr>
                <w:sz w:val="13"/>
                <w:szCs w:val="13"/>
                <w:color w:val="auto"/>
              </w:rPr>
            </w:pPr>
          </w:p>
        </w:tc>
        <w:tc>
          <w:tcPr>
            <w:tcW w:w="524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3.98%</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6.98%</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Net assets at end of period</w:t>
            </w:r>
          </w:p>
        </w:tc>
        <w:tc>
          <w:tcPr>
            <w:tcW w:w="62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361,837,362</w:t>
            </w:r>
          </w:p>
        </w:tc>
        <w:tc>
          <w:tcPr>
            <w:tcW w:w="4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212,970,958</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360" w:type="dxa"/>
            <w:vAlign w:val="bottom"/>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Weighted average debt outstanding</w:t>
            </w:r>
          </w:p>
        </w:tc>
        <w:tc>
          <w:tcPr>
            <w:tcW w:w="62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87,841,257</w:t>
            </w:r>
          </w:p>
        </w:tc>
        <w:tc>
          <w:tcPr>
            <w:tcW w:w="4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135,029,670</w:t>
            </w: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5240" w:type="dxa"/>
            <w:vAlign w:val="bottom"/>
            <w:gridSpan w:val="2"/>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380" w:type="dxa"/>
            <w:vAlign w:val="bottom"/>
          </w:tcPr>
          <w:p>
            <w:pPr>
              <w:spacing w:after="0"/>
              <w:rPr>
                <w:sz w:val="13"/>
                <w:szCs w:val="13"/>
                <w:color w:val="auto"/>
              </w:rPr>
            </w:pPr>
          </w:p>
        </w:tc>
        <w:tc>
          <w:tcPr>
            <w:tcW w:w="240" w:type="dxa"/>
            <w:vAlign w:val="bottom"/>
            <w:tcBorders>
              <w:top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3.29</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9.06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62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3,827</w:t>
            </w:r>
          </w:p>
        </w:tc>
        <w:tc>
          <w:tcPr>
            <w:tcW w:w="4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2,811</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Portfolio turnover ratio</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25.53%</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50.41%</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3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right="8260" w:firstLine="8"/>
        <w:spacing w:after="0" w:line="248" w:lineRule="auto"/>
        <w:tabs>
          <w:tab w:leader="none" w:pos="324" w:val="left"/>
        </w:tabs>
        <w:numPr>
          <w:ilvl w:val="0"/>
          <w:numId w:val="8"/>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ind w:left="440" w:hanging="432"/>
        <w:spacing w:after="0" w:line="221"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60" w:right="240" w:hanging="352"/>
        <w:spacing w:after="0" w:line="221" w:lineRule="auto"/>
        <w:tabs>
          <w:tab w:leader="none" w:pos="428" w:val="left"/>
        </w:tabs>
        <w:numPr>
          <w:ilvl w:val="0"/>
          <w:numId w:val="9"/>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440" w:hanging="432"/>
        <w:spacing w:after="0" w:line="221"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ind w:left="440" w:hanging="432"/>
        <w:spacing w:after="0" w:line="221"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4"/>
          <w:szCs w:val="14"/>
          <w:color w:val="auto"/>
        </w:rPr>
        <w:t>Excludes Credit Facility related costs.</w:t>
      </w:r>
    </w:p>
    <w:p>
      <w:pPr>
        <w:ind w:left="440" w:hanging="432"/>
        <w:spacing w:after="0" w:line="221"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4"/>
          <w:szCs w:val="14"/>
          <w:color w:val="auto"/>
        </w:rPr>
        <w:t>Credit Facility amendment costs, if any, are not annualized.</w:t>
      </w:r>
    </w:p>
    <w:p>
      <w:pPr>
        <w:ind w:left="360" w:hanging="352"/>
        <w:spacing w:after="0" w:line="271" w:lineRule="auto"/>
        <w:tabs>
          <w:tab w:leader="none" w:pos="428" w:val="left"/>
        </w:tabs>
        <w:numPr>
          <w:ilvl w:val="0"/>
          <w:numId w:val="9"/>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CREDIT FACILITY</w:t>
      </w:r>
    </w:p>
    <w:p>
      <w:pPr>
        <w:spacing w:after="0" w:line="100"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Funding I’s multi-currency Credit Facility with affiliates of SunTrust Bank, or the Lenders, was $350 million as of March 31, 2016, subject to satisfaction of certain conditions and regulatory restrictions that the 1940 Act imposes on us as a BDC, has an interest rate spread above LIBOR of 200 basis points, a maturity date of August 2020 and a revolving period that ends in August 2018. As of March 31, 2016 and September 30, 2015, Funding I had $128.0 million and $29.6 million of outstanding borrowings under the Credit Facility, respectively. The Credit Facility had a weighted average interest rate of 2.49% and 2.20%, excluding undrawn commitment fees, as of March 31, 2016 and September 30, 2015, respectively. The annualized weighted average cost of debt for the six months ended March 31, 2016 and 2015, inclusive of the fee on the undrawn commitment on the Credit Facility but excluding amendment costs, was 4.70% and 2.46%, respectively.</w:t>
      </w:r>
    </w:p>
    <w:p>
      <w:pPr>
        <w:spacing w:after="0" w:line="77" w:lineRule="exact"/>
        <w:rPr>
          <w:sz w:val="20"/>
          <w:szCs w:val="20"/>
          <w:color w:val="auto"/>
        </w:rPr>
      </w:pPr>
    </w:p>
    <w:p>
      <w:pPr>
        <w:ind w:right="100" w:firstLine="562"/>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60" w:lineRule="exact"/>
        <w:rPr>
          <w:sz w:val="20"/>
          <w:szCs w:val="20"/>
          <w:color w:val="auto"/>
        </w:rPr>
      </w:pPr>
    </w:p>
    <w:p>
      <w:pPr>
        <w:ind w:right="20" w:firstLine="562"/>
        <w:spacing w:after="0" w:line="255"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March 31, 2016, we were in compliance with the covenants relating to our Credit Facility.</w:t>
      </w:r>
    </w:p>
    <w:p>
      <w:pPr>
        <w:spacing w:after="0" w:line="67"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75"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20"/>
          </w:cols>
          <w:pgMar w:left="32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99"/>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00"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if any, are disclosed in the Consolidated Schedules of Investments. As of March 31, 2016 and September 30, 2015, we had $7.0 million and $4.8 million, respectively, in commitments to fund investments.</w:t>
      </w:r>
    </w:p>
    <w:p>
      <w:pPr>
        <w:spacing w:after="0" w:line="77"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Between May 6, 2015, and May 18, 2015, a number of putative class action lawsuits were filed by former stockholders of MCG challenging our acquisition of MCG in the Delaware Court of Chancery. The consolidated complaint alleged that MCG’s directors violated their fiduciary duties by, among other things, not protecting against their supposed conflicts of interest and failing to take steps to maximize the consideration to be received by MCG’s former stockholders in our acquisition of MCG. The consolidated complaint also alleged that the Company and the Investment Adviser aided and abetted the MCG directors’ purported breach of fiduciary duties. We believe that the consolidated complaint is without merit. Subsequent to September 30, 2015, the litigation in connection with our acquisition of MCG was dismissed.</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SUBSEQUENT EVENTS</w:t>
      </w:r>
    </w:p>
    <w:p>
      <w:pPr>
        <w:spacing w:after="0" w:line="100" w:lineRule="exact"/>
        <w:rPr>
          <w:sz w:val="20"/>
          <w:szCs w:val="20"/>
          <w:color w:val="auto"/>
        </w:rPr>
      </w:pPr>
    </w:p>
    <w:p>
      <w:pPr>
        <w:ind w:right="600" w:firstLine="562"/>
        <w:spacing w:after="0" w:line="253" w:lineRule="auto"/>
        <w:rPr>
          <w:sz w:val="20"/>
          <w:szCs w:val="20"/>
          <w:color w:val="auto"/>
        </w:rPr>
      </w:pPr>
      <w:r>
        <w:rPr>
          <w:rFonts w:ascii="Arial" w:cs="Arial" w:eastAsia="Arial" w:hAnsi="Arial"/>
          <w:sz w:val="14"/>
          <w:szCs w:val="14"/>
          <w:color w:val="auto"/>
        </w:rPr>
        <w:t>Subsequent to quarter-end, PennantPark Floating Rate Capital Ltd. made new investments of approximately $44.8 million, of which $43.6 million were funded. Of these new investments, 92% were in first lien senior secured loans and 8% were in second lien senior secured loans.</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160"/>
          </w:cols>
          <w:pgMar w:left="32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Subsidiaries:</w:t>
      </w:r>
    </w:p>
    <w:p>
      <w:pPr>
        <w:spacing w:after="0" w:line="84" w:lineRule="exact"/>
        <w:rPr>
          <w:sz w:val="20"/>
          <w:szCs w:val="20"/>
          <w:color w:val="auto"/>
        </w:rPr>
      </w:pPr>
    </w:p>
    <w:p>
      <w:pPr>
        <w:ind w:right="140" w:firstLine="562"/>
        <w:spacing w:after="0" w:line="233" w:lineRule="auto"/>
        <w:rPr>
          <w:sz w:val="20"/>
          <w:szCs w:val="20"/>
          <w:color w:val="auto"/>
        </w:rPr>
      </w:pPr>
      <w:r>
        <w:rPr>
          <w:rFonts w:ascii="Arial" w:cs="Arial" w:eastAsia="Arial" w:hAnsi="Arial"/>
          <w:sz w:val="14"/>
          <w:szCs w:val="14"/>
          <w:color w:val="auto"/>
        </w:rPr>
        <w:t>We have reviewed the accompanying consolidated statements of assets and liabilities of PennantPark Floating Rate Capital Ltd. and its Subsidiaries (collectively referred to as the “Company”), including the consolidated schedule of investments, as of March 31, 2016, the consolidated statements of operations for the three and six months ended March 31, 2016 and 2015, and the consolidated statements of changes in net assets and cash flows for the six months ended March 31, 2016 and 2015. These consolidated financial statements are the responsibility of the Company’s management.</w:t>
      </w:r>
    </w:p>
    <w:p>
      <w:pPr>
        <w:spacing w:after="0" w:line="77"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conducted our reviews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 Based on our reviews, we are not aware of any material modifications that should be made to the accompanying consolidated financial statements referred to above for them to be in conformity with U.S. generally accepted accounting principles.</w:t>
      </w:r>
    </w:p>
    <w:p>
      <w:pPr>
        <w:spacing w:after="0" w:line="76"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the consolidated statement of assets and liabilities of the Company, including the consolidated schedule of investments, as of September 30, 2015, and the related consolidated statements of operations, changes in net assets, and cash flows for the year then ended (not presented herein); and in our report dated November 12, 2015, we expressed an unqualified opinion on those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May 5, 2016</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08" w:lineRule="exact"/>
        <w:rPr>
          <w:sz w:val="20"/>
          <w:szCs w:val="20"/>
          <w:color w:val="auto"/>
        </w:rPr>
      </w:pPr>
    </w:p>
    <w:p>
      <w:pPr>
        <w:jc w:val="both"/>
        <w:ind w:right="80" w:firstLine="562"/>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212" w:lineRule="exact"/>
        <w:rPr>
          <w:sz w:val="20"/>
          <w:szCs w:val="20"/>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impact of fluctuations in interest rates on our business and our portfolio companies;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ability of the Investment Adviser to locate suitable investments for us and to monitor and administer our investments;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impact of European sovereign debt and other world economic issues.</w:t>
      </w:r>
    </w:p>
    <w:p>
      <w:pPr>
        <w:spacing w:after="0" w:line="96"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6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77" w:lineRule="exact"/>
        <w:rPr>
          <w:sz w:val="20"/>
          <w:szCs w:val="20"/>
          <w:color w:val="auto"/>
        </w:rPr>
      </w:pPr>
    </w:p>
    <w:p>
      <w:pPr>
        <w:ind w:right="220" w:firstLine="562"/>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77" w:lineRule="exact"/>
        <w:rPr>
          <w:sz w:val="20"/>
          <w:szCs w:val="20"/>
          <w:color w:val="auto"/>
        </w:rPr>
      </w:pPr>
    </w:p>
    <w:p>
      <w:pPr>
        <w:ind w:right="200" w:firstLine="562"/>
        <w:spacing w:after="0" w:line="290" w:lineRule="auto"/>
        <w:rPr>
          <w:sz w:val="20"/>
          <w:szCs w:val="20"/>
          <w:color w:val="auto"/>
        </w:rPr>
      </w:pPr>
      <w:r>
        <w:rPr>
          <w:rFonts w:ascii="Arial" w:cs="Arial" w:eastAsia="Arial" w:hAnsi="Arial"/>
          <w:sz w:val="13"/>
          <w:szCs w:val="13"/>
          <w:color w:val="auto"/>
        </w:rPr>
        <w:t>You should understand that under Section 27A(b)(2)(B) of the Securities Act and Section 21E(b)(2)(B) of the Securities Exchange Act of 1934, as amended, or the Exchange Act, the “safe harbor” provisions of the Private Securities Litigation Reform Act of 1995 do not apply to forward-looking statements made in periodic reports we file under the Exchange Act.</w:t>
      </w:r>
    </w:p>
    <w:p>
      <w:pPr>
        <w:spacing w:after="0" w:line="44" w:lineRule="exact"/>
        <w:rPr>
          <w:sz w:val="20"/>
          <w:szCs w:val="20"/>
          <w:color w:val="auto"/>
        </w:rPr>
      </w:pPr>
    </w:p>
    <w:p>
      <w:pPr>
        <w:ind w:right="460" w:firstLine="562"/>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6" w:lineRule="exact"/>
        <w:rPr>
          <w:sz w:val="20"/>
          <w:szCs w:val="20"/>
          <w:color w:val="auto"/>
        </w:rPr>
      </w:pPr>
    </w:p>
    <w:p>
      <w:pPr>
        <w:ind w:right="380" w:firstLine="562"/>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companies.</w:t>
      </w:r>
    </w:p>
    <w:p>
      <w:pPr>
        <w:spacing w:after="0" w:line="66"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We seek to create a diversified portfolio by generally targeting an investment size between $2 million and $15 million, on average, although we expect that this investment size will vary proportionately with the size of our capital base.</w:t>
      </w:r>
    </w:p>
    <w:p>
      <w:pPr>
        <w:spacing w:after="0" w:line="7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96" w:lineRule="exact"/>
        <w:rPr>
          <w:sz w:val="20"/>
          <w:szCs w:val="20"/>
          <w:color w:val="auto"/>
        </w:rPr>
      </w:pPr>
    </w:p>
    <w:p>
      <w:pPr>
        <w:ind w:right="20" w:firstLine="562"/>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44"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77"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On August 18, 2015, we completed the acquisition of MCG pursuant to the Merger Agreement. As a result of the transactions contemplated by the Merger Agreement, MCG was merged with and into PFLT Panama, LLC with MCG as the surviving corporation, following which MCG was merged with and into PFLT Funding II, LLC with PFLT Funding II, LLC as the surviving company. In accordance with the terms of the Merger Agreement, each outstanding share of MCG common stock (including shares of restricted stock) was converted into the right to receive (i) 0.32044 shares of our common stock (with MCG stockholders receiving cash in lieu of fractional shares of our common stock), and (ii) $0.30595 per share in cash. As a result of the transactions contemplated by the Merger Agreement, we issued an aggregate of approximately 11.8 million shares of our common stock to former MCG stockholders, and our Investment Adviser made an aggregate cash payment of approximately $11.3 million to former MCG stockholders.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96" w:lineRule="exact"/>
        <w:rPr>
          <w:sz w:val="20"/>
          <w:szCs w:val="20"/>
          <w:color w:val="auto"/>
        </w:rPr>
      </w:pPr>
    </w:p>
    <w:p>
      <w:pPr>
        <w:ind w:right="120" w:firstLine="562"/>
        <w:spacing w:after="0" w:line="247"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senior secured debt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or expense, as applicable, using the effective interest method as interest income. We record prepayment penalties on loans and debt securities as income. Dividend income, if any, is recognized on an accrual basis on the ex-dividend date to the extent that we expect to collect such amounts.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Credit Facility. We bear all other direct or indirect costs and expenses of our operations and transactions, including:</w:t>
      </w:r>
    </w:p>
    <w:p>
      <w:pPr>
        <w:spacing w:after="0" w:line="212" w:lineRule="exact"/>
        <w:rPr>
          <w:sz w:val="20"/>
          <w:szCs w:val="20"/>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09" w:lineRule="exact"/>
        <w:rPr>
          <w:rFonts w:ascii="Arial" w:cs="Arial" w:eastAsia="Arial" w:hAnsi="Arial"/>
          <w:sz w:val="14"/>
          <w:szCs w:val="14"/>
          <w:color w:val="auto"/>
        </w:rPr>
      </w:pPr>
    </w:p>
    <w:p>
      <w:pPr>
        <w:ind w:left="1340" w:right="380" w:hanging="779"/>
        <w:spacing w:after="0" w:line="253" w:lineRule="auto"/>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7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federal and state registration fees and any stock exchange listing fees;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federal, state and local taxes;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340" w:hanging="779"/>
        <w:spacing w:after="0"/>
        <w:tabs>
          <w:tab w:leader="none" w:pos="1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109" w:lineRule="exact"/>
        <w:rPr>
          <w:rFonts w:ascii="Arial" w:cs="Arial" w:eastAsia="Arial" w:hAnsi="Arial"/>
          <w:sz w:val="14"/>
          <w:szCs w:val="14"/>
          <w:color w:val="auto"/>
        </w:rPr>
      </w:pPr>
    </w:p>
    <w:p>
      <w:pPr>
        <w:ind w:left="1340" w:right="60" w:hanging="779"/>
        <w:spacing w:after="0" w:line="233" w:lineRule="auto"/>
        <w:tabs>
          <w:tab w:leader="none" w:pos="1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77" w:lineRule="exact"/>
        <w:rPr>
          <w:sz w:val="20"/>
          <w:szCs w:val="20"/>
          <w:color w:val="auto"/>
        </w:rPr>
      </w:pPr>
    </w:p>
    <w:p>
      <w:pPr>
        <w:ind w:right="380" w:firstLine="562"/>
        <w:spacing w:after="0" w:line="290" w:lineRule="auto"/>
        <w:rPr>
          <w:sz w:val="20"/>
          <w:szCs w:val="20"/>
          <w:color w:val="auto"/>
        </w:rPr>
      </w:pPr>
      <w:r>
        <w:rPr>
          <w:rFonts w:ascii="Arial" w:cs="Arial" w:eastAsia="Arial" w:hAnsi="Arial"/>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00" w:lineRule="exact"/>
        <w:rPr>
          <w:sz w:val="20"/>
          <w:szCs w:val="20"/>
          <w:color w:val="auto"/>
        </w:rPr>
      </w:pPr>
    </w:p>
    <w:p>
      <w:pPr>
        <w:ind w:right="80" w:firstLine="562"/>
        <w:spacing w:after="0" w:line="251" w:lineRule="auto"/>
        <w:rPr>
          <w:sz w:val="20"/>
          <w:szCs w:val="20"/>
          <w:color w:val="auto"/>
        </w:rPr>
      </w:pPr>
      <w:r>
        <w:rPr>
          <w:rFonts w:ascii="Arial" w:cs="Arial" w:eastAsia="Arial" w:hAnsi="Arial"/>
          <w:sz w:val="13"/>
          <w:szCs w:val="13"/>
          <w:color w:val="auto"/>
        </w:rPr>
        <w:t>As of March 31, 2016, our portfolio totaled $483.3 million and consisted of $426.0 million of senior secured debt, $48.1 million of second lien secured debt and $9.2 million of subordinated debt, preferred and common equity. Our debt portfolio consisted of 99% variable-rate investments (including 93% with a LIBOR or prime floor) and 1% fixed-rate investments. As of March 31, 2016, we had one company on non-accrual, representing 1.3% and 1.1% of our overall portfolio on a cost and fair value basis, respectively. Overall, the portfolio had net unrealized depreciation of $12.2 million as of March 31, 2016. Our overall portfolio consisted of 86 companies with an average investment size of $5.6 million, had a weighted average yield on debt investments of 8.1%, and was invested 88% in senior secured debt, 10% in second lien secured debt and 2% in subordinated debt, preferred and common equity.</w:t>
      </w:r>
    </w:p>
    <w:p>
      <w:pPr>
        <w:spacing w:after="0" w:line="69" w:lineRule="exact"/>
        <w:rPr>
          <w:sz w:val="20"/>
          <w:szCs w:val="20"/>
          <w:color w:val="auto"/>
        </w:rPr>
      </w:pPr>
    </w:p>
    <w:p>
      <w:pPr>
        <w:ind w:right="100" w:firstLine="562"/>
        <w:spacing w:after="0" w:line="251" w:lineRule="auto"/>
        <w:rPr>
          <w:sz w:val="20"/>
          <w:szCs w:val="20"/>
          <w:color w:val="auto"/>
        </w:rPr>
      </w:pPr>
      <w:r>
        <w:rPr>
          <w:rFonts w:ascii="Arial" w:cs="Arial" w:eastAsia="Arial" w:hAnsi="Arial"/>
          <w:sz w:val="13"/>
          <w:szCs w:val="13"/>
          <w:color w:val="auto"/>
        </w:rPr>
        <w:t>As of September 30, 2015, our portfolio totaled $391.3 million and consisted of $335.0 million of senior secured debt, $47.9 million of second lien secured debt and $8.4 million of subordinated debt, preferred and common equity. Our debt portfolio consisted of 97% variable-rate investments (including 92% with a LIBOR or prime floor) and 3% fixed-rate investments. As of September 30, 2015, we had one company on non-accrual, representing 1.6% and 0.9% of our overall portfolio on a cost and fair value basis, respectively. Overall, the portfolio had net unrealized depreciation of $6.0 million as of September 30, 2015. Our overall portfolio consisted of 76 companies with an average investment size of $5.1 million, had a weighted average yield on debt investments of 7.9%, and was invested 86% in senior secured debt, 12% in second lien secured debt and 2% in subordinated debt, preferred and common equity.</w:t>
      </w:r>
    </w:p>
    <w:p>
      <w:pPr>
        <w:spacing w:after="0" w:line="69" w:lineRule="exact"/>
        <w:rPr>
          <w:sz w:val="20"/>
          <w:szCs w:val="20"/>
          <w:color w:val="auto"/>
        </w:rPr>
      </w:pPr>
    </w:p>
    <w:p>
      <w:pPr>
        <w:jc w:val="both"/>
        <w:ind w:right="200" w:firstLine="562"/>
        <w:spacing w:after="0" w:line="264" w:lineRule="auto"/>
        <w:rPr>
          <w:sz w:val="20"/>
          <w:szCs w:val="20"/>
          <w:color w:val="auto"/>
        </w:rPr>
      </w:pPr>
      <w:r>
        <w:rPr>
          <w:rFonts w:ascii="Arial" w:cs="Arial" w:eastAsia="Arial" w:hAnsi="Arial"/>
          <w:sz w:val="13"/>
          <w:szCs w:val="13"/>
          <w:color w:val="auto"/>
        </w:rPr>
        <w:t>For the three months ended March 31, 2016, we invested $57.3 million in five new and five existing portfolio companies with a weighted average yield on debt investments of 8.7%. Sales and repayments of investments for the three months ended March 31, 2016 totaled $29.9 million. For the six months ended March 31, 2016, we invested $156.5 million in 15 new and 10 existing portfolio companies with a weighted average yield on debt investments of 8.6%. Sales and repayments of investments for the six months ended March 31, 2016 totaled $56.8 million.</w:t>
      </w:r>
    </w:p>
    <w:p>
      <w:pPr>
        <w:spacing w:after="0" w:line="60" w:lineRule="exact"/>
        <w:rPr>
          <w:sz w:val="20"/>
          <w:szCs w:val="20"/>
          <w:color w:val="auto"/>
        </w:rPr>
      </w:pPr>
    </w:p>
    <w:p>
      <w:pPr>
        <w:jc w:val="both"/>
        <w:ind w:right="260" w:firstLine="562"/>
        <w:spacing w:after="0" w:line="264" w:lineRule="auto"/>
        <w:rPr>
          <w:sz w:val="20"/>
          <w:szCs w:val="20"/>
          <w:color w:val="auto"/>
        </w:rPr>
      </w:pPr>
      <w:r>
        <w:rPr>
          <w:rFonts w:ascii="Arial" w:cs="Arial" w:eastAsia="Arial" w:hAnsi="Arial"/>
          <w:sz w:val="13"/>
          <w:szCs w:val="13"/>
          <w:color w:val="auto"/>
        </w:rPr>
        <w:t>For the three months ended March 31, 2015, we invested $38.4 million in six new and nine existing portfolio companies with a weighted average yield on debt investments of 7.1%. Sales and repayments of investments for the three months ended March 31, 2015 totaled $48.0 million. For the six months ended March 31, 2015, we invested $85.4 million in 14 new and 14 existing portfolio companies with a weighted average yield on debt investments of 8.0%. Sales and repayments of investments for the six months ended March 31, 2015 totaled $92.9 million.</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00"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71" w:lineRule="exact"/>
        <w:rPr>
          <w:sz w:val="20"/>
          <w:szCs w:val="20"/>
          <w:color w:val="auto"/>
        </w:rPr>
      </w:pPr>
    </w:p>
    <w:p>
      <w:pPr>
        <w:ind w:right="120" w:firstLine="562"/>
        <w:spacing w:after="0" w:line="290" w:lineRule="auto"/>
        <w:rPr>
          <w:sz w:val="20"/>
          <w:szCs w:val="20"/>
          <w:color w:val="auto"/>
        </w:rPr>
      </w:pPr>
      <w:r>
        <w:rPr>
          <w:rFonts w:ascii="Arial" w:cs="Arial" w:eastAsia="Arial" w:hAnsi="Arial"/>
          <w:sz w:val="13"/>
          <w:szCs w:val="13"/>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880" w:right="60" w:hanging="319"/>
        <w:spacing w:after="0" w:line="253"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880" w:hanging="319"/>
        <w:spacing w:after="0"/>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ind w:left="880" w:right="100" w:hanging="319"/>
        <w:spacing w:after="0" w:line="264" w:lineRule="auto"/>
        <w:tabs>
          <w:tab w:leader="none" w:pos="8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880" w:right="340" w:hanging="319"/>
        <w:spacing w:after="0" w:line="238"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880" w:right="120" w:hanging="319"/>
        <w:spacing w:after="0" w:line="253"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firstLine="562"/>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67"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800"/>
        <w:spacing w:after="0"/>
        <w:tabs>
          <w:tab w:leader="none" w:pos="15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80" w:right="60" w:hanging="782"/>
        <w:spacing w:after="0" w:line="290" w:lineRule="auto"/>
        <w:tabs>
          <w:tab w:leader="none" w:pos="15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44" w:lineRule="exact"/>
        <w:rPr>
          <w:sz w:val="20"/>
          <w:szCs w:val="20"/>
          <w:color w:val="auto"/>
        </w:rPr>
      </w:pPr>
    </w:p>
    <w:p>
      <w:pPr>
        <w:ind w:left="800"/>
        <w:spacing w:after="0"/>
        <w:tabs>
          <w:tab w:leader="none" w:pos="15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96" w:lineRule="exact"/>
        <w:rPr>
          <w:sz w:val="20"/>
          <w:szCs w:val="20"/>
          <w:color w:val="auto"/>
        </w:rPr>
      </w:pPr>
    </w:p>
    <w:p>
      <w:pPr>
        <w:jc w:val="both"/>
        <w:ind w:right="260" w:firstLine="562"/>
        <w:spacing w:after="0" w:line="26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60" w:lineRule="exact"/>
        <w:rPr>
          <w:sz w:val="20"/>
          <w:szCs w:val="20"/>
          <w:color w:val="auto"/>
        </w:rPr>
      </w:pPr>
    </w:p>
    <w:p>
      <w:pPr>
        <w:ind w:right="400" w:firstLine="562"/>
        <w:spacing w:after="0" w:line="290" w:lineRule="auto"/>
        <w:rPr>
          <w:sz w:val="20"/>
          <w:szCs w:val="20"/>
          <w:color w:val="auto"/>
        </w:rPr>
      </w:pPr>
      <w:r>
        <w:rPr>
          <w:rFonts w:ascii="Arial" w:cs="Arial" w:eastAsia="Arial" w:hAnsi="Arial"/>
          <w:sz w:val="13"/>
          <w:szCs w:val="13"/>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44" w:lineRule="exact"/>
        <w:rPr>
          <w:sz w:val="20"/>
          <w:szCs w:val="20"/>
          <w:color w:val="auto"/>
        </w:rPr>
      </w:pPr>
    </w:p>
    <w:p>
      <w:pPr>
        <w:ind w:right="20" w:firstLine="562"/>
        <w:spacing w:after="0" w:line="243" w:lineRule="auto"/>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had expenses of zero and $0.9 million, respectively, relating to amendment fees on the Credit Facility during the three and six months ended March 31, 2016. For the same periods in the prior year, we incurred no expenses relating to amendment fees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three and six months ended March 31, 2016, our Credit Facility had a net change in unrealized (appreciation) depreciation of $(0.4) million and $0.2 million, respectively. For each of the three and six months ended March 31, 2015, our Credit Facility had a net change in unrealized appreciation of $0.2 million and $0.3 million, respectively. As of March 31, 2016 and September 30, 2015, the net unrealized depreciation on our Credit Facility totaled $0.2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96" w:lineRule="exact"/>
        <w:rPr>
          <w:sz w:val="20"/>
          <w:szCs w:val="20"/>
          <w:color w:val="auto"/>
        </w:rPr>
      </w:pPr>
    </w:p>
    <w:p>
      <w:pPr>
        <w:ind w:right="420" w:firstLine="562"/>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96" w:lineRule="exact"/>
        <w:rPr>
          <w:sz w:val="20"/>
          <w:szCs w:val="20"/>
          <w:color w:val="auto"/>
        </w:rPr>
      </w:pPr>
    </w:p>
    <w:p>
      <w:pPr>
        <w:ind w:left="480" w:hanging="135"/>
        <w:spacing w:after="0"/>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95" w:lineRule="exact"/>
        <w:rPr>
          <w:rFonts w:ascii="Arial" w:cs="Arial" w:eastAsia="Arial" w:hAnsi="Arial"/>
          <w:sz w:val="14"/>
          <w:szCs w:val="14"/>
          <w:color w:val="auto"/>
        </w:rPr>
      </w:pPr>
    </w:p>
    <w:p>
      <w:pPr>
        <w:ind w:left="480" w:hanging="135"/>
        <w:spacing w:after="0"/>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96" w:lineRule="exact"/>
        <w:rPr>
          <w:sz w:val="20"/>
          <w:szCs w:val="20"/>
          <w:color w:val="auto"/>
        </w:rPr>
      </w:pPr>
    </w:p>
    <w:p>
      <w:pPr>
        <w:ind w:right="160" w:firstLine="562"/>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have not collected any cash with respect to interest on PIK securities.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96" w:lineRule="exact"/>
        <w:rPr>
          <w:sz w:val="20"/>
          <w:szCs w:val="20"/>
          <w:color w:val="auto"/>
        </w:rPr>
      </w:pPr>
    </w:p>
    <w:p>
      <w:pPr>
        <w:ind w:right="20" w:firstLine="562"/>
        <w:spacing w:after="0" w:line="226" w:lineRule="auto"/>
        <w:rPr>
          <w:sz w:val="20"/>
          <w:szCs w:val="20"/>
          <w:color w:val="auto"/>
        </w:rPr>
      </w:pPr>
      <w:r>
        <w:rPr>
          <w:rFonts w:ascii="Arial" w:cs="Arial" w:eastAsia="Arial" w:hAnsi="Arial"/>
          <w:sz w:val="14"/>
          <w:szCs w:val="14"/>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dividends to our stockholders of an amount generally at least equal to 90% of the sum of our net ordinary income and realized net short-term capital gains in excess of realized net long-term capital losses, or investment company taxable income, out of the assets legally available for distribution. Although not required for us to maintain our RIC tax status, in order to preclude the imposition of a 4% nondeductible federal excise tax imposed on RICs, we must distribute dividends to our stockholders in respect of each calendar year of an amount generally at least equal to the sum of (1) 98% of our net ordinary income for the calendar year, (2) 98.2% of the sum of our capital gain net income (i.e., the excess, if any, of capital gains over capital losses) for the one-year period ending on October 31 of the calendar year plus (3) the sum of any net ordinary income plus net capital gain income for preceding years that was not distributed during such years and on which we paid no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subject to tax as a RIC, to provide us with additional liquidity.</w:t>
      </w:r>
    </w:p>
    <w:p>
      <w:pPr>
        <w:spacing w:after="0" w:line="77" w:lineRule="exact"/>
        <w:rPr>
          <w:sz w:val="20"/>
          <w:szCs w:val="20"/>
          <w:color w:val="auto"/>
        </w:rPr>
      </w:pPr>
    </w:p>
    <w:p>
      <w:pPr>
        <w:jc w:val="both"/>
        <w:ind w:right="80" w:firstLine="562"/>
        <w:spacing w:after="0" w:line="238"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net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Set forth below are the results of operations for the three and six months ended March 31, 2016 and 2015.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96" w:lineRule="exact"/>
        <w:rPr>
          <w:sz w:val="20"/>
          <w:szCs w:val="20"/>
          <w:color w:val="auto"/>
        </w:rPr>
      </w:pPr>
    </w:p>
    <w:p>
      <w:pPr>
        <w:ind w:right="40" w:firstLine="562"/>
        <w:spacing w:after="0" w:line="255" w:lineRule="auto"/>
        <w:rPr>
          <w:sz w:val="20"/>
          <w:szCs w:val="20"/>
          <w:color w:val="auto"/>
        </w:rPr>
      </w:pPr>
      <w:r>
        <w:rPr>
          <w:rFonts w:ascii="Arial" w:cs="Arial" w:eastAsia="Arial" w:hAnsi="Arial"/>
          <w:sz w:val="13"/>
          <w:szCs w:val="13"/>
          <w:color w:val="auto"/>
        </w:rPr>
        <w:t>Investment income for the three and six months ended March 31, 2016 was $11.3 million and $20.1 million, respectively, and was attributable to $9.7 million and $17.0 million from senior secured loans and $1.6 million and $3.1 million from second lien secured debt and subordinated debt. This compares to investment income for the three and six months ended March 31, 2015, which was $8.0 million and $15.5 million, respectively, and was attributable to $6.2 million and $12.0 million from senior secured loans and $1.8 million and $3.5 million from second lien secured debt and subordinated debt. The increase in investment income compared to the same periods over the prior year was primarily due to the growth of our portfolio at cost.</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firstLine="562"/>
        <w:spacing w:after="0" w:line="227" w:lineRule="auto"/>
        <w:rPr>
          <w:sz w:val="20"/>
          <w:szCs w:val="20"/>
          <w:color w:val="auto"/>
        </w:rPr>
      </w:pPr>
      <w:r>
        <w:rPr>
          <w:rFonts w:ascii="Arial" w:cs="Arial" w:eastAsia="Arial" w:hAnsi="Arial"/>
          <w:sz w:val="14"/>
          <w:szCs w:val="14"/>
          <w:color w:val="auto"/>
        </w:rPr>
        <w:t>Expenses for the three and six months ended March 31, 2016 totaled $4.1 million and $7.8 million, respectively. Base management fee for the same periods totaled $1.2 million and $2.3 million, incentive fee totaled $0.8 million and $0.8 million, Credit Facility expenses totaled $1.1 million and $3.0 million (including $0.9 million of amendment expenses) and general and administrative expenses totaled $1.0 million and $1.7 million, respectively. This compares to expenses for the three and six months ended March 31, 2015, which totaled $3.5 million and $5.5 million, respectively. Base management fee for the same periods totaled $0.9 million and $1.7 million, incentive fee totaled $1.3 million (including zero on net realized gains and $0.3 million on net unrealized gains accrued but not payable) and $1.0 million (including $(0.4) million on net realized gains and $(0.3) million on net unrealized gains accrued but not payable), Credit Facility expenses totaled $0.8 million and $1.7 million, general and administrative expenses totaled $0.4 million and $0.9 million and excise taxes were $0.1 million and $0.2 million, respectively. The increase in expenses compared with the same periods in the prior year was primarily due to Credit Facility amendment expenses and base management fee as a result from the growth of our portfolio.</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96" w:lineRule="exact"/>
        <w:rPr>
          <w:sz w:val="20"/>
          <w:szCs w:val="20"/>
          <w:color w:val="auto"/>
        </w:rPr>
      </w:pPr>
    </w:p>
    <w:p>
      <w:pPr>
        <w:ind w:right="20" w:firstLine="562"/>
        <w:spacing w:after="0" w:line="264" w:lineRule="auto"/>
        <w:rPr>
          <w:sz w:val="20"/>
          <w:szCs w:val="20"/>
          <w:color w:val="auto"/>
        </w:rPr>
      </w:pPr>
      <w:r>
        <w:rPr>
          <w:rFonts w:ascii="Arial" w:cs="Arial" w:eastAsia="Arial" w:hAnsi="Arial"/>
          <w:sz w:val="13"/>
          <w:szCs w:val="13"/>
          <w:color w:val="auto"/>
        </w:rPr>
        <w:t>Net investment income totaled $7.3 million and $12.4 million, or $0.27 and $0.46 per share, for the three and six months ended March 31, 2016, respectively. Net investment income totaled $4.5 million and $9.9 million, or $0.30 and $0.67 per share, for the three and six months ended March 31, 2015, respectively. The decrease in net investment income per share compared to the same periods in the prior year was primarily due to the issuance of new shares in connection with our acquisition of MCG in August 2015.</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96"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Sales and repayments of investments for the three and six months ended March 31, 2016 totaled $29.9 million and $56.8 million and net realized gains (losses) totaled $1.1 million and $(2.2) million, respectively. Sales and repayments of investments totaled $48.0 million and $92.9 million and realized gains totaled $0.6 million and $0.4 million for the three and six months ended March 31, 2015, respectively. The change in realized gains (losses) compared with the same periods in the prior year was primarily due to the changes in market conditions of our investments and the values at which they were realized.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Credit Facility</w:t>
      </w:r>
    </w:p>
    <w:p>
      <w:pPr>
        <w:spacing w:after="0" w:line="96"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For the three and six months ended March 31, 2016, we reported a net change in unrealized depreciation on investments of $5.5 million and $6.2 million, respectively. For the three and six months ended March 31, 2015, we reported a net change in unrealized appreciation (depreciation) on investments of $0.9 million and $(4.0) million, respectively. As of March 31, 2016 and September 30, 2015, our net unrealized depreciation on investments totaled $12.2 million and $6.0 million, respectively. The net change in unrealized depreciation on our investments was driven primarily by changes in the capital market conditions, financial performance of certain portfolio companies, and the reversal of unrealized depreciation (appreciation) of investments sold.</w:t>
      </w:r>
    </w:p>
    <w:p>
      <w:pPr>
        <w:spacing w:after="0" w:line="67"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For the three and six months ended March 31, 2016, our Credit Facility had a net change in unrealized (appreciation) depreciation of $(0.4) million and $0.2 million, respectively. For the three and six months ended March 31, 2015, our Credit Facility had a net change in unrealized appreciation of $0.2 million and $0.3 million, respectively. As of March 31, 2016 and September 30, 2015, net unrealized depreciation on our Credit Facility totaled $0.2 million and zero, respectively. The change in net unrealized depreciation compared to the same periods in the prior year was primarily due to changes in the capital markets.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96" w:lineRule="exact"/>
        <w:rPr>
          <w:sz w:val="20"/>
          <w:szCs w:val="20"/>
          <w:color w:val="auto"/>
        </w:rPr>
      </w:pPr>
    </w:p>
    <w:p>
      <w:pPr>
        <w:jc w:val="both"/>
        <w:ind w:right="180" w:firstLine="562"/>
        <w:spacing w:after="0" w:line="233" w:lineRule="auto"/>
        <w:rPr>
          <w:sz w:val="20"/>
          <w:szCs w:val="20"/>
          <w:color w:val="auto"/>
        </w:rPr>
      </w:pPr>
      <w:r>
        <w:rPr>
          <w:rFonts w:ascii="Arial" w:cs="Arial" w:eastAsia="Arial" w:hAnsi="Arial"/>
          <w:sz w:val="14"/>
          <w:szCs w:val="14"/>
          <w:color w:val="auto"/>
        </w:rPr>
        <w:t>Net change in net assets resulting from operations totaled $2.4 million and $4.2 million, or $0.9 and $0.16 per share, respectively, for the three and six months ended March 31, 2016. This compares to a net change in net assets resulting from operations which totaled $6.1 million and $6.6 million, or $0.41 and $0.44 per share, respectively, for the three and six months ended March 31, 2015. The decrease in the change in net assets from operations compared to the same periods in the prior year was primarily due to changes in portfolio investment values during the reporting periods.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00"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75" w:lineRule="exact"/>
        <w:rPr>
          <w:sz w:val="20"/>
          <w:szCs w:val="20"/>
          <w:color w:val="auto"/>
        </w:rPr>
      </w:pPr>
    </w:p>
    <w:p>
      <w:pPr>
        <w:ind w:firstLine="562"/>
        <w:spacing w:after="0" w:line="248" w:lineRule="auto"/>
        <w:rPr>
          <w:sz w:val="20"/>
          <w:szCs w:val="20"/>
          <w:color w:val="auto"/>
        </w:rPr>
      </w:pPr>
      <w:r>
        <w:rPr>
          <w:rFonts w:ascii="Arial" w:cs="Arial" w:eastAsia="Arial" w:hAnsi="Arial"/>
          <w:sz w:val="13"/>
          <w:szCs w:val="13"/>
          <w:color w:val="auto"/>
        </w:rPr>
        <w:t>Funding I’s multi-currency Credit Facility with the Lenders was $350 million as of March 31, 2016, subject to satisfaction of certain conditions and regulatory restrictions that the 1940 Act imposes on us as a BDC, has an interest rate spread above LIBOR of 200 basis points, a maturity date of August 2020 and a revolving period that ends in August 2018. As of March 31, 2016 and September 30, 2015, Funding I had $128.0 million and $29.6 million of outstanding borrowings under the Credit Facility, respectively. The Credit Facility had a weighted average interest rate of 2.49% and 2.20%, excluding undrawn commitment fees, as of March 31, 2016 and September 30, 2015, respectively. The annualized weighted average cost of debt for the six months ended March 31, 2016 and 2015, inclusive of the fee on the undrawn commitment on the Credit Facility but excluding amendment costs, was 4.70% and 2.46%, respectively. As of March 31, 2016 and September 30, 2015, we had $222.0 million and $260.4 million of unused borrowing capacity under our Credit Facility, respectively, subject to regulatory restrictions.</w:t>
      </w:r>
    </w:p>
    <w:p>
      <w:pPr>
        <w:spacing w:after="0" w:line="72" w:lineRule="exact"/>
        <w:rPr>
          <w:sz w:val="20"/>
          <w:szCs w:val="20"/>
          <w:color w:val="auto"/>
        </w:rPr>
      </w:pPr>
    </w:p>
    <w:p>
      <w:pPr>
        <w:ind w:right="120" w:firstLine="562"/>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60"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March 31, 2016, we were in compliance with the covenants relating to our Credit Facility.</w:t>
      </w:r>
    </w:p>
    <w:p>
      <w:pPr>
        <w:spacing w:after="0" w:line="76" w:lineRule="exact"/>
        <w:rPr>
          <w:sz w:val="20"/>
          <w:szCs w:val="20"/>
          <w:color w:val="auto"/>
        </w:rPr>
      </w:pPr>
    </w:p>
    <w:p>
      <w:pPr>
        <w:jc w:val="both"/>
        <w:ind w:right="80" w:firstLine="562"/>
        <w:spacing w:after="0" w:line="238"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75"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76" w:lineRule="exact"/>
        <w:rPr>
          <w:sz w:val="20"/>
          <w:szCs w:val="20"/>
          <w:color w:val="auto"/>
        </w:rPr>
      </w:pPr>
    </w:p>
    <w:p>
      <w:pPr>
        <w:ind w:right="60" w:firstLine="562"/>
        <w:spacing w:after="0" w:line="264" w:lineRule="auto"/>
        <w:rPr>
          <w:sz w:val="20"/>
          <w:szCs w:val="20"/>
          <w:color w:val="auto"/>
        </w:rPr>
      </w:pPr>
      <w:r>
        <w:rPr>
          <w:rFonts w:ascii="Arial" w:cs="Arial" w:eastAsia="Arial" w:hAnsi="Arial"/>
          <w:sz w:val="13"/>
          <w:szCs w:val="13"/>
          <w:color w:val="auto"/>
        </w:rPr>
        <w:t>We may raise equity or debt capital through both registered offerings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60" w:lineRule="exact"/>
        <w:rPr>
          <w:sz w:val="20"/>
          <w:szCs w:val="20"/>
          <w:color w:val="auto"/>
        </w:rPr>
      </w:pPr>
    </w:p>
    <w:p>
      <w:pPr>
        <w:ind w:right="540" w:firstLine="562"/>
        <w:spacing w:after="0" w:line="253" w:lineRule="auto"/>
        <w:rPr>
          <w:sz w:val="20"/>
          <w:szCs w:val="20"/>
          <w:color w:val="auto"/>
        </w:rPr>
      </w:pPr>
      <w:r>
        <w:rPr>
          <w:rFonts w:ascii="Arial" w:cs="Arial" w:eastAsia="Arial" w:hAnsi="Arial"/>
          <w:sz w:val="14"/>
          <w:szCs w:val="14"/>
          <w:color w:val="auto"/>
        </w:rPr>
        <w:t>On March 31, 2016 and September 30, 2015, we had cash and cash equivalents at fair value of $13.4 million and $21.4 million, respectively, available for investing and general corporate purposes. We believe our liquidity and capital resources are sufficient to take advantage of market opportunities.</w:t>
      </w:r>
    </w:p>
    <w:p>
      <w:pPr>
        <w:spacing w:after="0" w:line="66" w:lineRule="exact"/>
        <w:rPr>
          <w:sz w:val="20"/>
          <w:szCs w:val="20"/>
          <w:color w:val="auto"/>
        </w:rPr>
      </w:pPr>
    </w:p>
    <w:p>
      <w:pPr>
        <w:ind w:right="460" w:firstLine="562"/>
        <w:spacing w:after="0" w:line="290" w:lineRule="auto"/>
        <w:rPr>
          <w:sz w:val="20"/>
          <w:szCs w:val="20"/>
          <w:color w:val="auto"/>
        </w:rPr>
      </w:pPr>
      <w:r>
        <w:rPr>
          <w:rFonts w:ascii="Arial" w:cs="Arial" w:eastAsia="Arial" w:hAnsi="Arial"/>
          <w:sz w:val="13"/>
          <w:szCs w:val="13"/>
          <w:color w:val="auto"/>
        </w:rPr>
        <w:t>Our operating activities used cash of $91.5 million for the six months ended March 31, 2016, and our financing activities provided cash of $83.4 million for the same period. Our operating activities used cash primarily for our investment activities and our financing activities provided cash primarily from net borrowings under the Credit Facility.</w:t>
      </w:r>
    </w:p>
    <w:p>
      <w:pPr>
        <w:spacing w:after="0" w:line="44" w:lineRule="exact"/>
        <w:rPr>
          <w:sz w:val="20"/>
          <w:szCs w:val="20"/>
          <w:color w:val="auto"/>
        </w:rPr>
      </w:pPr>
    </w:p>
    <w:p>
      <w:pPr>
        <w:ind w:right="460" w:firstLine="562"/>
        <w:spacing w:after="0" w:line="290" w:lineRule="auto"/>
        <w:rPr>
          <w:sz w:val="20"/>
          <w:szCs w:val="20"/>
          <w:color w:val="auto"/>
        </w:rPr>
      </w:pPr>
      <w:r>
        <w:rPr>
          <w:rFonts w:ascii="Arial" w:cs="Arial" w:eastAsia="Arial" w:hAnsi="Arial"/>
          <w:sz w:val="13"/>
          <w:szCs w:val="13"/>
          <w:color w:val="auto"/>
        </w:rPr>
        <w:t>Our operating activities provided cash of $33.9 million for the six months ended March 31, 2015, and our financing activities used cash of $37.1 million for the same period. Our operating activities provided cash primarily from sales and repayments on our investments and our financing activities used cash primarily from net repayments under the Credit Facility.</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 summary of our significant contractual payment obligations at cost as of March 31, 2016, including borrowings under our Credit Facility and other contractual obligations, is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89"/>
              <w:spacing w:after="0"/>
              <w:rPr>
                <w:sz w:val="20"/>
                <w:szCs w:val="20"/>
                <w:color w:val="auto"/>
              </w:rPr>
            </w:pPr>
            <w:r>
              <w:rPr>
                <w:rFonts w:ascii="Arial" w:cs="Arial" w:eastAsia="Arial" w:hAnsi="Arial"/>
                <w:sz w:val="14"/>
                <w:szCs w:val="14"/>
                <w:b w:val="1"/>
                <w:bCs w:val="1"/>
                <w:color w:val="auto"/>
                <w:w w:val="95"/>
              </w:rPr>
              <w:t>Payments due by period (millions)</w:t>
            </w: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Total</w:t>
            </w:r>
          </w:p>
        </w:tc>
        <w:tc>
          <w:tcPr>
            <w:tcW w:w="112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1"/>
              </w:rPr>
              <w:t>Less than 1 year</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98"/>
              </w:rPr>
              <w:t>1-3 years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3-5 years</w:t>
            </w:r>
          </w:p>
        </w:tc>
        <w:tc>
          <w:tcPr>
            <w:tcW w:w="32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More than 5 years</w:t>
            </w:r>
          </w:p>
        </w:tc>
        <w:tc>
          <w:tcPr>
            <w:tcW w:w="80" w:type="dxa"/>
            <w:vAlign w:val="bottom"/>
          </w:tcPr>
          <w:p>
            <w:pPr>
              <w:spacing w:after="0"/>
              <w:rPr>
                <w:sz w:val="12"/>
                <w:szCs w:val="12"/>
                <w:color w:val="auto"/>
              </w:rPr>
            </w:pPr>
          </w:p>
        </w:tc>
      </w:tr>
      <w:tr>
        <w:trPr>
          <w:trHeight w:val="142"/>
        </w:trPr>
        <w:tc>
          <w:tcPr>
            <w:tcW w:w="3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Credit Facility</w:t>
            </w: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128.2</w:t>
            </w:r>
          </w:p>
        </w:tc>
        <w:tc>
          <w:tcPr>
            <w:tcW w:w="6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32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128.2</w:t>
            </w:r>
          </w:p>
        </w:tc>
        <w:tc>
          <w:tcPr>
            <w:tcW w:w="3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3540" w:type="dxa"/>
            <w:vAlign w:val="bottom"/>
          </w:tcPr>
          <w:p>
            <w:pPr>
              <w:spacing w:after="0" w:line="149" w:lineRule="exact"/>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(1)</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0.2</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6.5</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0.3</w:t>
            </w:r>
          </w:p>
        </w:tc>
      </w:tr>
      <w:tr>
        <w:trPr>
          <w:trHeight w:val="27"/>
        </w:trPr>
        <w:tc>
          <w:tcPr>
            <w:tcW w:w="3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8"/>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contractual obligations</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135.2</w:t>
            </w: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0.2</w:t>
            </w:r>
          </w:p>
        </w:tc>
        <w:tc>
          <w:tcPr>
            <w:tcW w:w="4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134.7</w:t>
            </w:r>
          </w:p>
        </w:tc>
        <w:tc>
          <w:tcPr>
            <w:tcW w:w="8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0.3</w:t>
            </w:r>
          </w:p>
        </w:tc>
      </w:tr>
      <w:tr>
        <w:trPr>
          <w:trHeight w:val="20"/>
        </w:trPr>
        <w:tc>
          <w:tcPr>
            <w:tcW w:w="3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12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4" w:lineRule="exact"/>
        <w:rPr>
          <w:sz w:val="20"/>
          <w:szCs w:val="20"/>
          <w:color w:val="auto"/>
        </w:rPr>
      </w:pPr>
    </w:p>
    <w:p>
      <w:pPr>
        <w:ind w:left="560" w:hanging="552"/>
        <w:spacing w:after="0"/>
        <w:tabs>
          <w:tab w:leader="none" w:pos="560" w:val="left"/>
        </w:tabs>
        <w:numPr>
          <w:ilvl w:val="0"/>
          <w:numId w:val="15"/>
        </w:numPr>
        <w:rPr>
          <w:rFonts w:ascii="Arial" w:cs="Arial" w:eastAsia="Arial" w:hAnsi="Arial"/>
          <w:sz w:val="12"/>
          <w:szCs w:val="12"/>
          <w:color w:val="auto"/>
        </w:rPr>
      </w:pPr>
      <w:r>
        <w:rPr>
          <w:rFonts w:ascii="Arial" w:cs="Arial" w:eastAsia="Arial" w:hAnsi="Arial"/>
          <w:sz w:val="14"/>
          <w:szCs w:val="14"/>
          <w:color w:val="auto"/>
        </w:rPr>
        <w:t>Unfunded investments are disclosed in the Consolidated Schedule of Investments.</w:t>
      </w:r>
    </w:p>
    <w:p>
      <w:pPr>
        <w:spacing w:after="0" w:line="96" w:lineRule="exact"/>
        <w:rPr>
          <w:sz w:val="20"/>
          <w:szCs w:val="20"/>
          <w:color w:val="auto"/>
        </w:rPr>
      </w:pPr>
    </w:p>
    <w:p>
      <w:pPr>
        <w:jc w:val="both"/>
        <w:ind w:right="340" w:firstLine="562"/>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2016,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firstLine="562"/>
        <w:spacing w:after="0" w:line="231" w:lineRule="auto"/>
        <w:rPr>
          <w:sz w:val="20"/>
          <w:szCs w:val="20"/>
          <w:color w:val="auto"/>
        </w:rPr>
      </w:pPr>
      <w:r>
        <w:rPr>
          <w:rFonts w:ascii="Arial" w:cs="Arial" w:eastAsia="Arial" w:hAnsi="Arial"/>
          <w:sz w:val="14"/>
          <w:szCs w:val="14"/>
          <w:color w:val="auto"/>
        </w:rPr>
        <w:t>Under our Administration Agreement, which was reapproved by our board of directors, including a majority of our directors who are not interested persons of us, in February 2016,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76" w:lineRule="exact"/>
        <w:rPr>
          <w:sz w:val="20"/>
          <w:szCs w:val="20"/>
          <w:color w:val="auto"/>
        </w:rPr>
      </w:pPr>
    </w:p>
    <w:p>
      <w:pPr>
        <w:jc w:val="both"/>
        <w:ind w:right="200" w:firstLine="562"/>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96" w:lineRule="exact"/>
        <w:rPr>
          <w:sz w:val="20"/>
          <w:szCs w:val="20"/>
          <w:color w:val="auto"/>
        </w:rPr>
      </w:pPr>
    </w:p>
    <w:p>
      <w:pPr>
        <w:ind w:right="680" w:firstLine="562"/>
        <w:spacing w:after="0" w:line="253" w:lineRule="auto"/>
        <w:rPr>
          <w:sz w:val="20"/>
          <w:szCs w:val="20"/>
          <w:color w:val="auto"/>
        </w:rPr>
      </w:pPr>
      <w:r>
        <w:rPr>
          <w:rFonts w:ascii="Arial" w:cs="Arial" w:eastAsia="Arial" w:hAnsi="Arial"/>
          <w:sz w:val="14"/>
          <w:szCs w:val="14"/>
          <w:color w:val="auto"/>
        </w:rPr>
        <w:t>Subsequent to quarter-end, PennantPark Floating Rate Capital Ltd. made new investments of approximately $44.8 million, of which $43.6 million were funded. Of these new investments, 92% were in first lien senior secured loans and 8% were in second lien senior secured loans.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96"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In order to be subject to tax as a RIC and to not be subject to corporate-level tax on undistributed income or gains, we are required, under Subchapter M of the Code, to annually distribute dividends to stockholders of an amount generally at least equal to 90% of the sum of our ordinary income and realized net short-term capital gains in excess of realized net long-term capital losses, or investment company taxable income, out of the assets legally available for distribution. Although not required for us to maintain our RIC tax status, in order to preclude the imposition of a 4% nondeductible federal excise tax imposed on RICs, we must distribute dividends to our stockholders in respect of each calendar year of an amount generally at least equal to the sum of (1) 98% of our net ordinary income for the calendar year, (2) 98.2% of our capital gain net income (i.e., the excess, if any, of capital gains over capital losses) for the one-year period ending on October 31 of the calendar year plus (3) the sum of any net ordinary income plus capital gain net income for preceding years that was not distributed during such years and on which we paid no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subject to be taxed as a RIC, to provide us with additional liquidity.</w:t>
      </w:r>
    </w:p>
    <w:p>
      <w:pPr>
        <w:spacing w:after="0" w:line="77"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During the three and six months ended March 31, 2016, we declared distributions of $0.285 and $0.570 per share, respectively, for total distributions of $7.6 million and $15.2 million, respectively. For the same periods in the prior year, we declared distributions of $0.270 and $0.545 per share, respectively, for total distributions of $4.1 million and $8.1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96"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6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77" w:lineRule="exact"/>
        <w:rPr>
          <w:sz w:val="20"/>
          <w:szCs w:val="20"/>
          <w:color w:val="auto"/>
        </w:rPr>
      </w:pPr>
    </w:p>
    <w:p>
      <w:pPr>
        <w:ind w:right="120" w:firstLine="562"/>
        <w:spacing w:after="0" w:line="238"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00"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March 31, 2016, our debt portfolio consisted of 99% variable-rate investments (including 93% with a LIBOR or prime floor) and 1%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76" w:lineRule="exact"/>
        <w:rPr>
          <w:sz w:val="20"/>
          <w:szCs w:val="20"/>
          <w:color w:val="auto"/>
        </w:rPr>
      </w:pPr>
    </w:p>
    <w:p>
      <w:pPr>
        <w:ind w:right="340" w:firstLine="562"/>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00" w:type="dxa"/>
            <w:vAlign w:val="bottom"/>
            <w:gridSpan w:val="3"/>
          </w:tcPr>
          <w:p>
            <w:pPr>
              <w:jc w:val="center"/>
              <w:ind w:right="280"/>
              <w:spacing w:after="0"/>
              <w:rPr>
                <w:sz w:val="20"/>
                <w:szCs w:val="20"/>
                <w:color w:val="auto"/>
              </w:rPr>
            </w:pPr>
            <w:r>
              <w:rPr>
                <w:rFonts w:ascii="Arial" w:cs="Arial" w:eastAsia="Arial" w:hAnsi="Arial"/>
                <w:sz w:val="14"/>
                <w:szCs w:val="14"/>
                <w:color w:val="auto"/>
                <w:w w:val="93"/>
              </w:rPr>
              <w:t>Change In Interest Income, Net</w:t>
            </w:r>
          </w:p>
        </w:tc>
        <w:tc>
          <w:tcPr>
            <w:tcW w:w="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5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2"/>
              </w:rPr>
              <w:t>Of Interest Expense</w:t>
            </w:r>
          </w:p>
        </w:tc>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1780" w:type="dxa"/>
            <w:vAlign w:val="bottom"/>
            <w:gridSpan w:val="2"/>
          </w:tcPr>
          <w:p>
            <w:pPr>
              <w:jc w:val="center"/>
              <w:ind w:left="288"/>
              <w:spacing w:after="0"/>
              <w:rPr>
                <w:sz w:val="20"/>
                <w:szCs w:val="20"/>
                <w:color w:val="auto"/>
              </w:rPr>
            </w:pPr>
            <w:r>
              <w:rPr>
                <w:rFonts w:ascii="Arial" w:cs="Arial" w:eastAsia="Arial" w:hAnsi="Arial"/>
                <w:sz w:val="14"/>
                <w:szCs w:val="14"/>
                <w:color w:val="auto"/>
                <w:w w:val="91"/>
              </w:rPr>
              <w:t>Change In Interest Rates</w:t>
            </w:r>
          </w:p>
        </w:tc>
        <w:tc>
          <w:tcPr>
            <w:tcW w:w="680" w:type="dxa"/>
            <w:vAlign w:val="bottom"/>
          </w:tcPr>
          <w:p>
            <w:pPr>
              <w:spacing w:after="0"/>
              <w:rPr>
                <w:sz w:val="15"/>
                <w:szCs w:val="15"/>
                <w:color w:val="auto"/>
              </w:rPr>
            </w:pPr>
          </w:p>
        </w:tc>
        <w:tc>
          <w:tcPr>
            <w:tcW w:w="2500" w:type="dxa"/>
            <w:vAlign w:val="bottom"/>
            <w:gridSpan w:val="3"/>
          </w:tcPr>
          <w:p>
            <w:pPr>
              <w:ind w:left="700"/>
              <w:spacing w:after="0"/>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5"/>
                <w:szCs w:val="15"/>
                <w:color w:val="auto"/>
              </w:rPr>
            </w:pPr>
          </w:p>
        </w:tc>
        <w:tc>
          <w:tcPr>
            <w:tcW w:w="1740" w:type="dxa"/>
            <w:vAlign w:val="bottom"/>
            <w:gridSpan w:val="2"/>
          </w:tcPr>
          <w:p>
            <w:pPr>
              <w:jc w:val="right"/>
              <w:ind w:right="880"/>
              <w:spacing w:after="0"/>
              <w:rPr>
                <w:sz w:val="20"/>
                <w:szCs w:val="20"/>
                <w:color w:val="auto"/>
              </w:rPr>
            </w:pPr>
            <w:r>
              <w:rPr>
                <w:rFonts w:ascii="Arial" w:cs="Arial" w:eastAsia="Arial" w:hAnsi="Arial"/>
                <w:sz w:val="14"/>
                <w:szCs w:val="14"/>
                <w:color w:val="auto"/>
              </w:rPr>
              <w:t>Per Share</w:t>
            </w:r>
          </w:p>
        </w:tc>
      </w:tr>
      <w:tr>
        <w:trPr>
          <w:trHeight w:val="142"/>
        </w:trPr>
        <w:tc>
          <w:tcPr>
            <w:tcW w:w="36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Up 1%</w:t>
            </w:r>
          </w:p>
        </w:tc>
        <w:tc>
          <w:tcPr>
            <w:tcW w:w="6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ind w:left="720"/>
              <w:spacing w:after="0" w:line="142"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568"/>
              <w:spacing w:after="0" w:line="142" w:lineRule="exact"/>
              <w:rPr>
                <w:sz w:val="20"/>
                <w:szCs w:val="20"/>
                <w:color w:val="auto"/>
              </w:rPr>
            </w:pPr>
            <w:r>
              <w:rPr>
                <w:rFonts w:ascii="Arial" w:cs="Arial" w:eastAsia="Arial" w:hAnsi="Arial"/>
                <w:sz w:val="14"/>
                <w:szCs w:val="14"/>
                <w:color w:val="auto"/>
              </w:rPr>
              <w:t>744</w:t>
            </w:r>
          </w:p>
        </w:tc>
        <w:tc>
          <w:tcPr>
            <w:tcW w:w="2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CEEFF"/>
          </w:tcPr>
          <w:p>
            <w:pPr>
              <w:jc w:val="right"/>
              <w:ind w:right="708"/>
              <w:spacing w:after="0" w:line="142" w:lineRule="exact"/>
              <w:rPr>
                <w:sz w:val="20"/>
                <w:szCs w:val="20"/>
                <w:color w:val="auto"/>
              </w:rPr>
            </w:pPr>
            <w:r>
              <w:rPr>
                <w:rFonts w:ascii="Arial" w:cs="Arial" w:eastAsia="Arial" w:hAnsi="Arial"/>
                <w:sz w:val="14"/>
                <w:szCs w:val="14"/>
                <w:color w:val="auto"/>
              </w:rPr>
              <w:t>0.03</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3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9"/>
              </w:rPr>
              <w:t>Up 2%</w:t>
            </w:r>
          </w:p>
        </w:tc>
        <w:tc>
          <w:tcPr>
            <w:tcW w:w="1660" w:type="dxa"/>
            <w:vAlign w:val="bottom"/>
            <w:gridSpan w:val="2"/>
          </w:tcPr>
          <w:p>
            <w:pPr>
              <w:ind w:left="1400"/>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4,354</w:t>
            </w:r>
          </w:p>
        </w:tc>
        <w:tc>
          <w:tcPr>
            <w:tcW w:w="280" w:type="dxa"/>
            <w:vAlign w:val="bottom"/>
          </w:tcPr>
          <w:p>
            <w:pPr>
              <w:spacing w:after="0"/>
              <w:rPr>
                <w:sz w:val="12"/>
                <w:szCs w:val="12"/>
                <w:color w:val="auto"/>
              </w:rPr>
            </w:pPr>
          </w:p>
        </w:tc>
        <w:tc>
          <w:tcPr>
            <w:tcW w:w="4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40" w:type="dxa"/>
            <w:vAlign w:val="bottom"/>
          </w:tcPr>
          <w:p>
            <w:pPr>
              <w:jc w:val="right"/>
              <w:ind w:right="708"/>
              <w:spacing w:after="0" w:line="149" w:lineRule="exact"/>
              <w:rPr>
                <w:sz w:val="20"/>
                <w:szCs w:val="20"/>
                <w:color w:val="auto"/>
              </w:rPr>
            </w:pPr>
            <w:r>
              <w:rPr>
                <w:rFonts w:ascii="Arial" w:cs="Arial" w:eastAsia="Arial" w:hAnsi="Arial"/>
                <w:sz w:val="14"/>
                <w:szCs w:val="14"/>
                <w:color w:val="auto"/>
              </w:rPr>
              <w:t>0.16</w:t>
            </w:r>
          </w:p>
        </w:tc>
        <w:tc>
          <w:tcPr>
            <w:tcW w:w="100" w:type="dxa"/>
            <w:vAlign w:val="bottom"/>
          </w:tcPr>
          <w:p>
            <w:pPr>
              <w:spacing w:after="0"/>
              <w:rPr>
                <w:sz w:val="12"/>
                <w:szCs w:val="12"/>
                <w:color w:val="auto"/>
              </w:rPr>
            </w:pPr>
          </w:p>
        </w:tc>
      </w:tr>
      <w:tr>
        <w:trPr>
          <w:trHeight w:val="148"/>
        </w:trPr>
        <w:tc>
          <w:tcPr>
            <w:tcW w:w="36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Up 3%</w:t>
            </w:r>
          </w:p>
        </w:tc>
        <w:tc>
          <w:tcPr>
            <w:tcW w:w="1660" w:type="dxa"/>
            <w:vAlign w:val="bottom"/>
            <w:gridSpan w:val="2"/>
            <w:shd w:val="clear" w:color="auto" w:fill="CCEEFF"/>
          </w:tcPr>
          <w:p>
            <w:pPr>
              <w:ind w:left="140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7,964</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708"/>
              <w:spacing w:after="0" w:line="149" w:lineRule="exact"/>
              <w:rPr>
                <w:sz w:val="20"/>
                <w:szCs w:val="20"/>
                <w:color w:val="auto"/>
              </w:rPr>
            </w:pPr>
            <w:r>
              <w:rPr>
                <w:rFonts w:ascii="Arial" w:cs="Arial" w:eastAsia="Arial" w:hAnsi="Arial"/>
                <w:sz w:val="14"/>
                <w:szCs w:val="14"/>
                <w:color w:val="auto"/>
              </w:rPr>
              <w:t>0.30</w:t>
            </w:r>
          </w:p>
        </w:tc>
        <w:tc>
          <w:tcPr>
            <w:tcW w:w="100" w:type="dxa"/>
            <w:vAlign w:val="bottom"/>
            <w:shd w:val="clear" w:color="auto" w:fill="CCEEFF"/>
          </w:tcPr>
          <w:p>
            <w:pPr>
              <w:spacing w:after="0"/>
              <w:rPr>
                <w:sz w:val="12"/>
                <w:szCs w:val="12"/>
                <w:color w:val="auto"/>
              </w:rPr>
            </w:pPr>
          </w:p>
        </w:tc>
      </w:tr>
      <w:tr>
        <w:trPr>
          <w:trHeight w:val="182"/>
        </w:trPr>
        <w:tc>
          <w:tcPr>
            <w:tcW w:w="3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9"/>
              </w:rPr>
              <w:t>Up 4%</w:t>
            </w:r>
          </w:p>
        </w:tc>
        <w:tc>
          <w:tcPr>
            <w:tcW w:w="1660" w:type="dxa"/>
            <w:vAlign w:val="bottom"/>
            <w:gridSpan w:val="2"/>
          </w:tcPr>
          <w:p>
            <w:pPr>
              <w:ind w:left="140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08"/>
              <w:spacing w:after="0"/>
              <w:rPr>
                <w:sz w:val="20"/>
                <w:szCs w:val="20"/>
                <w:color w:val="auto"/>
              </w:rPr>
            </w:pPr>
            <w:r>
              <w:rPr>
                <w:rFonts w:ascii="Arial" w:cs="Arial" w:eastAsia="Arial" w:hAnsi="Arial"/>
                <w:sz w:val="14"/>
                <w:szCs w:val="14"/>
                <w:color w:val="auto"/>
              </w:rPr>
              <w:t>11,575</w:t>
            </w:r>
          </w:p>
        </w:tc>
        <w:tc>
          <w:tcPr>
            <w:tcW w:w="280" w:type="dxa"/>
            <w:vAlign w:val="bottom"/>
          </w:tcPr>
          <w:p>
            <w:pPr>
              <w:spacing w:after="0"/>
              <w:rPr>
                <w:sz w:val="15"/>
                <w:szCs w:val="15"/>
                <w:color w:val="auto"/>
              </w:rPr>
            </w:pP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708"/>
              <w:spacing w:after="0"/>
              <w:rPr>
                <w:sz w:val="20"/>
                <w:szCs w:val="20"/>
                <w:color w:val="auto"/>
              </w:rPr>
            </w:pPr>
            <w:r>
              <w:rPr>
                <w:rFonts w:ascii="Arial" w:cs="Arial" w:eastAsia="Arial" w:hAnsi="Arial"/>
                <w:sz w:val="14"/>
                <w:szCs w:val="14"/>
                <w:color w:val="auto"/>
              </w:rPr>
              <w:t>0.43</w:t>
            </w:r>
          </w:p>
        </w:tc>
        <w:tc>
          <w:tcPr>
            <w:tcW w:w="100" w:type="dxa"/>
            <w:vAlign w:val="bottom"/>
          </w:tcPr>
          <w:p>
            <w:pPr>
              <w:spacing w:after="0"/>
              <w:rPr>
                <w:sz w:val="15"/>
                <w:szCs w:val="15"/>
                <w:color w:val="auto"/>
              </w:rPr>
            </w:pPr>
          </w:p>
        </w:tc>
      </w:tr>
    </w:tbl>
    <w:p>
      <w:pPr>
        <w:spacing w:after="0" w:line="5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75"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75"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During the periods covered by this Report, we did not engage in interest rate hedging activities or foreign currency hedging activities.</w:t>
      </w:r>
    </w:p>
    <w:p>
      <w:pPr>
        <w:spacing w:after="0" w:line="86"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00"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71" w:lineRule="exact"/>
        <w:rPr>
          <w:sz w:val="20"/>
          <w:szCs w:val="20"/>
          <w:color w:val="auto"/>
        </w:rPr>
      </w:pPr>
    </w:p>
    <w:p>
      <w:pPr>
        <w:ind w:right="20" w:firstLine="562"/>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March 31, 2016 that have materially affected, or are reasonably likely to materially affect, our internal control over financial reporting.</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00"/>
          </w:cols>
          <w:pgMar w:left="320" w:top="459" w:right="3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 OTHER INFORMATION</w:t>
      </w:r>
    </w:p>
    <w:p>
      <w:pPr>
        <w:spacing w:after="0" w:line="109"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00" w:lineRule="exact"/>
        <w:rPr>
          <w:sz w:val="20"/>
          <w:szCs w:val="20"/>
          <w:color w:val="auto"/>
        </w:rPr>
      </w:pPr>
    </w:p>
    <w:p>
      <w:pPr>
        <w:ind w:right="120" w:firstLine="562"/>
        <w:spacing w:after="0" w:line="238" w:lineRule="auto"/>
        <w:rPr>
          <w:sz w:val="20"/>
          <w:szCs w:val="20"/>
          <w:color w:val="auto"/>
        </w:rPr>
      </w:pPr>
      <w:r>
        <w:rPr>
          <w:rFonts w:ascii="Arial" w:cs="Arial" w:eastAsia="Arial" w:hAnsi="Arial"/>
          <w:sz w:val="14"/>
          <w:szCs w:val="14"/>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our Administrator may be a party to certain legal proceedings in the ordinary course of business, including proceedings relating to the enforcement of our rights under contracts with our portfolio companies.</w:t>
      </w:r>
    </w:p>
    <w:p>
      <w:pPr>
        <w:spacing w:after="0" w:line="75" w:lineRule="exact"/>
        <w:rPr>
          <w:sz w:val="20"/>
          <w:szCs w:val="20"/>
          <w:color w:val="auto"/>
        </w:rPr>
      </w:pPr>
    </w:p>
    <w:p>
      <w:pPr>
        <w:ind w:right="80" w:firstLine="562"/>
        <w:spacing w:after="0" w:line="253" w:lineRule="auto"/>
        <w:rPr>
          <w:sz w:val="20"/>
          <w:szCs w:val="20"/>
          <w:color w:val="auto"/>
        </w:rPr>
      </w:pPr>
      <w:r>
        <w:rPr>
          <w:rFonts w:ascii="Arial" w:cs="Arial" w:eastAsia="Arial" w:hAnsi="Arial"/>
          <w:sz w:val="14"/>
          <w:szCs w:val="14"/>
          <w:color w:val="auto"/>
        </w:rPr>
        <w:t>A discussion of certain litigation in connection with our acquisition of MCG is incorporated by reference to Part I “Item 3. Legal Proceedings” in our Annual Report on Form 10-K for the fiscal year ended September 30, 2015. Subsequent to September 30, 2015, the litigation in connection with our acquisition of MCG was dismissed.</w:t>
      </w:r>
    </w:p>
    <w:p>
      <w:pPr>
        <w:spacing w:after="0" w:line="7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00"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in Part I “Item 1A. Risk Factors” in our Annual Report on Form 10-K for the fiscal year ended September 30, 2015, which could materially affect our business, financial condition and/or operating results. The risks described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86"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Not Applicable.</w:t>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00"/>
          </w:cols>
          <w:pgMar w:left="320" w:top="459"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352" w:lineRule="exact"/>
        <w:rPr>
          <w:sz w:val="20"/>
          <w:szCs w:val="20"/>
          <w:color w:val="auto"/>
        </w:rPr>
      </w:pPr>
    </w:p>
    <w:p>
      <w:pPr>
        <w:ind w:left="680" w:right="120" w:hanging="602"/>
        <w:spacing w:after="0" w:line="253" w:lineRule="auto"/>
        <w:tabs>
          <w:tab w:leader="none" w:pos="66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Articles of Amendment and Restatement of the Registrant (Incorporated by reference to the Registrant’s Pre-Effective Amendment No. 3 to the Registration Statement on Form N-2 (File No. 333-170243), filed on March 29, 2011).</w:t>
      </w:r>
    </w:p>
    <w:p>
      <w:pPr>
        <w:spacing w:after="0" w:line="133"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3"/>
          <w:szCs w:val="13"/>
          <w:color w:val="auto"/>
        </w:rPr>
        <w:t>Amended and Restated Bylaws of the Registrant (Incorporated by reference to Exhibit 3.1 to the Registrant’s Current Report on Form 8-K (File No. 814-00891), filed on December 2,</w:t>
      </w:r>
    </w:p>
    <w:p>
      <w:pPr>
        <w:ind w:left="680"/>
        <w:spacing w:after="0"/>
        <w:rPr>
          <w:sz w:val="20"/>
          <w:szCs w:val="20"/>
          <w:color w:val="auto"/>
        </w:rPr>
      </w:pPr>
      <w:r>
        <w:rPr>
          <w:rFonts w:ascii="Arial" w:cs="Arial" w:eastAsia="Arial" w:hAnsi="Arial"/>
          <w:sz w:val="14"/>
          <w:szCs w:val="14"/>
          <w:color w:val="auto"/>
        </w:rPr>
        <w:t>2015).</w:t>
      </w:r>
    </w:p>
    <w:p>
      <w:pPr>
        <w:spacing w:after="0" w:line="151" w:lineRule="exact"/>
        <w:rPr>
          <w:sz w:val="20"/>
          <w:szCs w:val="20"/>
          <w:color w:val="auto"/>
        </w:rPr>
      </w:pPr>
    </w:p>
    <w:p>
      <w:pPr>
        <w:ind w:left="680" w:right="2000" w:hanging="602"/>
        <w:spacing w:after="0" w:line="253" w:lineRule="auto"/>
        <w:tabs>
          <w:tab w:leader="none" w:pos="66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Form of Share Certificate (Incorporated by reference to the Registrant’s Pre-Effective Amendment No. 5 to the Registration Statement on Form N-2 (File No. 333-170243), filed on April 5, 2011).</w:t>
      </w:r>
    </w:p>
    <w:p>
      <w:pPr>
        <w:spacing w:after="0" w:line="147" w:lineRule="exact"/>
        <w:rPr>
          <w:sz w:val="20"/>
          <w:szCs w:val="20"/>
          <w:color w:val="auto"/>
        </w:rPr>
      </w:pPr>
    </w:p>
    <w:p>
      <w:pPr>
        <w:ind w:left="680" w:right="340" w:hanging="674"/>
        <w:spacing w:after="0" w:line="253" w:lineRule="auto"/>
        <w:tabs>
          <w:tab w:leader="none" w:pos="66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4"/>
          <w:szCs w:val="14"/>
          <w:color w:val="auto"/>
        </w:rPr>
        <w:t>Second Amended and Restated Investment Advisory Management Agreement, dated as of February 2, 2016, between the Registrant and PennantPark Investment Advisers, LLC (Incorporated by reference to Exhibit 10.1 to the Registrant’s Quarterly Report on Form 10-Q (File No. 814-00891), filed on February 4, 2016).</w:t>
      </w:r>
    </w:p>
    <w:p>
      <w:pPr>
        <w:spacing w:after="0" w:line="133" w:lineRule="exact"/>
        <w:rPr>
          <w:sz w:val="20"/>
          <w:szCs w:val="20"/>
          <w:color w:val="auto"/>
        </w:rPr>
      </w:pPr>
    </w:p>
    <w:p>
      <w:pPr>
        <w:ind w:left="680" w:hanging="672"/>
        <w:spacing w:after="0"/>
        <w:tabs>
          <w:tab w:leader="none" w:pos="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Computation of Per Share Earnings (included in the notes to the Consolidated Financial Statements contained in this Report).</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31.1 *</w:t>
      </w:r>
      <w:r>
        <w:rPr>
          <w:rFonts w:ascii="Arial" w:cs="Arial" w:eastAsia="Arial" w:hAnsi="Arial"/>
          <w:sz w:val="13"/>
          <w:szCs w:val="13"/>
          <w:color w:val="auto"/>
        </w:rPr>
        <w:t>Certification of Chief Executive Officer pursuant to Rule 13a-14 of the Securities Exchange Act of 1934, as amended.</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31.2 *</w:t>
      </w:r>
      <w:r>
        <w:rPr>
          <w:rFonts w:ascii="Arial" w:cs="Arial" w:eastAsia="Arial" w:hAnsi="Arial"/>
          <w:sz w:val="13"/>
          <w:szCs w:val="13"/>
          <w:color w:val="auto"/>
        </w:rPr>
        <w:t>Certification of Chief Financial Officer pursuant to Rule 13a-14 of the Securities Exchange Act of 1934, as amended.</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32.1 *</w:t>
      </w:r>
      <w:r>
        <w:rPr>
          <w:rFonts w:ascii="Arial" w:cs="Arial" w:eastAsia="Arial" w:hAnsi="Arial"/>
          <w:sz w:val="13"/>
          <w:szCs w:val="13"/>
          <w:color w:val="auto"/>
        </w:rPr>
        <w:t>Certification of Chief Executive Officer pursuant to section 906 of The Sarbanes-Oxley Act of 2002.</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32.2 *</w:t>
      </w:r>
      <w:r>
        <w:rPr>
          <w:rFonts w:ascii="Arial" w:cs="Arial" w:eastAsia="Arial" w:hAnsi="Arial"/>
          <w:sz w:val="13"/>
          <w:szCs w:val="13"/>
          <w:color w:val="auto"/>
        </w:rPr>
        <w:t>Certification of Chief Financial Officer pursuant to section 906 of The Sarbanes-Oxley Act of 2002.</w:t>
      </w:r>
    </w:p>
    <w:p>
      <w:pPr>
        <w:spacing w:after="0" w:line="163" w:lineRule="exact"/>
        <w:rPr>
          <w:sz w:val="20"/>
          <w:szCs w:val="20"/>
          <w:color w:val="auto"/>
        </w:rPr>
      </w:pPr>
    </w:p>
    <w:p>
      <w:pPr>
        <w:ind w:left="680" w:right="2980" w:hanging="674"/>
        <w:spacing w:after="0" w:line="253" w:lineRule="auto"/>
        <w:tabs>
          <w:tab w:leader="none" w:pos="66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4"/>
          <w:szCs w:val="14"/>
          <w:color w:val="auto"/>
        </w:rPr>
        <w:t>Privacy Policy of the Registrant (Incorporated by reference to the Registrant’s Annual Report on Form 10-K (File No. 814-00891), filed on November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233680</wp:posOffset>
            </wp:positionV>
            <wp:extent cx="6851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600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0020" cy="8255"/>
                    </a:xfrm>
                    <a:prstGeom prst="rect">
                      <a:avLst/>
                    </a:prstGeom>
                    <a:noFill/>
                  </pic:spPr>
                </pic:pic>
              </a:graphicData>
            </a:graphic>
          </wp:anchor>
        </w:drawing>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00"/>
          </w:cols>
          <w:pgMar w:left="320" w:top="459" w:right="3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208" w:lineRule="exact"/>
        <w:rPr>
          <w:sz w:val="20"/>
          <w:szCs w:val="20"/>
          <w:color w:val="auto"/>
        </w:rPr>
      </w:pPr>
    </w:p>
    <w:p>
      <w:pPr>
        <w:ind w:right="180" w:firstLine="562"/>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1220"/>
          </w:cols>
          <w:pgMar w:left="320" w:top="459"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color w:val="auto"/>
        </w:rPr>
        <w:t>Date: May 5,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PENNANTPARK FLOATING RATE CAPITAL LTD.</w:t>
      </w:r>
    </w:p>
    <w:p>
      <w:pPr>
        <w:spacing w:after="0" w:line="2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3810</wp:posOffset>
            </wp:positionV>
            <wp:extent cx="33515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4" w:lineRule="exact"/>
        <w:rPr>
          <w:sz w:val="20"/>
          <w:szCs w:val="20"/>
          <w:color w:val="auto"/>
        </w:rPr>
      </w:pPr>
    </w:p>
    <w:p>
      <w:pPr>
        <w:sectPr>
          <w:pgSz w:w="11900" w:h="16838" w:orient="portrait"/>
          <w:cols w:equalWidth="0" w:num="3">
            <w:col w:w="4920" w:space="720"/>
            <w:col w:w="400" w:space="720"/>
            <w:col w:w="4460"/>
          </w:cols>
          <w:pgMar w:left="320" w:top="459" w:right="359" w:bottom="1440" w:gutter="0" w:footer="0" w:header="0"/>
          <w:type w:val="continuous"/>
        </w:sectPr>
      </w:pPr>
    </w:p>
    <w:p>
      <w:pPr>
        <w:jc w:val="center"/>
        <w:ind w:left="5940"/>
        <w:spacing w:after="0"/>
        <w:rPr>
          <w:sz w:val="20"/>
          <w:szCs w:val="20"/>
          <w:color w:val="auto"/>
        </w:rPr>
      </w:pPr>
      <w:r>
        <w:rPr>
          <w:rFonts w:ascii="Arial" w:cs="Arial" w:eastAsia="Arial" w:hAnsi="Arial"/>
          <w:sz w:val="14"/>
          <w:szCs w:val="14"/>
          <w:b w:val="1"/>
          <w:bCs w:val="1"/>
          <w:color w:val="auto"/>
        </w:rPr>
        <w:t>Arthur H. Penn</w:t>
      </w:r>
    </w:p>
    <w:p>
      <w:pPr>
        <w:jc w:val="center"/>
        <w:ind w:left="5940"/>
        <w:spacing w:after="0"/>
        <w:rPr>
          <w:sz w:val="20"/>
          <w:szCs w:val="20"/>
          <w:color w:val="auto"/>
        </w:rPr>
      </w:pPr>
      <w:r>
        <w:rPr>
          <w:rFonts w:ascii="Arial" w:cs="Arial" w:eastAsia="Arial" w:hAnsi="Arial"/>
          <w:sz w:val="13"/>
          <w:szCs w:val="13"/>
          <w:b w:val="1"/>
          <w:bCs w:val="1"/>
          <w:color w:val="auto"/>
        </w:rPr>
        <w:t>Chief Executive Officer and Chairman of the Board of Directors (Principal Executive</w:t>
      </w:r>
    </w:p>
    <w:p>
      <w:pPr>
        <w:jc w:val="center"/>
        <w:ind w:left="5940"/>
        <w:spacing w:after="0"/>
        <w:rPr>
          <w:sz w:val="20"/>
          <w:szCs w:val="20"/>
          <w:color w:val="auto"/>
        </w:rPr>
      </w:pPr>
      <w:r>
        <w:rPr>
          <w:rFonts w:ascii="Arial" w:cs="Arial" w:eastAsia="Arial" w:hAnsi="Arial"/>
          <w:sz w:val="14"/>
          <w:szCs w:val="14"/>
          <w:b w:val="1"/>
          <w:bCs w:val="1"/>
          <w:color w:val="auto"/>
        </w:rPr>
        <w:t>Officer)</w:t>
      </w:r>
    </w:p>
    <w:p>
      <w:pPr>
        <w:spacing w:after="0" w:line="192" w:lineRule="exact"/>
        <w:rPr>
          <w:sz w:val="20"/>
          <w:szCs w:val="20"/>
          <w:color w:val="auto"/>
        </w:rPr>
      </w:pPr>
    </w:p>
    <w:p>
      <w:pPr>
        <w:spacing w:after="0"/>
        <w:tabs>
          <w:tab w:leader="none" w:pos="5620" w:val="left"/>
          <w:tab w:leader="none" w:pos="8060" w:val="left"/>
        </w:tabs>
        <w:rPr>
          <w:sz w:val="20"/>
          <w:szCs w:val="20"/>
          <w:color w:val="auto"/>
        </w:rPr>
      </w:pPr>
      <w:r>
        <w:rPr>
          <w:rFonts w:ascii="Arial" w:cs="Arial" w:eastAsia="Arial" w:hAnsi="Arial"/>
          <w:sz w:val="14"/>
          <w:szCs w:val="14"/>
          <w:color w:val="auto"/>
        </w:rPr>
        <w:t>Date: May 5, 2016</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3810</wp:posOffset>
            </wp:positionV>
            <wp:extent cx="33515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jc w:val="center"/>
        <w:ind w:left="5940"/>
        <w:spacing w:after="0"/>
        <w:rPr>
          <w:sz w:val="20"/>
          <w:szCs w:val="20"/>
          <w:color w:val="auto"/>
        </w:rPr>
      </w:pPr>
      <w:r>
        <w:rPr>
          <w:rFonts w:ascii="Arial" w:cs="Arial" w:eastAsia="Arial" w:hAnsi="Arial"/>
          <w:sz w:val="14"/>
          <w:szCs w:val="14"/>
          <w:b w:val="1"/>
          <w:bCs w:val="1"/>
          <w:color w:val="auto"/>
        </w:rPr>
        <w:t>Aviv Efrat</w:t>
      </w:r>
    </w:p>
    <w:p>
      <w:pPr>
        <w:jc w:val="center"/>
        <w:ind w:left="5940"/>
        <w:spacing w:after="0" w:line="221"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594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20"/>
          </w:cols>
          <w:pgMar w:left="320" w:top="459" w:right="359" w:bottom="1440" w:gutter="0" w:footer="0" w:header="0"/>
          <w:type w:val="continuous"/>
        </w:sectPr>
      </w:pPr>
    </w:p>
    <w:bookmarkStart w:id="35" w:name="page36"/>
    <w:bookmarkEnd w:id="35"/>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3"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31.1</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163" w:lineRule="exact"/>
        <w:rPr>
          <w:sz w:val="20"/>
          <w:szCs w:val="20"/>
          <w:color w:val="auto"/>
        </w:rPr>
      </w:pPr>
    </w:p>
    <w:p>
      <w:pPr>
        <w:ind w:left="720" w:hanging="150"/>
        <w:spacing w:after="0"/>
        <w:tabs>
          <w:tab w:leader="none" w:pos="7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76"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360" w:firstLine="570"/>
        <w:spacing w:after="0" w:line="253" w:lineRule="auto"/>
        <w:tabs>
          <w:tab w:leader="none" w:pos="705"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ind w:right="260" w:firstLine="794"/>
        <w:spacing w:after="0" w:line="335" w:lineRule="auto"/>
        <w:tabs>
          <w:tab w:leader="none" w:pos="934" w:val="left"/>
        </w:tabs>
        <w:numPr>
          <w:ilvl w:val="1"/>
          <w:numId w:val="1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1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1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1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1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1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Dated: May 5, 2016</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tabs>
          <w:tab w:leader="none" w:pos="480" w:val="left"/>
        </w:tabs>
        <w:rPr>
          <w:sz w:val="20"/>
          <w:szCs w:val="20"/>
          <w:color w:val="auto"/>
        </w:rPr>
      </w:pPr>
      <w:r>
        <w:rPr>
          <w:rFonts w:ascii="Arial" w:cs="Arial" w:eastAsia="Arial" w:hAnsi="Arial"/>
          <w:sz w:val="14"/>
          <w:szCs w:val="14"/>
          <w:color w:val="auto"/>
        </w:rPr>
        <w:t>Title:</w:t>
        <w:tab/>
        <w:t>Chief Executive Officer</w:t>
      </w:r>
    </w:p>
    <w:p>
      <w:pPr>
        <w:sectPr>
          <w:pgSz w:w="11900" w:h="16838" w:orient="portrait"/>
          <w:cols w:equalWidth="0" w:num="1">
            <w:col w:w="11240"/>
          </w:cols>
          <w:pgMar w:left="320" w:top="118" w:right="339" w:bottom="1440" w:gutter="0" w:footer="0" w:header="0"/>
        </w:sectPr>
      </w:pPr>
    </w:p>
    <w:bookmarkStart w:id="36" w:name="page37"/>
    <w:bookmarkEnd w:id="36"/>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31.2</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Floating Rate Capital Ltd., certify that:</w:t>
      </w:r>
    </w:p>
    <w:p>
      <w:pPr>
        <w:spacing w:after="0" w:line="163" w:lineRule="exact"/>
        <w:rPr>
          <w:sz w:val="20"/>
          <w:szCs w:val="20"/>
          <w:color w:val="auto"/>
        </w:rPr>
      </w:pPr>
    </w:p>
    <w:p>
      <w:pPr>
        <w:ind w:left="720" w:hanging="150"/>
        <w:spacing w:after="0"/>
        <w:tabs>
          <w:tab w:leader="none" w:pos="7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76"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360" w:firstLine="570"/>
        <w:spacing w:after="0" w:line="253" w:lineRule="auto"/>
        <w:tabs>
          <w:tab w:leader="none" w:pos="705"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ind w:right="260" w:firstLine="794"/>
        <w:spacing w:after="0" w:line="335" w:lineRule="auto"/>
        <w:tabs>
          <w:tab w:leader="none" w:pos="934" w:val="left"/>
        </w:tabs>
        <w:numPr>
          <w:ilvl w:val="1"/>
          <w:numId w:val="1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1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1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1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1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Dated: May 5, 2016</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tab/>
        <w:t>Aviv Efrat</w:t>
      </w:r>
    </w:p>
    <w:p>
      <w:pPr>
        <w:spacing w:after="0"/>
        <w:tabs>
          <w:tab w:leader="none" w:pos="480" w:val="left"/>
        </w:tabs>
        <w:rPr>
          <w:sz w:val="20"/>
          <w:szCs w:val="20"/>
          <w:color w:val="auto"/>
        </w:rPr>
      </w:pPr>
      <w:r>
        <w:rPr>
          <w:rFonts w:ascii="Arial" w:cs="Arial" w:eastAsia="Arial" w:hAnsi="Arial"/>
          <w:sz w:val="14"/>
          <w:szCs w:val="14"/>
          <w:color w:val="auto"/>
        </w:rPr>
        <w:t>Title:</w:t>
        <w:tab/>
        <w:t>Chief Financial Officer</w:t>
      </w:r>
    </w:p>
    <w:p>
      <w:pPr>
        <w:sectPr>
          <w:pgSz w:w="11900" w:h="16838" w:orient="portrait"/>
          <w:cols w:equalWidth="0" w:num="1">
            <w:col w:w="11240"/>
          </w:cols>
          <w:pgMar w:left="320" w:top="118"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5"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32.1</w:t>
      </w:r>
    </w:p>
    <w:p>
      <w:pPr>
        <w:spacing w:after="0" w:line="316" w:lineRule="exact"/>
        <w:rPr>
          <w:sz w:val="20"/>
          <w:szCs w:val="20"/>
          <w:color w:val="auto"/>
        </w:rPr>
      </w:pPr>
    </w:p>
    <w:p>
      <w:pPr>
        <w:ind w:left="120" w:right="140" w:firstLine="556"/>
        <w:spacing w:after="0" w:line="290" w:lineRule="auto"/>
        <w:rPr>
          <w:sz w:val="20"/>
          <w:szCs w:val="20"/>
          <w:color w:val="auto"/>
        </w:rPr>
      </w:pPr>
      <w:r>
        <w:rPr>
          <w:rFonts w:ascii="Arial" w:cs="Arial" w:eastAsia="Arial" w:hAnsi="Arial"/>
          <w:sz w:val="13"/>
          <w:szCs w:val="13"/>
          <w:color w:val="auto"/>
        </w:rPr>
        <w:t>In connection with this Report on Form 10-Q for the three and six months ended March 31, 2016, or the Report, of PennantPark Floating Rate Capital Ltd., or the Registrant, as filed with the Securities and Exchange Commission on the date hereof, I, Arthur H. Penn, Chief Executive Officer of the Registrant, hereby certify, to the best of my knowledge, that:</w:t>
      </w:r>
    </w:p>
    <w:p>
      <w:pPr>
        <w:spacing w:after="0" w:line="44" w:lineRule="exact"/>
        <w:rPr>
          <w:sz w:val="20"/>
          <w:szCs w:val="20"/>
          <w:color w:val="auto"/>
        </w:rPr>
      </w:pPr>
    </w:p>
    <w:p>
      <w:pPr>
        <w:ind w:left="880" w:hanging="204"/>
        <w:spacing w:after="0"/>
        <w:tabs>
          <w:tab w:leader="none" w:pos="8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line="221" w:lineRule="auto"/>
        <w:tabs>
          <w:tab w:leader="none" w:pos="480" w:val="left"/>
        </w:tabs>
        <w:rPr>
          <w:sz w:val="20"/>
          <w:szCs w:val="20"/>
          <w:color w:val="auto"/>
        </w:rPr>
      </w:pPr>
      <w:r>
        <w:rPr>
          <w:rFonts w:ascii="Arial" w:cs="Arial" w:eastAsia="Arial" w:hAnsi="Arial"/>
          <w:sz w:val="14"/>
          <w:szCs w:val="14"/>
          <w:color w:val="auto"/>
        </w:rPr>
        <w:t>Title:</w:t>
        <w:tab/>
        <w:t>Chief Executive Officer</w:t>
      </w:r>
    </w:p>
    <w:p>
      <w:pPr>
        <w:spacing w:after="0"/>
        <w:tabs>
          <w:tab w:leader="none" w:pos="480" w:val="left"/>
        </w:tabs>
        <w:rPr>
          <w:sz w:val="20"/>
          <w:szCs w:val="20"/>
          <w:color w:val="auto"/>
        </w:rPr>
      </w:pPr>
      <w:r>
        <w:rPr>
          <w:rFonts w:ascii="Arial" w:cs="Arial" w:eastAsia="Arial" w:hAnsi="Arial"/>
          <w:sz w:val="14"/>
          <w:szCs w:val="14"/>
          <w:color w:val="auto"/>
        </w:rPr>
        <w:t>Date:</w:t>
        <w:tab/>
        <w:t>May 5, 2016</w:t>
      </w:r>
    </w:p>
    <w:p>
      <w:pPr>
        <w:sectPr>
          <w:pgSz w:w="11900" w:h="16838" w:orient="portrait"/>
          <w:cols w:equalWidth="0" w:num="1">
            <w:col w:w="11240"/>
          </w:cols>
          <w:pgMar w:left="320" w:top="118"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5"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32.2</w:t>
      </w:r>
    </w:p>
    <w:p>
      <w:pPr>
        <w:spacing w:after="0" w:line="316" w:lineRule="exact"/>
        <w:rPr>
          <w:sz w:val="20"/>
          <w:szCs w:val="20"/>
          <w:color w:val="auto"/>
        </w:rPr>
      </w:pPr>
    </w:p>
    <w:p>
      <w:pPr>
        <w:ind w:left="120" w:right="140" w:firstLine="556"/>
        <w:spacing w:after="0" w:line="290" w:lineRule="auto"/>
        <w:rPr>
          <w:sz w:val="20"/>
          <w:szCs w:val="20"/>
          <w:color w:val="auto"/>
        </w:rPr>
      </w:pPr>
      <w:r>
        <w:rPr>
          <w:rFonts w:ascii="Arial" w:cs="Arial" w:eastAsia="Arial" w:hAnsi="Arial"/>
          <w:sz w:val="13"/>
          <w:szCs w:val="13"/>
          <w:color w:val="auto"/>
        </w:rPr>
        <w:t>In connection with this Report on Form 10-Q for the three and six months ended March 31, 2016, or the Report, of PennantPark Floating Rate Capital Ltd., or the Registrant, as filed with the Securities and Exchange Commission on the date hereof, I, Aviv Efrat, Chief Financial Officer of the Registrant, hereby certify, to the best of my knowledge, that:</w:t>
      </w:r>
    </w:p>
    <w:p>
      <w:pPr>
        <w:spacing w:after="0" w:line="44" w:lineRule="exact"/>
        <w:rPr>
          <w:sz w:val="20"/>
          <w:szCs w:val="20"/>
          <w:color w:val="auto"/>
        </w:rPr>
      </w:pPr>
    </w:p>
    <w:p>
      <w:pPr>
        <w:ind w:left="880" w:hanging="204"/>
        <w:spacing w:after="0"/>
        <w:tabs>
          <w:tab w:leader="none" w:pos="8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tab/>
        <w:t>Aviv Efrat</w:t>
      </w:r>
    </w:p>
    <w:p>
      <w:pPr>
        <w:spacing w:after="0" w:line="221" w:lineRule="auto"/>
        <w:tabs>
          <w:tab w:leader="none" w:pos="480" w:val="left"/>
        </w:tabs>
        <w:rPr>
          <w:sz w:val="20"/>
          <w:szCs w:val="20"/>
          <w:color w:val="auto"/>
        </w:rPr>
      </w:pPr>
      <w:r>
        <w:rPr>
          <w:rFonts w:ascii="Arial" w:cs="Arial" w:eastAsia="Arial" w:hAnsi="Arial"/>
          <w:sz w:val="14"/>
          <w:szCs w:val="14"/>
          <w:color w:val="auto"/>
        </w:rPr>
        <w:t>Title:</w:t>
        <w:tab/>
        <w:t>Chief Financial Officer</w:t>
      </w:r>
    </w:p>
    <w:p>
      <w:pPr>
        <w:spacing w:after="0"/>
        <w:tabs>
          <w:tab w:leader="none" w:pos="480" w:val="left"/>
        </w:tabs>
        <w:rPr>
          <w:sz w:val="20"/>
          <w:szCs w:val="20"/>
          <w:color w:val="auto"/>
        </w:rPr>
      </w:pPr>
      <w:r>
        <w:rPr>
          <w:rFonts w:ascii="Arial" w:cs="Arial" w:eastAsia="Arial" w:hAnsi="Arial"/>
          <w:sz w:val="14"/>
          <w:szCs w:val="14"/>
          <w:color w:val="auto"/>
        </w:rPr>
        <w:t>Date:</w:t>
        <w:tab/>
        <w:t>May 5, 2016</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2020-05-05T12:05:20Z</dcterms:created>
  <dcterms:modified xsi:type="dcterms:W3CDTF">2020-05-05T12:05:20Z</dcterms:modified>
</cp:coreProperties>
</file>