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162d8k.htm"/>
      <w:bookmarkStart w:id="1" w:name="ksd371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240" w:after="0"/>
        <w:jc w:val="center"/>
        <w:rPr>
          <w:rFonts w:ascii="Times New Roman" w:hAnsi="Times New Roman"/>
          <w:b/>
          <w:sz w:val="24"/>
        </w:rPr>
      </w:pPr>
      <w:r>
        <w:rPr>
          <w:rFonts w:ascii="Times New Roman" w:hAnsi="Times New Roman"/>
          <w:b/>
          <w:sz w:val="24"/>
        </w:rPr>
        <w:t>June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PennantPark Floating Rate Capital Ltd.</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814-00891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27-3794690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1691 Michigan Avenue </w:t>
      </w:r>
    </w:p>
    <w:p>
      <w:pPr>
        <w:pStyle w:val="TextBody"/>
        <w:bidi w:val="0"/>
        <w:spacing w:before="0" w:after="0"/>
        <w:jc w:val="center"/>
        <w:rPr>
          <w:rFonts w:ascii="Times New Roman" w:hAnsi="Times New Roman"/>
          <w:b/>
          <w:sz w:val="20"/>
        </w:rPr>
      </w:pPr>
      <w:r>
        <w:rPr>
          <w:rFonts w:ascii="Times New Roman" w:hAnsi="Times New Roman"/>
          <w:b/>
          <w:sz w:val="20"/>
        </w:rPr>
        <w:t>Miami Beach</w:t>
      </w:r>
    </w:p>
    <w:p>
      <w:pPr>
        <w:pStyle w:val="TextBody"/>
        <w:bidi w:val="0"/>
        <w:spacing w:before="0" w:after="0"/>
        <w:jc w:val="center"/>
        <w:rPr>
          <w:rFonts w:ascii="Times New Roman" w:hAnsi="Times New Roman"/>
          <w:b/>
          <w:sz w:val="20"/>
        </w:rPr>
      </w:pPr>
      <w:r>
        <w:rPr>
          <w:rFonts w:ascii="Times New Roman" w:hAnsi="Times New Roman"/>
          <w:b/>
          <w:sz w:val="20"/>
        </w:rPr>
        <w:t xml:space="preserve">, Florida 33139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w:t>
      </w:r>
    </w:p>
    <w:p>
      <w:pPr>
        <w:pStyle w:val="TextBody"/>
        <w:bidi w:val="0"/>
        <w:spacing w:before="240" w:after="0"/>
        <w:jc w:val="center"/>
        <w:rPr>
          <w:rFonts w:ascii="Times New Roman" w:hAnsi="Times New Roman"/>
          <w:b/>
          <w:sz w:val="20"/>
        </w:rPr>
      </w:pPr>
      <w:r>
        <w:rPr>
          <w:rFonts w:ascii="Times New Roman" w:hAnsi="Times New Roman"/>
          <w:b/>
          <w:sz w:val="20"/>
        </w:rPr>
        <w:t>786</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0"/>
              <w:jc w:val="left"/>
              <w:rPr>
                <w:b/>
                <w:spacing w:val="0"/>
              </w:rPr>
            </w:pPr>
            <w:r>
              <w:rPr>
                <w:b/>
                <w:spacing w:val="0"/>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 2026, PennantPark Floating Rate Capital Ltd. (the “Company”) and Equiniti Trust Company, LLC (the “Trustee”) entered into a Third Supplemental Indenture (the “Third Supplemental Indenture”) to the Indenture between the Company and the Trustee, dated March 23, 2021 (the “Base Indenture,” and together with the Third Supplemental Indenture, the “Indenture”). The Third Supplemental Indenture relates to the Company’s issuance of $105,000,000 aggregate principal amount of its 7.375% Notes due 2031 (the “Notes”), which includes $5,000,000 in aggregate principal amount issued pursuant to the partial exercise of the underwriters’ over-allotment option.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June 15, 2031 and may be redeemed in whole or in part at the Company’s option at any time or from time to time on or after June 15, 2028 according to the terms set forth in the Indenture. The Notes bear interest at a rate of 7.375% per year and will be paid quarterly in arrears on March 15, June 15, September 15 and December 15 of each year, commencing 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The Notes are expected to be listed on the New York Stock Exchange, and the Company expects trading to commence thereon within 30 days of the original issue date under the trading symbol “PFLA.” The Notes are the Company’s direct unsecured obligations that rank pari passu in right of payment with any existing and future unsecured unsubordinated indebtedness of the Company; senior in right of payment to any of the Company’s future indebtedness that expressly states it is subordinated in right of payment to the Notes; senior to any series of preferred stock that the Company may issue in the future; effectively subordinated in right of payment to all of the Company’s existing and future secured indebtedness (including indebtedness that is initially unsecured, but to which the Company subsequently grants security), to the extent of the value of the assets securing such indebtedness; and structurally subordinated to all existing and future indebtedness and other obligations of any of the Company’s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including covenants requiring the Company to (i) comply with the asset coverage requirements of Section 18(a)(1)(A) as modified by Section 61(a)(1) and (2) of the Investment Company Act of 1940, as amended, or any successor provisions, whether or not the Company is subject thereto, giving effect to any exemptive relief granted to the Company by the U.S. Securities and Exchange Commission; (ii) not declare any dividend (except a dividend payable in its stock), or declare any other distribution, upon a class of the Company’s capital stock, or purchase any such capital stock, unless the Company has asset coverage, as defined in the 1940 Act, of at least the threshold specified under Section 18(a)(1)(B) as modified by Section 61(a)(2) of the 1940 Act, or any successor provisions, after deducting the amount of such dividend, distribution or purchase price, as the case may be, giving effect to any applicable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no-action</w:t>
      </w:r>
    </w:p>
    <w:p>
      <w:pPr>
        <w:pStyle w:val="TextBody"/>
        <w:bidi w:val="0"/>
        <w:spacing w:before="240" w:after="0"/>
        <w:jc w:val="left"/>
        <w:rPr>
          <w:rFonts w:ascii="Times New Roman" w:hAnsi="Times New Roman"/>
          <w:sz w:val="20"/>
        </w:rPr>
      </w:pPr>
      <w:r>
        <w:rPr>
          <w:rFonts w:ascii="Times New Roman" w:hAnsi="Times New Roman"/>
          <w:sz w:val="20"/>
        </w:rPr>
        <w:t xml:space="preserve">or other relief granted by the SEC; and (iii) if, at any time, the Company is no longer subject to the reporting requirements under the Securities Exchange Act of 1934, as amended, furnish to the holders of the Notes and the Trustee audited annual consolidated financial statements within 90 days of its fiscal year end, and unaudited interim consolidated financial statements within 45 days of its fiscal quarter end (other than its fourth fiscal quarter), in each case prepared in all material respects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offered and sold in an offering registered under the Securities Act of 1933, as amended, pursuant to the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N-2</w:t>
      </w:r>
    </w:p>
    <w:p>
      <w:pPr>
        <w:pStyle w:val="TextBody"/>
        <w:bidi w:val="0"/>
        <w:spacing w:before="240" w:after="0"/>
        <w:jc w:val="left"/>
        <w:rPr>
          <w:rFonts w:ascii="Times New Roman" w:hAnsi="Times New Roman"/>
          <w:sz w:val="20"/>
        </w:rPr>
      </w:pPr>
      <w:r>
        <w:rPr>
          <w:rFonts w:ascii="Times New Roman" w:hAnsi="Times New Roman"/>
          <w:sz w:val="20"/>
        </w:rPr>
        <w:t xml:space="preserve">(File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333-279726)</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the preliminary prospectus supplement, dated May 27, 2026, and a final prospectus supplement, dated May 27, 2026. The transaction closed on June 1, 2026. The net proceeds to the Company were approximately $101.19 million, after deducting the underwriting discounts and commissions and estimated offering expenses. The Company intends to use the net proceeds from the offering to repay its outstanding obligations under its revolving credit facility, to invest in new or existing portfolio companies and for general corporate or strategic purposes.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Third Supplemental Indenture and the Notes do not purport to be complete and are qualified in their entirety by reference to the full text of the Third Supplemental Indenture and the form of global note representing the Notes, respectively, each filed as exhibits hereto and incorporated by reference herein.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5"/>
        <w:gridCol w:w="120"/>
        <w:gridCol w:w="933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0"/>
              <w:jc w:val="center"/>
              <w:rPr>
                <w:b/>
                <w:spacing w:val="0"/>
              </w:rPr>
            </w:pPr>
            <w:r>
              <w:rPr>
                <w:b/>
                <w:spacing w:val="0"/>
              </w:rPr>
              <w:t>DESCRIPTION</w:t>
            </w:r>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r:id="rId2">
              <w:r>
                <w:rPr>
                  <w:rStyle w:val="InternetLink"/>
                </w:rPr>
                <w:t>Indenture, dated as of March 23, 2021, by and between the Company and Equiniti Trust Company, LLC, as trustee (</w:t>
              </w:r>
            </w:hyperlink>
            <w:hyperlink r:id="rId3">
              <w:r>
                <w:rPr>
                  <w:rStyle w:val="InternetLink"/>
                  <w:i/>
                  <w:caps w:val="false"/>
                  <w:smallCaps w:val="false"/>
                  <w:spacing w:val="0"/>
                </w:rPr>
                <w:t>incorporated by reference to Exhibit</w:t>
              </w:r>
            </w:hyperlink>
            <w:hyperlink r:id="rId4">
              <w:r>
                <w:rPr>
                  <w:rStyle w:val="InternetLink"/>
                  <w:caps w:val="false"/>
                  <w:smallCaps w:val="false"/>
                  <w:spacing w:val="0"/>
                </w:rPr>
                <w:t> </w:t>
              </w:r>
            </w:hyperlink>
            <w:hyperlink r:id="rId5">
              <w:r>
                <w:rPr>
                  <w:rStyle w:val="InternetLink"/>
                  <w:i/>
                  <w:caps w:val="false"/>
                  <w:smallCaps w:val="false"/>
                  <w:spacing w:val="0"/>
                </w:rPr>
                <w:t>4.1 of the Company</w:t>
              </w:r>
            </w:hyperlink>
            <w:hyperlink r:id="rId6">
              <w:r>
                <w:rPr>
                  <w:rStyle w:val="InternetLink"/>
                  <w:caps w:val="false"/>
                  <w:smallCaps w:val="false"/>
                  <w:spacing w:val="0"/>
                </w:rPr>
                <w:t>’</w:t>
              </w:r>
            </w:hyperlink>
            <w:hyperlink r:id="rId7">
              <w:r>
                <w:rPr>
                  <w:rStyle w:val="InternetLink"/>
                  <w:i/>
                  <w:caps w:val="false"/>
                  <w:smallCaps w:val="false"/>
                  <w:spacing w:val="0"/>
                </w:rPr>
                <w:t>s Current Report on Form 8-K, filed on March</w:t>
              </w:r>
            </w:hyperlink>
            <w:hyperlink r:id="rId8">
              <w:r>
                <w:rPr>
                  <w:rStyle w:val="InternetLink"/>
                  <w:caps w:val="false"/>
                  <w:smallCaps w:val="false"/>
                  <w:spacing w:val="0"/>
                </w:rPr>
                <w:t> </w:t>
              </w:r>
            </w:hyperlink>
            <w:hyperlink r:id="rId9">
              <w:r>
                <w:rPr>
                  <w:rStyle w:val="InternetLink"/>
                  <w:i/>
                  <w:caps w:val="false"/>
                  <w:smallCaps w:val="false"/>
                  <w:spacing w:val="0"/>
                </w:rPr>
                <w:t>23, 2021</w:t>
              </w:r>
            </w:hyperlink>
            <w:hyperlink r:id="rId10">
              <w:r>
                <w:rPr>
                  <w:rStyle w:val="InternetLink"/>
                </w:rPr>
                <w:t>).</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42.htm">
              <w:r>
                <w:rPr>
                  <w:rStyle w:val="InternetLink"/>
                </w:rPr>
                <w:t xml:space="preserve">Third Supplemental Indenture, dated as of June 1, 2026, relating to the 7.375% Notes due 2031 by and between the Company and Equiniti Trust Company, LLC, as trustee.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42.htm">
              <w:r>
                <w:rPr>
                  <w:rStyle w:val="InternetLink"/>
                </w:rPr>
                <w:t>Form of 7.375% Notes due 2031 (</w:t>
              </w:r>
            </w:hyperlink>
            <w:hyperlink w:anchor="d37162dex42.htm">
              <w:r>
                <w:rPr>
                  <w:rStyle w:val="InternetLink"/>
                  <w:i/>
                  <w:caps w:val="false"/>
                  <w:smallCaps w:val="false"/>
                  <w:spacing w:val="0"/>
                </w:rPr>
                <w:t>incorporated by reference to Exhibit</w:t>
              </w:r>
            </w:hyperlink>
            <w:hyperlink w:anchor="d37162dex42.htm">
              <w:r>
                <w:rPr>
                  <w:rStyle w:val="InternetLink"/>
                  <w:caps w:val="false"/>
                  <w:smallCaps w:val="false"/>
                  <w:spacing w:val="0"/>
                </w:rPr>
                <w:t> </w:t>
              </w:r>
            </w:hyperlink>
            <w:hyperlink w:anchor="d37162dex42.htm">
              <w:r>
                <w:rPr>
                  <w:rStyle w:val="InternetLink"/>
                  <w:i/>
                  <w:caps w:val="false"/>
                  <w:smallCaps w:val="false"/>
                  <w:spacing w:val="0"/>
                </w:rPr>
                <w:t>4.2 hereto</w:t>
              </w:r>
            </w:hyperlink>
            <w:hyperlink w:anchor="d37162dex42.htm">
              <w:r>
                <w:rPr>
                  <w:rStyle w:val="InternetLink"/>
                </w:rPr>
                <w:t xml:space="preserve">).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51.htm">
              <w:r>
                <w:rPr>
                  <w:rStyle w:val="InternetLink"/>
                </w:rPr>
                <w:t xml:space="preserve">Opinion of Dechert LLP.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52.htm">
              <w:r>
                <w:rPr>
                  <w:rStyle w:val="InternetLink"/>
                </w:rPr>
                <w:t xml:space="preserve">Opinion of Venable LLP.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51.htm">
              <w:r>
                <w:rPr>
                  <w:rStyle w:val="InternetLink"/>
                </w:rPr>
                <w:t xml:space="preserve">Consent of Dechert LLP (included in Exhibit 5.1).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37162dex52.htm">
              <w:r>
                <w:rPr>
                  <w:rStyle w:val="InternetLink"/>
                </w:rPr>
                <w:t xml:space="preserve">Consent of Venable LLP (included in Exhibit 5.2).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107" w:type="dxa"/>
        <w:jc w:val="left"/>
        <w:tblInd w:w="0" w:type="dxa"/>
        <w:tblLayout w:type="fixed"/>
        <w:tblCellMar>
          <w:top w:w="0" w:type="dxa"/>
          <w:left w:w="0" w:type="dxa"/>
          <w:bottom w:w="0" w:type="dxa"/>
          <w:right w:w="0" w:type="dxa"/>
        </w:tblCellMar>
      </w:tblPr>
      <w:tblGrid>
        <w:gridCol w:w="1820"/>
        <w:gridCol w:w="60"/>
        <w:gridCol w:w="23"/>
        <w:gridCol w:w="60"/>
        <w:gridCol w:w="651"/>
        <w:gridCol w:w="60"/>
        <w:gridCol w:w="3433"/>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44" w:type="dxa"/>
            <w:gridSpan w:val="3"/>
            <w:tcBorders/>
            <w:vAlign w:val="center"/>
          </w:tcPr>
          <w:p>
            <w:pPr>
              <w:pStyle w:val="TableContents"/>
              <w:bidi w:val="0"/>
              <w:spacing w:before="0" w:after="0"/>
              <w:jc w:val="left"/>
              <w:rPr>
                <w:b/>
                <w:spacing w:val="0"/>
              </w:rPr>
            </w:pPr>
            <w:r>
              <w:rPr>
                <w:b/>
                <w:spacing w:val="0"/>
              </w:rPr>
              <w:t>PennantPark Floating Rate Capital Ltd.</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Richard T. Allorto, Jr.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Richard T. Allorto, Jr.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37162dex42.htm"/>
      <w:bookmarkStart w:id="3" w:name="ksd37162dex42"/>
      <w:bookmarkEnd w:id="2"/>
      <w:bookmarkEnd w:id="3"/>
      <w:r>
        <w:rPr>
          <w:rFonts w:ascii="Times New Roman" w:hAnsi="Times New Roman"/>
          <w:b/>
          <w:sz w:val="20"/>
        </w:rPr>
        <w:t xml:space="preserve">Exhibit 4.2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THIRD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June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THIRD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THIRD SUPPLEMENTAL INDENTURE (this “Third Supplemental Indenture”), dated as of June 1, 2026, is between PennantPark Floating Rate Capital Ltd., a Maryland corporation (the “Company”), and Equiniti Trust Company, LLC, as trustee (the “Trustee”). All capitalized terms used herein shall have the meaning set forth in the Base Indenture (as defined below) unless otherwise defined herein. </w:t>
      </w:r>
    </w:p>
    <w:p>
      <w:pPr>
        <w:pStyle w:val="TextBody"/>
        <w:bidi w:val="0"/>
        <w:spacing w:before="240" w:after="0"/>
        <w:jc w:val="center"/>
        <w:rPr>
          <w:rFonts w:ascii="Times New Roman" w:hAnsi="Times New Roman"/>
          <w:sz w:val="20"/>
        </w:rPr>
      </w:pPr>
      <w:r>
        <w:rPr>
          <w:rFonts w:ascii="Times New Roman" w:hAnsi="Times New Roman"/>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executed and delivered an Indenture, dated as of March 23, 2021 (the “Base Indenture”, as amended and supplemented by this Third Supplemental Indenture, the “Indenture”), to provide for the issuance by the Company from time to time of the Company’s unsecured debentures, notes or other evidences of indebtedness (the “Securities”), to be issued in one or more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issue and sell $100,000,000 aggregate principal amount (or up to $115,000,000 aggregate principal amount if the underwriters’ overallotment option to purchase additional Notes is exercised in full) of the Company’s 7.375% Notes due 2031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establish the form and terms of the Notes and to modify, alter, supplement and change certain provisions of the Base Indenture for the benefit of the Holders of the Notes (except as may be provided in a future supplemental indenture to the Indenture (each, a “Future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Third Supplemental Indenture to provide for the issuance of the Notes and all acts and things necessary to make this Third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agreed, for the equal and proportionate benefit of all Holders of the Notes,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Terms of the Notes</w:t>
      </w:r>
      <w:r>
        <w:rPr>
          <w:rFonts w:ascii="Times New Roman" w:hAnsi="Times New Roman"/>
          <w:sz w:val="20"/>
        </w:rPr>
        <w:t xml:space="preserve">. The following terms relating to the Notes are hereby established: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constitute a series of Securities having the title “7.375% Notes due 2031” and shall be designated as Senior Securities under the Indenture. The Notes shall bear a CUSIP number of 70806A 205 and an ISIN number of US70806A2050.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1301 of the Base Indenture) shall be $100,000,000 (or up to $115,000,000 aggregate principal amount if the underwriters’ overallotment option to purchase additional Notes is exercised in full). Under a Board Resolution, Officers’ Certificate pursuant to Board Resolutions or a Future Supplemental Indenture,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hAnsi="Times New Roman"/>
          <w:i/>
          <w:sz w:val="20"/>
        </w:rPr>
        <w:t>provided</w:t>
      </w:r>
      <w:r>
        <w:rPr>
          <w:rFonts w:ascii="Times New Roman" w:hAnsi="Times New Roman"/>
          <w:sz w:val="20"/>
        </w:rPr>
        <w:t xml:space="preserve">, that such Additional Notes must be part of the same issue as the Notes for U.S. federal income tax purposes if represented by the same CUSIP number as the Notes.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The entire Outstanding principal amount of the Notes shall be payable on June 15, 2031 unless earlier redeemed or repurchased in accordance with the provisions of this Third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rate at which the Notes shall bear interest shall be 7.375% per annum. The date from which interest shall accrue on the Notes shall be June 1, 2026, or the most recent Interest Payment Date to which interest has been paid or provided for; the Interest Payment Dates for the Notes shall be March 15, June 15, September 15 and December 15 of each year, commencing September 15, 2026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June 1,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March 1, June 1, September 1 and December 1, as the case may be, next preceding such Interest Payment Date; </w:t>
      </w:r>
      <w:r>
        <w:rPr>
          <w:rFonts w:ascii="Times New Roman" w:hAnsi="Times New Roman"/>
          <w:i/>
          <w:sz w:val="20"/>
        </w:rPr>
        <w:t>provided</w:t>
      </w:r>
      <w:r>
        <w:rPr>
          <w:rFonts w:ascii="Times New Roman" w:hAnsi="Times New Roman"/>
          <w:sz w:val="20"/>
        </w:rPr>
        <w:t xml:space="preserve">, that if a Regular Record Date is not a Business Day, then such Regular Record Date will be the next Business Day.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 The Notes shall be initially issuable in global form (each such Note, a “Global Note”).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Third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depositary for such Global Notes shall be The Depository Trust Company, New York, New York.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(g) The Notes shall be defeasible pursuant to Section 1402 or Section 1403 of the Base Indenture. Covenant defeasance contained in Section 1403 of the Base Indenture shall apply to the covenants contained in Sections 1008, 1009 and 1010 thereof (after giving effect to the amendments set forth in Section 5.02 of this Third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redeemable pursuant to Section 1101 of the Base Indenture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Notes may be redeemed in whole or in part at any time or from time to time at the Company’s option on or after June 15, 2028 upon not less than 30 days nor more than 60 days’ written notice prior to the date fixed for redemption thereof, at a Redemption Price of 100% of the outstanding principal amount of the Notes to be redeemed plus accrued and unpaid interest payments otherwise payable thereon for the then-current quarterly interest period accrued to, but excluding, the date fixed for redemption. </w:t>
      </w:r>
    </w:p>
    <w:p>
      <w:pPr>
        <w:pStyle w:val="TextBody"/>
        <w:bidi w:val="0"/>
        <w:spacing w:before="120" w:after="0"/>
        <w:jc w:val="left"/>
        <w:rPr>
          <w:rFonts w:ascii="Times New Roman" w:hAnsi="Times New Roman"/>
          <w:sz w:val="20"/>
        </w:rPr>
      </w:pPr>
      <w:r>
        <w:rPr>
          <w:rFonts w:ascii="Times New Roman" w:hAnsi="Times New Roman"/>
          <w:sz w:val="20"/>
        </w:rPr>
        <w:t xml:space="preserve">(ii) Notice of redemption shall be given in accordance with Sections 106 and 1104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Company’s actions and determinations in determining the Redemption Price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(iv) If the Company redeems less than all of the Notes, the particular Notes to be redeemed will be selected by the Trustee on a </w:t>
      </w:r>
      <w:r>
        <w:rPr>
          <w:rFonts w:ascii="Times New Roman" w:hAnsi="Times New Roman"/>
          <w:i/>
          <w:sz w:val="20"/>
        </w:rPr>
        <w:t>pro rata</w:t>
      </w:r>
      <w:r>
        <w:rPr>
          <w:rFonts w:ascii="Times New Roman" w:hAnsi="Times New Roman"/>
          <w:sz w:val="20"/>
        </w:rPr>
        <w:t xml:space="preserve"> basis to the extent practicable, or, if a </w:t>
      </w:r>
      <w:r>
        <w:rPr>
          <w:rFonts w:ascii="Times New Roman" w:hAnsi="Times New Roman"/>
          <w:i/>
          <w:sz w:val="20"/>
        </w:rPr>
        <w:t>pro rata</w:t>
      </w:r>
      <w:r>
        <w:rPr>
          <w:rFonts w:ascii="Times New Roman" w:hAnsi="Times New Roman"/>
          <w:sz w:val="20"/>
        </w:rPr>
        <w:t xml:space="preserve"> basis is not practicable for any reason, by lot or in such other manner as the Trustee deems fair and appropriate, and in any case, in accordance with (x)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procedures of the Depositary, (y) the Investment Company Act as directed by the Company and (z) rules of any national securities exchange or quotation system on which the Notes are listed; </w:t>
      </w:r>
      <w:r>
        <w:rPr>
          <w:rFonts w:ascii="Times New Roman" w:hAnsi="Times New Roman"/>
          <w:i/>
          <w:sz w:val="20"/>
        </w:rPr>
        <w:t>provided</w:t>
      </w:r>
      <w:r>
        <w:rPr>
          <w:rFonts w:ascii="Times New Roman" w:hAnsi="Times New Roman"/>
          <w:sz w:val="20"/>
        </w:rPr>
        <w:t xml:space="preserve">, that no such partial redemption will reduce the portion of the principal amount of the Notes not redeemed to less than $25. </w:t>
      </w:r>
    </w:p>
    <w:p>
      <w:pPr>
        <w:pStyle w:val="TextBody"/>
        <w:bidi w:val="0"/>
        <w:spacing w:before="120" w:after="0"/>
        <w:jc w:val="left"/>
        <w:rPr>
          <w:rFonts w:ascii="Times New Roman" w:hAnsi="Times New Roman"/>
          <w:sz w:val="20"/>
        </w:rPr>
      </w:pPr>
      <w:r>
        <w:rPr>
          <w:rFonts w:ascii="Times New Roman" w:hAnsi="Times New Roman"/>
          <w:sz w:val="20"/>
        </w:rPr>
        <w:t xml:space="preserve">(v) Any exercise of the Company’s option to redeem the Notes will be done in compliance with the Investment Company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(vi) Unless the Company defaults in payment of the Redemption Price, on and after the Redemption Date, interest will cease to accrue on the Notes or portion of the Notes called for redemption hereunder. </w:t>
      </w:r>
    </w:p>
    <w:p>
      <w:pPr>
        <w:pStyle w:val="TextBody"/>
        <w:bidi w:val="0"/>
        <w:spacing w:before="120" w:after="0"/>
        <w:jc w:val="left"/>
        <w:rPr>
          <w:rFonts w:ascii="Times New Roman" w:hAnsi="Times New Roman"/>
          <w:sz w:val="20"/>
        </w:rPr>
      </w:pPr>
      <w:r>
        <w:rPr>
          <w:rFonts w:ascii="Times New Roman" w:hAnsi="Times New Roman"/>
          <w:sz w:val="20"/>
        </w:rPr>
        <w:t xml:space="preserve">(vii) The Trustee will have no obligation to calculate or verify the calculation of the applicable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Notes shall be issuable in denominations of $25 and integral multiples of $25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(k) Holders of the Notes will not have the option to have the Notes repaid prior to the Stated Maturity.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u w:val="single"/>
        </w:rPr>
        <w:t>Section 2.01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 </w:t>
      </w:r>
    </w:p>
    <w:p>
      <w:pPr>
        <w:pStyle w:val="TextBody"/>
        <w:bidi w:val="0"/>
        <w:spacing w:before="240" w:after="0"/>
        <w:jc w:val="left"/>
        <w:rPr/>
      </w:pPr>
      <w:r>
        <w:rPr/>
        <w:t>“</w:t>
      </w:r>
      <w:r>
        <w:rPr>
          <w:rFonts w:ascii="Times New Roman" w:hAnsi="Times New Roman"/>
          <w:sz w:val="20"/>
          <w:u w:val="single"/>
        </w:rPr>
        <w:t>Additional Notes</w:t>
      </w:r>
      <w:r>
        <w:rPr>
          <w:rFonts w:ascii="Times New Roman" w:hAnsi="Times New Roman"/>
          <w:sz w:val="20"/>
        </w:rPr>
        <w:t xml:space="preserve">” shall have the meaning provided in </w:t>
      </w:r>
      <w:r>
        <w:rPr>
          <w:rFonts w:ascii="Times New Roman" w:hAnsi="Times New Roman"/>
          <w:sz w:val="20"/>
          <w:u w:val="single"/>
        </w:rPr>
        <w:t>Section 1.01(b)</w:t>
      </w:r>
      <w:r>
        <w:rPr>
          <w:rFonts w:ascii="Times New Roman" w:hAnsi="Times New Roman"/>
          <w:sz w:val="20"/>
        </w:rPr>
        <w:t xml:space="preserve"> of this Third Supplemental Indenture.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each Note in global form, The Depository Trust Company, until a successor shall have been appointed and becomes such person, and thereafter, Depositary shall mean or include such successor.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w:t>
      </w:r>
    </w:p>
    <w:p>
      <w:pPr>
        <w:pStyle w:val="TextBody"/>
        <w:bidi w:val="0"/>
        <w:spacing w:before="240" w:after="0"/>
        <w:jc w:val="left"/>
        <w:rPr/>
      </w:pPr>
      <w:r>
        <w:rPr/>
        <w:t>“</w:t>
      </w:r>
      <w:r>
        <w:rPr>
          <w:rFonts w:ascii="Times New Roman" w:hAnsi="Times New Roman"/>
          <w:sz w:val="20"/>
          <w:u w:val="single"/>
        </w:rPr>
        <w:t>Securities 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means any Subsidiary that would be a “significant subsidiary” as defined in Article 1, Rule 1-02 of Regulation S-X under the Securities Exchange Act, as such regulation is in effect on the original date of this Indenture (but excluding any Subsidiary which is (a) a non-recourse or limited recourse Subsidiary, (b) a bankruptcy remote special purpose vehicle or (c) is not consolidated with the Company for purposes of GAAP). </w:t>
      </w:r>
    </w:p>
    <w:p>
      <w:pPr>
        <w:pStyle w:val="TextBody"/>
        <w:bidi w:val="0"/>
        <w:spacing w:before="240" w:after="0"/>
        <w:jc w:val="left"/>
        <w:rPr/>
      </w:pPr>
      <w:r>
        <w:rPr/>
        <w:t>“</w:t>
      </w:r>
      <w:r>
        <w:rPr>
          <w:rFonts w:ascii="Times New Roman" w:hAnsi="Times New Roman"/>
          <w:sz w:val="20"/>
          <w:u w:val="single"/>
        </w:rPr>
        <w:t>Surviving Person</w:t>
      </w:r>
      <w:r>
        <w:rPr>
          <w:rFonts w:ascii="Times New Roman" w:hAnsi="Times New Roman"/>
          <w:sz w:val="20"/>
        </w:rPr>
        <w:t xml:space="preserve">” shall have the meaning provided in </w:t>
      </w:r>
      <w:r>
        <w:rPr>
          <w:rFonts w:ascii="Times New Roman" w:hAnsi="Times New Roman"/>
          <w:sz w:val="20"/>
          <w:u w:val="single"/>
        </w:rPr>
        <w:t>Section 7.01</w:t>
      </w:r>
      <w:r>
        <w:rPr>
          <w:rFonts w:ascii="Times New Roman" w:hAnsi="Times New Roman"/>
          <w:sz w:val="20"/>
        </w:rPr>
        <w:t xml:space="preserve"> of this Third Supplemental Indenture. </w:t>
      </w:r>
    </w:p>
    <w:p>
      <w:pPr>
        <w:pStyle w:val="TextBody"/>
        <w:bidi w:val="0"/>
        <w:spacing w:before="240" w:after="0"/>
        <w:jc w:val="left"/>
        <w:rPr>
          <w:rFonts w:ascii="Times New Roman" w:hAnsi="Times New Roman"/>
          <w:sz w:val="20"/>
        </w:rPr>
      </w:pPr>
      <w:r>
        <w:rPr>
          <w:rFonts w:ascii="Times New Roman" w:hAnsi="Times New Roman"/>
          <w:sz w:val="20"/>
          <w:u w:val="single"/>
        </w:rPr>
        <w:t>Section 2.02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“Business Day” included therein in its entirety with the following: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each Monday, Tuesday, Wednesday, Thursday and Friday that is not a day on which banking institutions in The City of New York are authorized or required by law or executive order to close. </w:t>
      </w:r>
    </w:p>
    <w:p>
      <w:pPr>
        <w:pStyle w:val="TextBody"/>
        <w:bidi w:val="0"/>
        <w:spacing w:before="240" w:after="0"/>
        <w:jc w:val="left"/>
        <w:rPr>
          <w:rFonts w:ascii="Times New Roman" w:hAnsi="Times New Roman"/>
          <w:sz w:val="20"/>
        </w:rPr>
      </w:pPr>
      <w:r>
        <w:rPr>
          <w:rFonts w:ascii="Times New Roman" w:hAnsi="Times New Roman"/>
          <w:sz w:val="20"/>
          <w:u w:val="single"/>
        </w:rPr>
        <w:t>Section 2.03</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“Subsidiary” included therein in its entirety with the following: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FORM </w:t>
      </w:r>
    </w:p>
    <w:p>
      <w:pPr>
        <w:pStyle w:val="TextBody"/>
        <w:bidi w:val="0"/>
        <w:spacing w:before="240" w:after="0"/>
        <w:jc w:val="left"/>
        <w:rPr>
          <w:rFonts w:ascii="Times New Roman" w:hAnsi="Times New Roman"/>
          <w:sz w:val="20"/>
        </w:rPr>
      </w:pPr>
      <w:r>
        <w:rPr>
          <w:rFonts w:ascii="Times New Roman" w:hAnsi="Times New Roman"/>
          <w:sz w:val="20"/>
          <w:u w:val="single"/>
        </w:rPr>
        <w:t>Section 3.01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 </w:t>
      </w:r>
    </w:p>
    <w:p>
      <w:pPr>
        <w:pStyle w:val="TextBody"/>
        <w:bidi w:val="0"/>
        <w:spacing w:before="240" w:after="0"/>
        <w:jc w:val="left"/>
        <w:rPr/>
      </w:pPr>
      <w:r>
        <w:rPr/>
        <w:t>“</w:t>
      </w:r>
      <w:r>
        <w:rPr>
          <w:rFonts w:ascii="Times New Roman" w:hAnsi="Times New Roman"/>
          <w:b/>
          <w:sz w:val="20"/>
        </w:rPr>
        <w:t xml:space="preserve">Section 204. Certificated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Securities in physical, certificated form will be issued and delivered to each person that the Depositary identifies as a beneficial owner of the related Securities only if: </w:t>
      </w:r>
    </w:p>
    <w:p>
      <w:pPr>
        <w:pStyle w:val="TextBody"/>
        <w:bidi w:val="0"/>
        <w:spacing w:before="120" w:after="0"/>
        <w:jc w:val="left"/>
        <w:rPr>
          <w:rFonts w:ascii="Times New Roman" w:hAnsi="Times New Roman"/>
          <w:sz w:val="20"/>
        </w:rPr>
      </w:pPr>
      <w:r>
        <w:rPr>
          <w:rFonts w:ascii="Times New Roman" w:hAnsi="Times New Roman"/>
          <w:sz w:val="20"/>
        </w:rPr>
        <w:t xml:space="preserve">(1) the Depositary notifies the Company at any time that it is unwilling or unable to continue as depositary for the Securities in global form and a successor depositary is not appointed within 90 days; </w:t>
      </w:r>
    </w:p>
    <w:p>
      <w:pPr>
        <w:pStyle w:val="TextBody"/>
        <w:bidi w:val="0"/>
        <w:spacing w:before="120" w:after="0"/>
        <w:jc w:val="left"/>
        <w:rPr>
          <w:rFonts w:ascii="Times New Roman" w:hAnsi="Times New Roman"/>
          <w:sz w:val="20"/>
        </w:rPr>
      </w:pPr>
      <w:r>
        <w:rPr>
          <w:rFonts w:ascii="Times New Roman" w:hAnsi="Times New Roman"/>
          <w:sz w:val="20"/>
        </w:rPr>
        <w:t xml:space="preserve">(2) the Depositary ceases to be registered as a clearing agency under the Securities Exchange Act and a successor depositary is not appointed within 90 days; or </w:t>
      </w:r>
    </w:p>
    <w:p>
      <w:pPr>
        <w:pStyle w:val="TextBody"/>
        <w:bidi w:val="0"/>
        <w:spacing w:before="120" w:after="0"/>
        <w:jc w:val="left"/>
        <w:rPr>
          <w:rFonts w:ascii="Times New Roman" w:hAnsi="Times New Roman"/>
          <w:sz w:val="20"/>
        </w:rPr>
      </w:pPr>
      <w:r>
        <w:rPr>
          <w:rFonts w:ascii="Times New Roman" w:hAnsi="Times New Roman"/>
          <w:sz w:val="20"/>
        </w:rPr>
        <w:t xml:space="preserve">(3) an Event of Default with respect to the Securities has occurred and is continuing and such beneficial owner requests that its Securities be issued in physical, certificated form.”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u w:val="single"/>
        </w:rPr>
        <w:t>Section 4.01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 </w:t>
      </w:r>
    </w:p>
    <w:p>
      <w:pPr>
        <w:pStyle w:val="TextBody"/>
        <w:bidi w:val="0"/>
        <w:spacing w:before="120" w:after="0"/>
        <w:jc w:val="left"/>
        <w:rPr/>
      </w:pPr>
      <w:r>
        <w:rPr/>
        <w:t>“</w:t>
      </w: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or” </w:t>
      </w:r>
    </w:p>
    <w:p>
      <w:pPr>
        <w:pStyle w:val="TextBody"/>
        <w:bidi w:val="0"/>
        <w:spacing w:before="240" w:after="0"/>
        <w:jc w:val="left"/>
        <w:rPr>
          <w:rFonts w:ascii="Times New Roman" w:hAnsi="Times New Roman"/>
          <w:sz w:val="20"/>
        </w:rPr>
      </w:pPr>
      <w:r>
        <w:rPr>
          <w:rFonts w:ascii="Times New Roman" w:hAnsi="Times New Roman"/>
          <w:sz w:val="20"/>
          <w:u w:val="single"/>
        </w:rPr>
        <w:t>Section 4.02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(6) thereof in its entirety with the following: </w:t>
      </w:r>
    </w:p>
    <w:p>
      <w:pPr>
        <w:pStyle w:val="TextBody"/>
        <w:bidi w:val="0"/>
        <w:spacing w:before="120" w:after="0"/>
        <w:jc w:val="left"/>
        <w:rPr/>
      </w:pPr>
      <w:r>
        <w:rPr/>
        <w:t>“</w:t>
      </w:r>
      <w:r>
        <w:rPr>
          <w:rFonts w:ascii="Times New Roman" w:hAnsi="Times New Roman"/>
          <w:sz w:val="20"/>
        </w:rPr>
        <w:t xml:space="preserve">(6)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the Company in an involuntary case or proceeding, or </w:t>
      </w:r>
    </w:p>
    <w:p>
      <w:pPr>
        <w:pStyle w:val="TextBody"/>
        <w:bidi w:val="0"/>
        <w:spacing w:before="120" w:after="0"/>
        <w:jc w:val="left"/>
        <w:rPr>
          <w:rFonts w:ascii="Times New Roman" w:hAnsi="Times New Roman"/>
          <w:sz w:val="20"/>
        </w:rPr>
      </w:pPr>
      <w:r>
        <w:rPr>
          <w:rFonts w:ascii="Times New Roman" w:hAnsi="Times New Roman"/>
          <w:sz w:val="20"/>
        </w:rPr>
        <w:t xml:space="preserve">(B) adjudges the Company bankrupt or insolvent, or approves as properly filed a petition seeking reorganization, arrangement, adjustment or composition of or in respect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(C)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orders the winding up or liquidation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continuance of any such decree or order for relief or any such other decree or order unstayed and undischarged and in effect for a period of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4.03</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(7) thereof in its entirety with the following: </w:t>
      </w:r>
    </w:p>
    <w:p>
      <w:pPr>
        <w:pStyle w:val="TextBody"/>
        <w:bidi w:val="0"/>
        <w:spacing w:before="120" w:after="0"/>
        <w:jc w:val="left"/>
        <w:rPr/>
      </w:pPr>
      <w:r>
        <w:rPr/>
        <w:t>“</w:t>
      </w:r>
      <w:r>
        <w:rPr>
          <w:rFonts w:ascii="Times New Roman" w:hAnsi="Times New Roman"/>
          <w:sz w:val="20"/>
        </w:rPr>
        <w:t xml:space="preserve">(7) default by the Company or any of its Significant Subsidiaries, with respect to any mortgage, agreement or other instrument under which there may be outstanding, or by which there may be secured or evidenced, any indebtedness for money borrowed in excess of $75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or </w:t>
      </w:r>
    </w:p>
    <w:p>
      <w:pPr>
        <w:pStyle w:val="TextBody"/>
        <w:bidi w:val="0"/>
        <w:spacing w:before="120" w:after="0"/>
        <w:jc w:val="left"/>
        <w:rPr>
          <w:rFonts w:ascii="Times New Roman" w:hAnsi="Times New Roman"/>
          <w:sz w:val="20"/>
        </w:rPr>
      </w:pPr>
      <w:r>
        <w:rPr>
          <w:rFonts w:ascii="Times New Roman" w:hAnsi="Times New Roman"/>
          <w:sz w:val="20"/>
        </w:rPr>
        <w:t xml:space="preserve">(8) pursuant to Section 18(a)(1)(C)(ii) and Section 61 of the Investment Company Act, or any successor provisions, on the last business day of each of 24 consecutive calendar months, any class of the Securities shall have an asset coverage (as such term is used in the Investment Company Act) of less than 100%, giving effect to any amendments to such provisions of the Investment Company Act or to any exemptive relief granted to the Company by the Commission; or” </w:t>
      </w:r>
    </w:p>
    <w:p>
      <w:pPr>
        <w:pStyle w:val="TextBody"/>
        <w:bidi w:val="0"/>
        <w:spacing w:before="240" w:after="0"/>
        <w:jc w:val="left"/>
        <w:rPr>
          <w:rFonts w:ascii="Times New Roman" w:hAnsi="Times New Roman"/>
          <w:sz w:val="20"/>
        </w:rPr>
      </w:pPr>
      <w:r>
        <w:rPr>
          <w:rFonts w:ascii="Times New Roman" w:hAnsi="Times New Roman"/>
          <w:sz w:val="20"/>
          <w:u w:val="single"/>
        </w:rPr>
        <w:t>Section 4.04</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in its entirety with the following: </w:t>
      </w:r>
    </w:p>
    <w:p>
      <w:pPr>
        <w:pStyle w:val="TextBody"/>
        <w:bidi w:val="0"/>
        <w:spacing w:before="120" w:after="0"/>
        <w:jc w:val="left"/>
        <w:rPr/>
      </w:pPr>
      <w:r>
        <w:rPr/>
        <w:t>“</w:t>
      </w:r>
      <w:r>
        <w:rPr>
          <w:rFonts w:ascii="Times New Roman" w:hAnsi="Times New Roman"/>
          <w:sz w:val="20"/>
        </w:rPr>
        <w:t xml:space="preserve">If an Event of Default with respect to the Notes occurs and is continuing, then and in every such case (other than an Event of Default specified in Section 501(5) or 501(6)), the Trustee or the holders of not less than 25% in principal amount of the Outstanding Notes may declare the principal of all the Outstanding Notes to be due and payable immediately, by a notice in writing to the Company (and to the Trustee if given by the holders of the Outstanding Notes), and upon any such declaration such principal shall become immediately due and payable; </w:t>
      </w:r>
      <w:r>
        <w:rPr>
          <w:rFonts w:ascii="Times New Roman" w:hAnsi="Times New Roman"/>
          <w:i/>
          <w:sz w:val="20"/>
        </w:rPr>
        <w:t>provided</w:t>
      </w:r>
      <w:r>
        <w:rPr>
          <w:rFonts w:ascii="Times New Roman" w:hAnsi="Times New Roman"/>
          <w:sz w:val="20"/>
        </w:rPr>
        <w:t xml:space="preserve">, that 100% of the principal of, and accrued and unpaid interest on, the Outstanding Notes will automatically become due and payable in the case of an Event of Default specified in Section 501(5) or 501(6) hereof.” </w:t>
      </w:r>
    </w:p>
    <w:p>
      <w:pPr>
        <w:pStyle w:val="TextBody"/>
        <w:bidi w:val="0"/>
        <w:spacing w:before="240" w:after="0"/>
        <w:jc w:val="left"/>
        <w:rPr>
          <w:rFonts w:ascii="Times New Roman" w:hAnsi="Times New Roman"/>
          <w:sz w:val="20"/>
        </w:rPr>
      </w:pPr>
      <w:r>
        <w:rPr>
          <w:rFonts w:ascii="Times New Roman" w:hAnsi="Times New Roman"/>
          <w:sz w:val="20"/>
          <w:u w:val="single"/>
        </w:rPr>
        <w:t>Section 4.05</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507 of the Base Indenture shall be amended by replacing clause (3) thereof in its entirety with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(3) such Holder or Holders have offered to the Trustee security or indemnity satisfactory to the Trustee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u w:val="single"/>
        </w:rPr>
        <w:t>Section 4.06</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512 of the Base Indenture shall be amended by replacing clause (3) thereof in its entirety with the following: </w:t>
      </w:r>
    </w:p>
    <w:p>
      <w:pPr>
        <w:pStyle w:val="TextBody"/>
        <w:bidi w:val="0"/>
        <w:spacing w:before="120" w:after="0"/>
        <w:jc w:val="left"/>
        <w:rPr/>
      </w:pPr>
      <w:r>
        <w:rPr/>
        <w:t>“</w:t>
      </w:r>
      <w:r>
        <w:rPr>
          <w:rFonts w:ascii="Times New Roman" w:hAnsi="Times New Roman"/>
          <w:sz w:val="20"/>
        </w:rPr>
        <w:t xml:space="preserve">(3)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u w:val="single"/>
        </w:rPr>
        <w:t>Section 5.01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1006 of the Base Indenture shall be amended by replacing Section 1006 thereof in its entirety with the following: </w:t>
      </w:r>
    </w:p>
    <w:p>
      <w:pPr>
        <w:pStyle w:val="TextBody"/>
        <w:bidi w:val="0"/>
        <w:spacing w:before="240" w:after="0"/>
        <w:jc w:val="left"/>
        <w:rPr/>
      </w:pPr>
      <w:r>
        <w:rPr/>
        <w:t>“</w:t>
      </w:r>
      <w:r>
        <w:rPr>
          <w:rFonts w:ascii="Times New Roman" w:hAnsi="Times New Roman"/>
          <w:b/>
          <w:sz w:val="20"/>
        </w:rPr>
        <w:t xml:space="preserve">Section 1006. [RESERVED.]” </w:t>
      </w:r>
    </w:p>
    <w:p>
      <w:pPr>
        <w:pStyle w:val="TextBody"/>
        <w:bidi w:val="0"/>
        <w:spacing w:before="240" w:after="0"/>
        <w:jc w:val="left"/>
        <w:rPr>
          <w:rFonts w:ascii="Times New Roman" w:hAnsi="Times New Roman"/>
          <w:sz w:val="20"/>
        </w:rPr>
      </w:pPr>
      <w:r>
        <w:rPr>
          <w:rFonts w:ascii="Times New Roman" w:hAnsi="Times New Roman"/>
          <w:sz w:val="20"/>
          <w:u w:val="single"/>
        </w:rPr>
        <w:t>Section 5.02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1009 and 1010 thereto, each as set forth below: </w:t>
      </w:r>
    </w:p>
    <w:p>
      <w:pPr>
        <w:pStyle w:val="TextBody"/>
        <w:bidi w:val="0"/>
        <w:spacing w:before="120" w:after="0"/>
        <w:jc w:val="left"/>
        <w:rPr/>
      </w:pPr>
      <w:r>
        <w:rPr/>
        <w:t>“</w:t>
      </w:r>
      <w:r>
        <w:rPr>
          <w:rFonts w:ascii="Times New Roman" w:hAnsi="Times New Roman"/>
          <w:b/>
          <w:sz w:val="20"/>
        </w:rPr>
        <w:t xml:space="preserve">Section 1008. Section 18(a)(1)(A)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 </w:t>
      </w:r>
    </w:p>
    <w:p>
      <w:pPr>
        <w:pStyle w:val="TextBody"/>
        <w:bidi w:val="0"/>
        <w:spacing w:before="120" w:after="0"/>
        <w:jc w:val="left"/>
        <w:rPr/>
      </w:pPr>
      <w:r>
        <w:rPr/>
        <w:t>“</w:t>
      </w:r>
      <w:r>
        <w:rPr>
          <w:rFonts w:ascii="Times New Roman" w:hAnsi="Times New Roman"/>
          <w:b/>
          <w:sz w:val="20"/>
        </w:rPr>
        <w:t xml:space="preserve">Section 1009. Section 18(a)(1)(B)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for the period of time during which Notes are outstanding, the Company will not declare any dividend (except a dividend payable in its stock), or declare any other distribution, upon a class of the Company’s capital stock, or purchase any such capital stock, unless, in every such case, at the time of the declaration of any such dividend or distribution, or at the time of any such purchase, the Company has an asset coverage, as defined in the Investment Company Act, of at least the threshold specified under Section 18(a)(1)(B) as modified by Section 61(a)(2) of the Investment Company Act or any successor provisions thereto of the Investment Company Act, after deducting the amount of such dividend, distribution or purchase price, as the case may be, and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giving effect to any no-action relief granted by the Commission to another business development company and upon which the Company may reasonably rely (or to the Company if the Company determines to seek such similar no-action or other relief) permitting the business development company to declare any cash dividend or distribution notwithstanding the prohibition contained in Section 18(a)(1)(B) as modified by Section 61(a)(2) of the Investment Company Act, in order to maintain its status as a regulated investment company under Subchapter M of the Internal Revenue Code of 1986, as amended. </w:t>
      </w:r>
    </w:p>
    <w:p>
      <w:pPr>
        <w:pStyle w:val="TextBody"/>
        <w:bidi w:val="0"/>
        <w:spacing w:before="120" w:after="0"/>
        <w:jc w:val="left"/>
        <w:rPr/>
      </w:pPr>
      <w:r>
        <w:rPr/>
        <w:t>“</w:t>
      </w:r>
      <w:r>
        <w:rPr>
          <w:rFonts w:ascii="Times New Roman" w:hAnsi="Times New Roman"/>
          <w:b/>
          <w:sz w:val="20"/>
        </w:rPr>
        <w:t xml:space="preserve">Section 1010. Commission Reports and Reports to Holders.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Company is not subject to the reporting requirements of Sections 13 or 15(d) of the Securities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u w:val="single"/>
        </w:rPr>
        <w:t>Section 6.01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602 of the Base Indenture shall be amended by replacing clause (5) thereof in its entirety with the following: </w:t>
      </w:r>
    </w:p>
    <w:p>
      <w:pPr>
        <w:pStyle w:val="TextBody"/>
        <w:bidi w:val="0"/>
        <w:spacing w:before="120" w:after="0"/>
        <w:jc w:val="left"/>
        <w:rPr/>
      </w:pPr>
      <w:r>
        <w:rPr/>
        <w:t>“</w:t>
      </w:r>
      <w:r>
        <w:rPr>
          <w:rFonts w:ascii="Times New Roman" w:hAnsi="Times New Roman"/>
          <w:sz w:val="20"/>
        </w:rPr>
        <w:t xml:space="preserve">(5) The Trustee shall be under no obligation to exercise any of the rights or powers vested in it by this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CONVEYANCE OR TRANSFER </w:t>
      </w:r>
    </w:p>
    <w:p>
      <w:pPr>
        <w:pStyle w:val="TextBody"/>
        <w:bidi w:val="0"/>
        <w:spacing w:before="240" w:after="0"/>
        <w:jc w:val="left"/>
        <w:rPr>
          <w:rFonts w:ascii="Times New Roman" w:hAnsi="Times New Roman"/>
          <w:sz w:val="20"/>
        </w:rPr>
      </w:pPr>
      <w:r>
        <w:rPr>
          <w:rFonts w:ascii="Times New Roman" w:hAnsi="Times New Roman"/>
          <w:sz w:val="20"/>
          <w:u w:val="single"/>
        </w:rPr>
        <w:t>Section 7.01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801 of the Base Indenture shall be amended by replacing Section 801 in its entirety with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Section 801. Company May Consolidate, Etc., Only on Certain Terms.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and provided further that this Section 801 shall not apply to any sale, transfer, lease, conveyance, or other disposition of all or substantially all of the Company’s property to a wholly owned Subsidiary) in one transaction or series of related transactions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be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Outstanding Securities, and the due and punctual performance and observance of all the covenants and conditions of this Indenture to be performed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immediately before and immediately after giving effect to such transaction or series of related transactions, no Default or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 </w:t>
      </w:r>
    </w:p>
    <w:p>
      <w:pPr>
        <w:pStyle w:val="TextBody"/>
        <w:bidi w:val="0"/>
        <w:spacing w:before="240" w:after="0"/>
        <w:jc w:val="left"/>
        <w:rPr>
          <w:rFonts w:ascii="Times New Roman" w:hAnsi="Times New Roman"/>
          <w:sz w:val="20"/>
        </w:rPr>
      </w:pPr>
      <w:r>
        <w:rPr>
          <w:rFonts w:ascii="Times New Roman" w:hAnsi="Times New Roman"/>
          <w:sz w:val="20"/>
          <w:u w:val="single"/>
        </w:rPr>
        <w:t>Section 7.02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802 of the Base Indenture shall be amended by replacing Section 802 in its entirety with the following: </w:t>
      </w:r>
    </w:p>
    <w:p>
      <w:pPr>
        <w:pStyle w:val="TextBody"/>
        <w:bidi w:val="0"/>
        <w:spacing w:before="120" w:after="0"/>
        <w:jc w:val="left"/>
        <w:rPr/>
      </w:pPr>
      <w:r>
        <w:rPr/>
        <w:t>“</w:t>
      </w:r>
      <w:r>
        <w:rPr>
          <w:rFonts w:ascii="Times New Roman" w:hAnsi="Times New Roman"/>
          <w:b/>
          <w:sz w:val="20"/>
        </w:rPr>
        <w:t xml:space="preserve">Section 802. Successor Person Substituted.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consolidation or merger, or any conveyance or transfer of the properties and assets of the Company substantially as an entirety in accordance with Section 801, the successor Person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u w:val="single"/>
        </w:rPr>
        <w:t>Section 8.01</w:t>
      </w:r>
      <w:r>
        <w:rPr>
          <w:rFonts w:ascii="Times New Roman" w:hAnsi="Times New Roman"/>
          <w:sz w:val="20"/>
        </w:rPr>
        <w:t xml:space="preserve"> In the event of any conflict between the terms relating to redemption set forth in </w:t>
      </w:r>
      <w:r>
        <w:rPr>
          <w:rFonts w:ascii="Times New Roman" w:hAnsi="Times New Roman"/>
          <w:sz w:val="20"/>
          <w:u w:val="single"/>
        </w:rPr>
        <w:t>Section 1.01(h)</w:t>
      </w:r>
      <w:r>
        <w:rPr>
          <w:rFonts w:ascii="Times New Roman" w:hAnsi="Times New Roman"/>
          <w:sz w:val="20"/>
        </w:rPr>
        <w:t xml:space="preserve"> of this Third Supplemental Indenture and Article 11 of the Base Indenture, the terms set forth in this Third Supplemental Indenture shall control. </w:t>
      </w:r>
    </w:p>
    <w:p>
      <w:pPr>
        <w:pStyle w:val="TextBody"/>
        <w:bidi w:val="0"/>
        <w:spacing w:before="240" w:after="0"/>
        <w:jc w:val="left"/>
        <w:rPr>
          <w:rFonts w:ascii="Times New Roman" w:hAnsi="Times New Roman"/>
          <w:sz w:val="20"/>
        </w:rPr>
      </w:pPr>
      <w:r>
        <w:rPr>
          <w:rFonts w:ascii="Times New Roman" w:hAnsi="Times New Roman"/>
          <w:sz w:val="20"/>
          <w:u w:val="single"/>
        </w:rPr>
        <w:t>Section 8.02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Section 1103 in its entirety with the following: </w:t>
      </w:r>
    </w:p>
    <w:p>
      <w:pPr>
        <w:pStyle w:val="TextBody"/>
        <w:bidi w:val="0"/>
        <w:spacing w:before="12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1103. Selection by Trustee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on a </w:t>
      </w:r>
      <w:r>
        <w:rPr>
          <w:rFonts w:ascii="Times New Roman" w:hAnsi="Times New Roman"/>
          <w:i/>
          <w:sz w:val="20"/>
        </w:rPr>
        <w:t>pro rata</w:t>
      </w:r>
      <w:r>
        <w:rPr>
          <w:rFonts w:ascii="Times New Roman" w:hAnsi="Times New Roman"/>
          <w:sz w:val="20"/>
        </w:rPr>
        <w:t xml:space="preserve"> basis to the extent practicable or (ii) to the extent that selection on a </w:t>
      </w:r>
      <w:r>
        <w:rPr>
          <w:rFonts w:ascii="Times New Roman" w:hAnsi="Times New Roman"/>
          <w:i/>
          <w:sz w:val="20"/>
        </w:rPr>
        <w:t>pro rata</w:t>
      </w:r>
      <w:r>
        <w:rPr>
          <w:rFonts w:ascii="Times New Roman" w:hAnsi="Times New Roman"/>
          <w:sz w:val="20"/>
        </w:rPr>
        <w:t xml:space="preserve"> basis is not practicable by lot or such other similar method the Trustee deems to be fair and appropriate (and, in any case, in accordance with (x) the applicable procedures of the Depositary, (y) the Investment Company Act as directed by the Company and (z) the rules of any national securities exchange or quotation system on which the Notes are listed) from the Outstanding Securities of such series issued on such date with the same terms not previously called for redemption, not less than 30 nor more than 60 days prior to the Redemption Date; </w:t>
      </w:r>
      <w:r>
        <w:rPr>
          <w:rFonts w:ascii="Times New Roman" w:hAnsi="Times New Roman"/>
          <w:i/>
          <w:sz w:val="20"/>
        </w:rPr>
        <w:t>provided</w:t>
      </w:r>
      <w:r>
        <w:rPr>
          <w:rFonts w:ascii="Times New Roman" w:hAnsi="Times New Roman"/>
          <w:sz w:val="20"/>
        </w:rPr>
        <w:t xml:space="preserve">, that such method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promptly notify the Company and the Security Registrar (if other than itself) in writing of the Securities selected for redemption and, in the case of any Securities selected for partial redemption, the principal amount thereof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sz w:val="20"/>
          <w:u w:val="single"/>
        </w:rPr>
        <w:t>Section 9.01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1404 of the Base Indenture shall be amended by replacing clause (a) thereof in its entirety with the following: </w:t>
      </w:r>
    </w:p>
    <w:p>
      <w:pPr>
        <w:pStyle w:val="TextBody"/>
        <w:bidi w:val="0"/>
        <w:spacing w:before="120" w:after="0"/>
        <w:jc w:val="left"/>
        <w:rPr/>
      </w:pPr>
      <w:r>
        <w:rPr/>
        <w:t>“</w:t>
      </w:r>
      <w:r>
        <w:rPr>
          <w:rFonts w:ascii="Times New Roman" w:hAnsi="Times New Roman"/>
          <w:sz w:val="20"/>
        </w:rPr>
        <w:t xml:space="preserve">(a)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 </w:t>
      </w:r>
    </w:p>
    <w:p>
      <w:pPr>
        <w:pStyle w:val="TextBody"/>
        <w:bidi w:val="0"/>
        <w:spacing w:before="240" w:after="0"/>
        <w:jc w:val="left"/>
        <w:rPr>
          <w:rFonts w:ascii="Times New Roman" w:hAnsi="Times New Roman"/>
          <w:sz w:val="20"/>
        </w:rPr>
      </w:pPr>
      <w:r>
        <w:rPr>
          <w:rFonts w:ascii="Times New Roman" w:hAnsi="Times New Roman"/>
          <w:sz w:val="20"/>
          <w:u w:val="single"/>
        </w:rPr>
        <w:t>Section 9.02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1405 of the Base Indenture shall be amended by replacing the final paragraph thereof in its entirety with the following: </w:t>
      </w:r>
    </w:p>
    <w:p>
      <w:pPr>
        <w:pStyle w:val="TextBody"/>
        <w:bidi w:val="0"/>
        <w:spacing w:before="120" w:after="0"/>
        <w:jc w:val="left"/>
        <w:rPr/>
      </w:pPr>
      <w:r>
        <w:rPr/>
        <w:t>“</w:t>
      </w:r>
      <w:r>
        <w:rPr>
          <w:rFonts w:ascii="Times New Roman" w:hAnsi="Times New Roman"/>
          <w:sz w:val="20"/>
        </w:rPr>
        <w:t xml:space="preserve">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VOTING </w:t>
      </w:r>
    </w:p>
    <w:p>
      <w:pPr>
        <w:pStyle w:val="TextBody"/>
        <w:bidi w:val="0"/>
        <w:spacing w:before="240" w:after="0"/>
        <w:jc w:val="left"/>
        <w:rPr>
          <w:rFonts w:ascii="Times New Roman" w:hAnsi="Times New Roman"/>
          <w:sz w:val="20"/>
        </w:rPr>
      </w:pPr>
      <w:r>
        <w:rPr>
          <w:rFonts w:ascii="Times New Roman" w:hAnsi="Times New Roman"/>
          <w:sz w:val="20"/>
          <w:u w:val="single"/>
        </w:rPr>
        <w:t>Section 10.01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1505 of the Base Indenture shall be amended by replacing clause (c) thereof in its entirety with the following: </w:t>
      </w:r>
    </w:p>
    <w:p>
      <w:pPr>
        <w:pStyle w:val="TextBody"/>
        <w:bidi w:val="0"/>
        <w:spacing w:before="240" w:after="0"/>
        <w:jc w:val="left"/>
        <w:rPr/>
      </w:pPr>
      <w:r>
        <w:rPr/>
        <w:t>“</w:t>
      </w:r>
      <w:r>
        <w:rPr>
          <w:rFonts w:ascii="Times New Roman" w:hAnsi="Times New Roman"/>
          <w:sz w:val="20"/>
        </w:rPr>
        <w:t>(c) At any meeting of Holders, each Holder of a Security of such series or proxy shall be entitled to one vote for each $25.00 principal amount of the Outstanding Securities of such series held or represented by such Holder;</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u w:val="single"/>
        </w:rPr>
        <w:t>Section 11.01</w:t>
      </w:r>
      <w:r>
        <w:rPr>
          <w:rFonts w:ascii="Times New Roman" w:hAnsi="Times New Roman"/>
          <w:sz w:val="20"/>
        </w:rPr>
        <w:t xml:space="preserve"> This Third Supplemental Indenture and the Notes shall be governed by and construed in accordance with the laws of the State of New York, without regard to principles of conflicts of laws that would cause the application of laws of another jurisdiction. This Third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 </w:t>
      </w:r>
    </w:p>
    <w:p>
      <w:pPr>
        <w:pStyle w:val="TextBody"/>
        <w:bidi w:val="0"/>
        <w:spacing w:before="240" w:after="0"/>
        <w:jc w:val="left"/>
        <w:rPr>
          <w:rFonts w:ascii="Times New Roman" w:hAnsi="Times New Roman"/>
          <w:sz w:val="20"/>
        </w:rPr>
      </w:pPr>
      <w:r>
        <w:rPr>
          <w:rFonts w:ascii="Times New Roman" w:hAnsi="Times New Roman"/>
          <w:sz w:val="20"/>
          <w:u w:val="single"/>
        </w:rPr>
        <w:t>Section 11.02</w:t>
      </w:r>
      <w:r>
        <w:rPr>
          <w:rFonts w:ascii="Times New Roman" w:hAnsi="Times New Roman"/>
          <w:sz w:val="20"/>
        </w:rPr>
        <w:t xml:space="preserve"> In case any provision in this Third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u w:val="single"/>
        </w:rPr>
        <w:t>Section 11.03</w:t>
      </w:r>
      <w:r>
        <w:rPr>
          <w:rFonts w:ascii="Times New Roman" w:hAnsi="Times New Roman"/>
          <w:sz w:val="20"/>
        </w:rPr>
        <w:t xml:space="preserve"> This Third Supplemental Indenture may be executed in any number of counterparts, each of which will be an original, but such counterparts will together constitute but one and the same Third Supplemental Indenture. The exchange of copies of this Third Supplemental Indenture and of signature pages by facsimile, .pdf transmission, email or other electronic means shall constitute effective execution and delivery of this Third Supplemental Indenture for all purposes. Signatures of the parties hereto transmitted by facsimile, .pdf transmission, email or other electronic means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u w:val="single"/>
        </w:rPr>
        <w:t>Section 11.04</w:t>
      </w:r>
      <w:r>
        <w:rPr>
          <w:rFonts w:ascii="Times New Roman" w:hAnsi="Times New Roman"/>
          <w:sz w:val="20"/>
        </w:rPr>
        <w:t xml:space="preserve"> The Base Indenture, as supplemented and amended by this Third Supplemental Indenture, is in all respects ratified and confirmed, and the Base Indenture and this Third Supplemental Indenture shall be read, taken and construed as one and the same instrument with respect to the Notes. All provisions included in this Third Supplemental Indenture supersede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conflicting provisions included in the Base Indenture with respect to the Notes, unless not permitted by law. The Trustee accepts the trusts created by the Indenture, as supplemented by this Third Supplemental Indenture, and agrees to perform the same upon the terms and conditions of the Indenture, as supplemented by this Third Supplemental Indenture. All of the provisions contained in the Base Indenture in respect of the rights, privileges, immunities, powers, and duties of the Trustee shall be applicable in respect of this Third Supplemental Indenture as fully and with like force and effect as though fully set forth in full herein. </w:t>
      </w:r>
    </w:p>
    <w:p>
      <w:pPr>
        <w:pStyle w:val="TextBody"/>
        <w:bidi w:val="0"/>
        <w:spacing w:before="240" w:after="0"/>
        <w:jc w:val="left"/>
        <w:rPr>
          <w:rFonts w:ascii="Times New Roman" w:hAnsi="Times New Roman"/>
          <w:sz w:val="20"/>
        </w:rPr>
      </w:pPr>
      <w:r>
        <w:rPr>
          <w:rFonts w:ascii="Times New Roman" w:hAnsi="Times New Roman"/>
          <w:sz w:val="20"/>
          <w:u w:val="single"/>
        </w:rPr>
        <w:t>Section 11.05</w:t>
      </w:r>
      <w:r>
        <w:rPr>
          <w:rFonts w:ascii="Times New Roman" w:hAnsi="Times New Roman"/>
          <w:sz w:val="20"/>
        </w:rPr>
        <w:t xml:space="preserve"> The provisions of this Third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sz w:val="20"/>
          <w:u w:val="single"/>
        </w:rPr>
        <w:t>Section 11.06</w:t>
      </w:r>
      <w:r>
        <w:rPr>
          <w:rFonts w:ascii="Times New Roman" w:hAnsi="Times New Roman"/>
          <w:sz w:val="20"/>
        </w:rPr>
        <w:t xml:space="preserve"> No past, present or future director, officer, employee, incorporator, or stockholder of the Company shall have any liability for any obligations of the Company under the Indenture or the Notes or for any claim based on, in respect of, or by reason of, such obligations or their creation. By accepting any Note, each Holder shall have been deemed to waive and release all such liability, and such waiver and release are part of the consideration for issuance of the Notes. </w:t>
      </w:r>
    </w:p>
    <w:p>
      <w:pPr>
        <w:pStyle w:val="TextBody"/>
        <w:bidi w:val="0"/>
        <w:spacing w:before="240" w:after="0"/>
        <w:jc w:val="left"/>
        <w:rPr>
          <w:rFonts w:ascii="Times New Roman" w:hAnsi="Times New Roman"/>
          <w:sz w:val="20"/>
        </w:rPr>
      </w:pPr>
      <w:r>
        <w:rPr>
          <w:rFonts w:ascii="Times New Roman" w:hAnsi="Times New Roman"/>
          <w:sz w:val="20"/>
          <w:u w:val="single"/>
        </w:rPr>
        <w:t>Section 11.07</w:t>
      </w:r>
      <w:r>
        <w:rPr>
          <w:rFonts w:ascii="Times New Roman" w:hAnsi="Times New Roman"/>
          <w:sz w:val="20"/>
        </w:rPr>
        <w:t xml:space="preserve"> Notwithstanding anything else to the contrary herein, the terms and provisions of this Third Supplemental Indenture shall apply only to the Notes and shall not apply to any other series of Securities under the Indenture and this Third Supplemental Indenture shall not and does not otherwise affect, modify, alter, supplement or change the terms and provisions of any other series of Securities under the Indenture, whether now or hereafter issued and Outstanding. </w:t>
      </w:r>
    </w:p>
    <w:p>
      <w:pPr>
        <w:pStyle w:val="TextBody"/>
        <w:bidi w:val="0"/>
        <w:spacing w:before="240" w:after="0"/>
        <w:jc w:val="left"/>
        <w:rPr>
          <w:rFonts w:ascii="Times New Roman" w:hAnsi="Times New Roman"/>
          <w:sz w:val="20"/>
        </w:rPr>
      </w:pPr>
      <w:r>
        <w:rPr>
          <w:rFonts w:ascii="Times New Roman" w:hAnsi="Times New Roman"/>
          <w:sz w:val="20"/>
          <w:u w:val="single"/>
        </w:rPr>
        <w:t>Section 11.08</w:t>
      </w:r>
      <w:r>
        <w:rPr>
          <w:rFonts w:ascii="Times New Roman" w:hAnsi="Times New Roman"/>
          <w:sz w:val="20"/>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Third Supplemental Indenture, the Notes or any Additional Notes, except that the Trustee represents that it is duly authorized to execute and deliver this Third Supplemental Indenture, authenticate the Notes and any Additional Notes and perform its obligations hereunder. The Trustee shall not be accountable for the use or application by the Company of the Notes or any Additional Notes or the proceeds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Third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Arthur H. Penn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Third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Third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 as Trustee</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H. Kim</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Paul H. Kim</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Assistant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Third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5"/>
        <w:gridCol w:w="110"/>
        <w:gridCol w:w="3347"/>
        <w:gridCol w:w="122"/>
        <w:gridCol w:w="3321"/>
      </w:tblGrid>
      <w:tr>
        <w:trPr/>
        <w:tc>
          <w:tcPr>
            <w:tcW w:w="330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w:t>
            </w:r>
          </w:p>
        </w:tc>
        <w:tc>
          <w:tcPr>
            <w:tcW w:w="110" w:type="dxa"/>
            <w:tcBorders/>
            <w:vAlign w:val="bottom"/>
          </w:tcPr>
          <w:p>
            <w:pPr>
              <w:pStyle w:val="TableContents"/>
              <w:bidi w:val="0"/>
              <w:spacing w:before="0" w:after="283"/>
              <w:jc w:val="left"/>
              <w:rPr/>
            </w:pPr>
            <w:r>
              <w:rPr/>
              <w:t> </w:t>
            </w:r>
          </w:p>
        </w:tc>
        <w:tc>
          <w:tcPr>
            <w:tcW w:w="3347"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Initially $</w:t>
            </w:r>
          </w:p>
        </w:tc>
      </w:tr>
      <w:tr>
        <w:trPr/>
        <w:tc>
          <w:tcPr>
            <w:tcW w:w="330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CUSIP No. 70806A 205</w:t>
            </w:r>
          </w:p>
        </w:tc>
      </w:tr>
      <w:tr>
        <w:trPr/>
        <w:tc>
          <w:tcPr>
            <w:tcW w:w="330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ISIN No. US70806A2050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7.375%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(U.S. $   ), or such other principal sum as shall be set forth in the Schedule of Increases or Decreases attached hereto, on June 15, 2031, and to pay interest thereon from June 1, 2026 or from the most recent Interest Payment Date to which interest has been paid or duly provided for, quarterly on March 15, June 15, September 15 and December 15 in each year, commencing September 15, 2026, at the rate of 7.375%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June 1, September 1 and December 1, as the case may be, next preceding such Interest Payment Date; </w:t>
      </w:r>
      <w:r>
        <w:rPr>
          <w:rFonts w:ascii="Times New Roman" w:hAnsi="Times New Roman"/>
          <w:i/>
          <w:sz w:val="20"/>
        </w:rPr>
        <w:t>provided</w:t>
      </w:r>
      <w:r>
        <w:rPr>
          <w:rFonts w:ascii="Times New Roman" w:hAnsi="Times New Roman"/>
          <w:sz w:val="20"/>
        </w:rPr>
        <w:t xml:space="preserve">, that if a Regular Record Date is not a Business Day, then such Regular Record Date will be the next Business Day. Any such interest not so punctually paid or duly provided for will forthwith cease to be payable to the Holder on such Regular Record Date and may either be paid to the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this Security is registered to Cede &amp; Co., such payment will be made by wire transfer in accordance with the procedures established by the Depository Trust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or electronic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w:t>
            </w:r>
          </w:p>
        </w:tc>
      </w:tr>
      <w:tr>
        <w:trPr/>
        <w:tc>
          <w:tcPr>
            <w:tcW w:w="4082" w:type="dxa"/>
            <w:gridSpan w:val="3"/>
            <w:tcBorders/>
          </w:tcPr>
          <w:p>
            <w:pPr>
              <w:pStyle w:val="TableContents"/>
              <w:bidi w:val="0"/>
              <w:spacing w:before="0" w:after="283"/>
              <w:jc w:val="left"/>
              <w:rPr/>
            </w:pPr>
            <w:r>
              <w:rPr/>
              <w:t>RATE CAPITAL LTD.</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pPr>
            <w:r>
              <w:rPr/>
              <w:t> </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Arthur H. Penn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 as Trustee</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pPr>
            <w:r>
              <w:rPr/>
              <w:t> </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 OF NOTE]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sz w:val="20"/>
        </w:rPr>
      </w:pPr>
      <w:r>
        <w:rPr>
          <w:rFonts w:ascii="Times New Roman" w:hAnsi="Times New Roman"/>
          <w:sz w:val="20"/>
        </w:rPr>
        <w:t xml:space="preserve">7.375%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(herein called the “Securities”), issued and to be issued in one or more series under an Indenture, dated as of March 23, 2021 (herein called the “Base Indenture”, which term shall have the meaning assigned to it in such instrument), between the Company and Equiniti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Third Supplemental Indenture, relating to the Securities, dated as of June 1, 2026, by and between the Company and the Trustee (herein called the “Third Supplemental Indenture”; and together with the Base Indenture, the “Indenture”). In the event of any conflict between the Base Indenture and the Third Supplemental Indenture, the Third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the series designated on the face hereof, initially limited in aggregate principal amount to $100,000,000 (or up to $115,000,000 if the underwriters’ overallotment option to purchase additional Notes is exercised in full). Under a Board Resolution, Officers’ Certificate pursuant to Board Resolutions or a Future Supplemental Indenture,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hAnsi="Times New Roman"/>
          <w:i/>
          <w:sz w:val="20"/>
        </w:rPr>
        <w:t>provided</w:t>
      </w:r>
      <w:r>
        <w:rPr>
          <w:rFonts w:ascii="Times New Roman" w:hAnsi="Times New Roman"/>
          <w:sz w:val="20"/>
        </w:rPr>
        <w:t xml:space="preserve">, that such Additional Securities must be part of the same issue as the Securities for U.S. federal income tax purposes if represented by the same CUSIP number as the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redeemed in whole or in part at any time or from time to time at the Company’s option on or after June 15, 2028 upon not less than 30 days nor more than 60 days’ written notice prior to the date fixed for redemption thereof, at a Redemption Price of 100% of the outstanding principal amount of the Securities to be redeemed plus accrued and unpaid interest payments otherwise payable thereon for the then-current quarterly interest period accrued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chooses to redeem any of the Securities, the Company will deliver a notice of redemption to holders of the Securities not less than 30 nor more than 60 days before the Redemption Date. Any exercise of the Company’s option to redeem the Securities will be done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the Investment Company Act. If the Company is redeeming less than all of the Securities, the particular Security to be redeemed will be selected by the Trustee on a </w:t>
      </w:r>
      <w:r>
        <w:rPr>
          <w:rFonts w:ascii="Times New Roman" w:hAnsi="Times New Roman"/>
          <w:i/>
          <w:sz w:val="20"/>
        </w:rPr>
        <w:t>pro rata</w:t>
      </w:r>
      <w:r>
        <w:rPr>
          <w:rFonts w:ascii="Times New Roman" w:hAnsi="Times New Roman"/>
          <w:sz w:val="20"/>
        </w:rPr>
        <w:t xml:space="preserve"> basis to the extent practicable, or, if a </w:t>
      </w:r>
      <w:r>
        <w:rPr>
          <w:rFonts w:ascii="Times New Roman" w:hAnsi="Times New Roman"/>
          <w:i/>
          <w:sz w:val="20"/>
        </w:rPr>
        <w:t>pro rata</w:t>
      </w:r>
      <w:r>
        <w:rPr>
          <w:rFonts w:ascii="Times New Roman" w:hAnsi="Times New Roman"/>
          <w:sz w:val="20"/>
        </w:rPr>
        <w:t xml:space="preserve"> basis is not practicable for any reason, by lot or in such other manner as the Trustee deems fair and appropriate, and in any case, in accordance with (x) the applicable procedures of the Depositary, (y) the Investment Company Act as directed by the Company and (z) rules of any national securities exchange or quotation system on which the Securities are listed; </w:t>
      </w:r>
      <w:r>
        <w:rPr>
          <w:rFonts w:ascii="Times New Roman" w:hAnsi="Times New Roman"/>
          <w:i/>
          <w:sz w:val="20"/>
        </w:rPr>
        <w:t>provided</w:t>
      </w:r>
      <w:r>
        <w:rPr>
          <w:rFonts w:ascii="Times New Roman" w:hAnsi="Times New Roman"/>
          <w:sz w:val="20"/>
        </w:rPr>
        <w:t xml:space="preserve">, that no such partial redemption will reduce the portion of the principal amount of the Securities not redeemed to less than $25.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or portions of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security or indemnity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that would cause the application of laws of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1"/>
        <w:gridCol w:w="124"/>
        <w:gridCol w:w="4990"/>
      </w:tblGrid>
      <w:tr>
        <w:trPr/>
        <w:tc>
          <w:tcPr>
            <w:tcW w:w="509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90" w:type="dxa"/>
            <w:tcBorders/>
            <w:vAlign w:val="center"/>
          </w:tcPr>
          <w:p>
            <w:pPr>
              <w:pStyle w:val="TableContents"/>
              <w:bidi w:val="0"/>
              <w:spacing w:before="0" w:after="283"/>
              <w:jc w:val="left"/>
              <w:rPr>
                <w:sz w:val="4"/>
                <w:szCs w:val="4"/>
              </w:rPr>
            </w:pPr>
            <w:r>
              <w:rPr>
                <w:sz w:val="4"/>
                <w:szCs w:val="4"/>
              </w:rPr>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To assign this Note, fill in the form below:</w:t>
            </w:r>
          </w:p>
          <w:p>
            <w:pPr>
              <w:pStyle w:val="TableContents"/>
              <w:bidi w:val="0"/>
              <w:spacing w:before="0" w:after="0"/>
              <w:jc w:val="left"/>
              <w:rPr>
                <w:rFonts w:ascii="Times New Roman" w:hAnsi="Times New Roman"/>
                <w:sz w:val="20"/>
              </w:rPr>
            </w:pPr>
            <w:r>
              <w:rPr>
                <w:rFonts w:ascii="Times New Roman" w:hAnsi="Times New Roman"/>
                <w:sz w:val="20"/>
              </w:rPr>
              <w:t>(I) or (we) assign and transfer this</w:t>
            </w:r>
          </w:p>
          <w:p>
            <w:pPr>
              <w:pStyle w:val="TableContents"/>
              <w:bidi w:val="0"/>
              <w:spacing w:before="0" w:after="20"/>
              <w:jc w:val="left"/>
              <w:rPr>
                <w:rFonts w:ascii="Times New Roman" w:hAnsi="Times New Roman"/>
                <w:sz w:val="20"/>
              </w:rPr>
            </w:pPr>
            <w:r>
              <w:rPr>
                <w:rFonts w:ascii="Times New Roman" w:hAnsi="Times New Roman"/>
                <w:sz w:val="20"/>
              </w:rPr>
              <w:t>Note to:</w:t>
            </w:r>
          </w:p>
        </w:tc>
        <w:tc>
          <w:tcPr>
            <w:tcW w:w="124" w:type="dxa"/>
            <w:tcBorders/>
            <w:vAlign w:val="bottom"/>
          </w:tcPr>
          <w:p>
            <w:pPr>
              <w:pStyle w:val="TableContents"/>
              <w:bidi w:val="0"/>
              <w:spacing w:before="0" w:after="283"/>
              <w:jc w:val="left"/>
              <w:rPr/>
            </w:pPr>
            <w:r>
              <w:rPr/>
              <w:t>  </w:t>
            </w:r>
          </w:p>
        </w:tc>
        <w:tc>
          <w:tcPr>
            <w:tcW w:w="4990"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5091" w:type="dxa"/>
            <w:tcBorders/>
            <w:vAlign w:val="center"/>
          </w:tcPr>
          <w:p>
            <w:pPr>
              <w:pStyle w:val="TableContents"/>
              <w:bidi w:val="0"/>
              <w:spacing w:before="0" w:after="283"/>
              <w:jc w:val="left"/>
              <w:rPr>
                <w:sz w:val="4"/>
                <w:szCs w:val="4"/>
              </w:rPr>
            </w:pPr>
            <w:r>
              <w:rPr>
                <w:sz w:val="4"/>
                <w:szCs w:val="4"/>
              </w:rPr>
            </w:r>
          </w:p>
        </w:tc>
        <w:tc>
          <w:tcPr>
            <w:tcW w:w="5114" w:type="dxa"/>
            <w:gridSpan w:val="2"/>
            <w:tcBorders/>
            <w:vAlign w:val="center"/>
          </w:tcPr>
          <w:p>
            <w:pPr>
              <w:pStyle w:val="TableContents"/>
              <w:bidi w:val="0"/>
              <w:spacing w:before="0" w:after="283"/>
              <w:jc w:val="left"/>
              <w:rPr>
                <w:sz w:val="4"/>
                <w:szCs w:val="4"/>
              </w:rPr>
            </w:pPr>
            <w:r>
              <w:rPr>
                <w:sz w:val="4"/>
                <w:szCs w:val="4"/>
              </w:rPr>
            </w:r>
          </w:p>
        </w:tc>
      </w:tr>
      <w:tr>
        <w:trPr/>
        <w:tc>
          <w:tcPr>
            <w:tcW w:w="509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90" w:type="dxa"/>
            <w:tcBorders/>
          </w:tcPr>
          <w:p>
            <w:pPr>
              <w:pStyle w:val="TableContents"/>
              <w:bidi w:val="0"/>
              <w:spacing w:before="0" w:after="283"/>
              <w:jc w:val="center"/>
              <w:rPr/>
            </w:pPr>
            <w:r>
              <w:rPr/>
              <w:t>(INSERT ASSIGNEE’S LEGAL 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24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and irrevocably</w:t>
            </w:r>
          </w:p>
          <w:p>
            <w:pPr>
              <w:pStyle w:val="TableContents"/>
              <w:bidi w:val="0"/>
              <w:spacing w:before="0" w:after="20"/>
              <w:jc w:val="left"/>
              <w:rPr>
                <w:rFonts w:ascii="Times New Roman" w:hAnsi="Times New Roman"/>
                <w:sz w:val="20"/>
              </w:rPr>
            </w:pPr>
            <w:r>
              <w:rPr>
                <w:rFonts w:ascii="Times New Roman" w:hAnsi="Times New Roman"/>
                <w:sz w:val="20"/>
              </w:rPr>
              <w:t>appoint</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11"/>
        <w:gridCol w:w="1257"/>
        <w:gridCol w:w="124"/>
        <w:gridCol w:w="6937"/>
      </w:tblGrid>
      <w:tr>
        <w:trPr/>
        <w:tc>
          <w:tcPr>
            <w:tcW w:w="177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937" w:type="dxa"/>
            <w:tcBorders/>
            <w:vAlign w:val="center"/>
          </w:tcPr>
          <w:p>
            <w:pPr>
              <w:pStyle w:val="TableContents"/>
              <w:bidi w:val="0"/>
              <w:spacing w:before="0" w:after="283"/>
              <w:jc w:val="left"/>
              <w:rPr>
                <w:sz w:val="4"/>
                <w:szCs w:val="4"/>
              </w:rPr>
            </w:pPr>
            <w:r>
              <w:rPr>
                <w:sz w:val="4"/>
                <w:szCs w:val="4"/>
              </w:rPr>
            </w:r>
          </w:p>
        </w:tc>
      </w:tr>
      <w:tr>
        <w:trPr/>
        <w:tc>
          <w:tcPr>
            <w:tcW w:w="177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257" w:type="dxa"/>
            <w:tcBorders/>
          </w:tcPr>
          <w:p>
            <w:pPr>
              <w:pStyle w:val="TableContents"/>
              <w:bidi w:val="0"/>
              <w:spacing w:before="0" w:after="0"/>
              <w:jc w:val="left"/>
              <w:rPr>
                <w:rFonts w:ascii="Times New Roman" w:hAnsi="Times New Roman"/>
                <w:sz w:val="20"/>
              </w:rPr>
            </w:pPr>
            <w:r>
              <w:rPr>
                <w:rFonts w:ascii="Times New Roman" w:hAnsi="Times New Roman"/>
                <w:sz w:val="20"/>
              </w:rPr>
              <w:t>Your</w:t>
            </w:r>
          </w:p>
          <w:p>
            <w:pPr>
              <w:pStyle w:val="TableContents"/>
              <w:bidi w:val="0"/>
              <w:spacing w:before="0" w:after="20"/>
              <w:jc w:val="left"/>
              <w:rPr>
                <w:rFonts w:ascii="Times New Roman" w:hAnsi="Times New Roman"/>
                <w:sz w:val="20"/>
              </w:rPr>
            </w:pPr>
            <w:r>
              <w:rPr>
                <w:rFonts w:ascii="Times New Roman" w:hAnsi="Times New Roman"/>
                <w:sz w:val="20"/>
              </w:rPr>
              <w:t>Signature:</w:t>
            </w:r>
          </w:p>
        </w:tc>
        <w:tc>
          <w:tcPr>
            <w:tcW w:w="124" w:type="dxa"/>
            <w:tcBorders/>
            <w:vAlign w:val="bottom"/>
          </w:tcPr>
          <w:p>
            <w:pPr>
              <w:pStyle w:val="TableContents"/>
              <w:bidi w:val="0"/>
              <w:spacing w:before="0" w:after="283"/>
              <w:jc w:val="left"/>
              <w:rPr/>
            </w:pPr>
            <w:r>
              <w:rPr/>
              <w:t>  </w:t>
            </w:r>
          </w:p>
        </w:tc>
        <w:tc>
          <w:tcPr>
            <w:tcW w:w="6937" w:type="dxa"/>
            <w:tcBorders/>
            <w:vAlign w:val="bottom"/>
          </w:tcPr>
          <w:p>
            <w:pPr>
              <w:pStyle w:val="TableContents"/>
              <w:pBdr>
                <w:bottom w:val="single" w:sz="2" w:space="1" w:color="000000"/>
              </w:pBdr>
              <w:bidi w:val="0"/>
              <w:spacing w:before="0" w:after="20"/>
              <w:jc w:val="left"/>
              <w:rPr/>
            </w:pPr>
            <w:r>
              <w:rPr/>
              <w:t> </w:t>
            </w:r>
          </w:p>
        </w:tc>
      </w:tr>
      <w:tr>
        <w:trPr/>
        <w:tc>
          <w:tcPr>
            <w:tcW w:w="177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25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937" w:type="dxa"/>
            <w:tcBorders/>
          </w:tcPr>
          <w:p>
            <w:pPr>
              <w:pStyle w:val="TableContents"/>
              <w:bidi w:val="0"/>
              <w:spacing w:before="0" w:after="0"/>
              <w:jc w:val="center"/>
              <w:rPr>
                <w:rFonts w:ascii="Times New Roman" w:hAnsi="Times New Roman"/>
                <w:sz w:val="20"/>
              </w:rPr>
            </w:pPr>
            <w:r>
              <w:rPr>
                <w:rFonts w:ascii="Times New Roman" w:hAnsi="Times New Roman"/>
                <w:sz w:val="20"/>
              </w:rPr>
              <w:t>(Sign exactly as your name appears on the face of this</w:t>
            </w:r>
          </w:p>
          <w:p>
            <w:pPr>
              <w:pStyle w:val="TableContents"/>
              <w:bidi w:val="0"/>
              <w:spacing w:before="0" w:after="20"/>
              <w:jc w:val="center"/>
              <w:rPr>
                <w:rFonts w:ascii="Times New Roman" w:hAnsi="Times New Roman"/>
                <w:sz w:val="20"/>
              </w:rPr>
            </w:pPr>
            <w:r>
              <w:rPr>
                <w:rFonts w:ascii="Times New Roman" w:hAnsi="Times New Roman"/>
                <w:sz w:val="20"/>
              </w:rPr>
              <w:t>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INCREASES AND DECREASES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     . The following increases and decreases to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26"/>
        <w:gridCol w:w="120"/>
        <w:gridCol w:w="2056"/>
        <w:gridCol w:w="120"/>
        <w:gridCol w:w="1969"/>
        <w:gridCol w:w="252"/>
        <w:gridCol w:w="1763"/>
        <w:gridCol w:w="120"/>
        <w:gridCol w:w="1879"/>
      </w:tblGrid>
      <w:tr>
        <w:trPr/>
        <w:tc>
          <w:tcPr>
            <w:tcW w:w="19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192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Increase or</w:t>
              <w:br/>
              <w:t>Decrease</w:t>
            </w:r>
          </w:p>
        </w:tc>
        <w:tc>
          <w:tcPr>
            <w:tcW w:w="120" w:type="dxa"/>
            <w:tcBorders/>
            <w:vAlign w:val="bottom"/>
          </w:tcPr>
          <w:p>
            <w:pPr>
              <w:pStyle w:val="TableContents"/>
              <w:bidi w:val="0"/>
              <w:spacing w:before="0" w:after="283"/>
              <w:jc w:val="left"/>
              <w:rPr/>
            </w:pPr>
            <w:r>
              <w:rPr/>
              <w:t>  </w:t>
            </w:r>
          </w:p>
        </w:tc>
        <w:tc>
          <w:tcPr>
            <w:tcW w:w="205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r>
          </w:p>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20" w:type="dxa"/>
            <w:tcBorders/>
            <w:vAlign w:val="bottom"/>
          </w:tcPr>
          <w:p>
            <w:pPr>
              <w:pStyle w:val="TableContents"/>
              <w:bidi w:val="0"/>
              <w:spacing w:before="0" w:after="283"/>
              <w:jc w:val="left"/>
              <w:rPr/>
            </w:pPr>
            <w:r>
              <w:rPr/>
              <w:t>  </w:t>
            </w:r>
          </w:p>
        </w:tc>
        <w:tc>
          <w:tcPr>
            <w:tcW w:w="196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r>
          </w:p>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252" w:type="dxa"/>
            <w:tcBorders/>
            <w:vAlign w:val="bottom"/>
          </w:tcPr>
          <w:p>
            <w:pPr>
              <w:pStyle w:val="TableContents"/>
              <w:bidi w:val="0"/>
              <w:spacing w:before="0" w:after="283"/>
              <w:jc w:val="left"/>
              <w:rPr/>
            </w:pPr>
            <w:r>
              <w:rPr/>
              <w:t>  </w:t>
            </w:r>
          </w:p>
        </w:tc>
        <w:tc>
          <w:tcPr>
            <w:tcW w:w="176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bidi w:val="0"/>
              <w:spacing w:before="0" w:after="0"/>
              <w:jc w:val="center"/>
              <w:rPr>
                <w:rFonts w:ascii="Times New Roman" w:hAnsi="Times New Roman"/>
                <w:sz w:val="16"/>
              </w:rPr>
            </w:pPr>
            <w:r>
              <w:rPr>
                <w:rFonts w:ascii="Times New Roman" w:hAnsi="Times New Roman"/>
                <w:sz w:val="16"/>
              </w:rPr>
              <w:t>of 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20"/>
              <w:jc w:val="center"/>
              <w:rPr>
                <w:rFonts w:ascii="Times New Roman" w:hAnsi="Times New Roman"/>
                <w:sz w:val="16"/>
              </w:rPr>
            </w:pPr>
            <w:r>
              <w:rPr>
                <w:rFonts w:ascii="Times New Roman" w:hAnsi="Times New Roman"/>
                <w:sz w:val="16"/>
              </w:rPr>
              <w:t>decrease (or</w:t>
              <w:br/>
              <w:t>increase)</w:t>
            </w:r>
          </w:p>
        </w:tc>
        <w:tc>
          <w:tcPr>
            <w:tcW w:w="120" w:type="dxa"/>
            <w:tcBorders/>
            <w:vAlign w:val="bottom"/>
          </w:tcPr>
          <w:p>
            <w:pPr>
              <w:pStyle w:val="TableContents"/>
              <w:bidi w:val="0"/>
              <w:spacing w:before="0" w:after="283"/>
              <w:jc w:val="left"/>
              <w:rPr/>
            </w:pPr>
            <w:r>
              <w:rPr/>
              <w:t>  </w:t>
            </w:r>
          </w:p>
        </w:tc>
        <w:tc>
          <w:tcPr>
            <w:tcW w:w="18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Signatory</w:t>
            </w:r>
          </w:p>
          <w:p>
            <w:pPr>
              <w:pStyle w:val="TableContents"/>
              <w:bidi w:val="0"/>
              <w:spacing w:before="0" w:after="0"/>
              <w:jc w:val="center"/>
              <w:rPr>
                <w:rFonts w:ascii="Times New Roman" w:hAnsi="Times New Roman"/>
                <w:sz w:val="16"/>
              </w:rPr>
            </w:pPr>
            <w:r>
              <w:rPr>
                <w:rFonts w:ascii="Times New Roman" w:hAnsi="Times New Roman"/>
                <w:sz w:val="16"/>
              </w:rPr>
              <w:t>of Trustee or DTC</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p>
    <w:p>
      <w:pPr>
        <w:pStyle w:val="TextBody"/>
        <w:bidi w:val="0"/>
        <w:spacing w:before="0" w:after="0"/>
        <w:jc w:val="right"/>
        <w:rPr>
          <w:rFonts w:ascii="Times New Roman" w:hAnsi="Times New Roman"/>
          <w:b/>
          <w:sz w:val="20"/>
        </w:rPr>
      </w:pPr>
      <w:bookmarkStart w:id="4" w:name="d37162dex51.htm"/>
      <w:bookmarkStart w:id="5" w:name="ksd3716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6"/>
        <w:gridCol w:w="101"/>
        <w:gridCol w:w="2858"/>
      </w:tblGrid>
      <w:tr>
        <w:trPr/>
        <w:tc>
          <w:tcPr>
            <w:tcW w:w="72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283"/>
              <w:jc w:val="left"/>
              <w:rPr/>
            </w:pPr>
            <w:r>
              <w:rPr/>
              <w:drawing>
                <wp:inline distT="0" distB="0" distL="0" distR="0">
                  <wp:extent cx="8477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847725" cy="7715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0"/>
              <w:jc w:val="left"/>
              <w:rPr>
                <w:rFonts w:ascii="Times New Roman" w:hAnsi="Times New Roman"/>
                <w:b/>
                <w:sz w:val="20"/>
              </w:rPr>
            </w:pPr>
            <w:r>
              <w:rPr>
                <w:rFonts w:ascii="Times New Roman" w:hAnsi="Times New Roman"/>
                <w:b/>
                <w:sz w:val="20"/>
              </w:rPr>
              <w:t>Dechert LLP</w:t>
            </w:r>
          </w:p>
          <w:p>
            <w:pPr>
              <w:pStyle w:val="TableContents"/>
              <w:bidi w:val="0"/>
              <w:spacing w:before="0" w:after="0"/>
              <w:jc w:val="left"/>
              <w:rPr>
                <w:rFonts w:ascii="Times New Roman" w:hAnsi="Times New Roman"/>
                <w:sz w:val="20"/>
              </w:rPr>
            </w:pPr>
            <w:r>
              <w:rPr>
                <w:rFonts w:ascii="Times New Roman" w:hAnsi="Times New Roman"/>
                <w:sz w:val="20"/>
              </w:rPr>
              <w:t>Cira Centre</w:t>
            </w:r>
          </w:p>
          <w:p>
            <w:pPr>
              <w:pStyle w:val="TableContents"/>
              <w:bidi w:val="0"/>
              <w:spacing w:before="0" w:after="0"/>
              <w:jc w:val="left"/>
              <w:rPr>
                <w:rFonts w:ascii="Times New Roman" w:hAnsi="Times New Roman"/>
                <w:sz w:val="20"/>
              </w:rPr>
            </w:pPr>
            <w:r>
              <w:rPr>
                <w:rFonts w:ascii="Times New Roman" w:hAnsi="Times New Roman"/>
                <w:sz w:val="20"/>
              </w:rPr>
              <w:t>2929 Arch Street</w:t>
            </w:r>
          </w:p>
          <w:p>
            <w:pPr>
              <w:pStyle w:val="TableContents"/>
              <w:bidi w:val="0"/>
              <w:spacing w:before="0" w:after="0"/>
              <w:jc w:val="left"/>
              <w:rPr>
                <w:rFonts w:ascii="Times New Roman" w:hAnsi="Times New Roman"/>
                <w:sz w:val="20"/>
              </w:rPr>
            </w:pPr>
            <w:r>
              <w:rPr>
                <w:rFonts w:ascii="Times New Roman" w:hAnsi="Times New Roman"/>
                <w:sz w:val="20"/>
              </w:rPr>
              <w:t>Philadelphia, PA 19104-2808</w:t>
            </w:r>
          </w:p>
          <w:p>
            <w:pPr>
              <w:pStyle w:val="TableContents"/>
              <w:bidi w:val="0"/>
              <w:spacing w:before="0" w:after="0"/>
              <w:jc w:val="left"/>
              <w:rPr>
                <w:rFonts w:ascii="Times New Roman" w:hAnsi="Times New Roman"/>
                <w:sz w:val="20"/>
              </w:rPr>
            </w:pPr>
            <w:r>
              <w:rPr>
                <w:rFonts w:ascii="Times New Roman" w:hAnsi="Times New Roman"/>
                <w:sz w:val="20"/>
              </w:rPr>
              <w:t>+1 215 994 4000 Main</w:t>
            </w:r>
          </w:p>
          <w:p>
            <w:pPr>
              <w:pStyle w:val="TableContents"/>
              <w:bidi w:val="0"/>
              <w:spacing w:before="0" w:after="0"/>
              <w:jc w:val="left"/>
              <w:rPr>
                <w:rFonts w:ascii="Times New Roman" w:hAnsi="Times New Roman"/>
                <w:sz w:val="20"/>
              </w:rPr>
            </w:pPr>
            <w:r>
              <w:rPr>
                <w:rFonts w:ascii="Times New Roman" w:hAnsi="Times New Roman"/>
                <w:sz w:val="20"/>
              </w:rPr>
              <w:t>+1 215 994 2222 Fax</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June 1, 2026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N-2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PennantPark Floating Rate Capital Ltd., a Maryland corporation (the “</w:t>
      </w:r>
      <w:r>
        <w:rPr>
          <w:rFonts w:ascii="Times New Roman" w:hAnsi="Times New Roman"/>
          <w:sz w:val="20"/>
          <w:u w:val="single"/>
        </w:rPr>
        <w:t>Company</w:t>
      </w:r>
      <w:r>
        <w:rPr>
          <w:rFonts w:ascii="Times New Roman" w:hAnsi="Times New Roman"/>
          <w:sz w:val="20"/>
        </w:rPr>
        <w:t>”), in connection with the preparation and filing of (1) a registration statement on Form N-2 (Registration No. 333-279726), originally filed on May 24, 2024 and as subsequently amended on June 21, 2024 and July 15, 2024, with the U.S.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w:t>
      </w:r>
      <w:r>
        <w:rPr>
          <w:rFonts w:ascii="Times New Roman" w:hAnsi="Times New Roman"/>
          <w:sz w:val="20"/>
          <w:u w:val="single"/>
        </w:rPr>
        <w:t>Registration Statement</w:t>
      </w:r>
      <w:r>
        <w:rPr>
          <w:rFonts w:ascii="Times New Roman" w:hAnsi="Times New Roman"/>
          <w:sz w:val="20"/>
        </w:rPr>
        <w:t>”) and (2) the final prospectus supplement, dated May 27, 2026 (including the base prospectus filed therewith, the “</w:t>
      </w:r>
      <w:r>
        <w:rPr>
          <w:rFonts w:ascii="Times New Roman" w:hAnsi="Times New Roman"/>
          <w:sz w:val="20"/>
          <w:u w:val="single"/>
        </w:rPr>
        <w:t>Prospectus Supplement</w:t>
      </w:r>
      <w:r>
        <w:rPr>
          <w:rFonts w:ascii="Times New Roman" w:hAnsi="Times New Roman"/>
          <w:sz w:val="20"/>
        </w:rPr>
        <w:t>”), filed with the Commission on May 28, 2026 pursuant to Rule 424(b)(2) under the Securities Act, relating to the proposed issuance by the Company of $100,000,000 aggregate principal amount of its 7.375% notes due 2031 and an additional $5,000,000 aggregate principal amount of its 7.375% notes due 2031 pursuant to a partial exercise of the Underwriters’ (as defined in the Underwriting Agreement (as defined below)) overallotment option (collectively, the “</w:t>
      </w:r>
      <w:r>
        <w:rPr>
          <w:rFonts w:ascii="Times New Roman" w:hAnsi="Times New Roman"/>
          <w:sz w:val="20"/>
          <w:u w:val="single"/>
        </w:rPr>
        <w:t>Notes</w:t>
      </w:r>
      <w:r>
        <w:rPr>
          <w:rFonts w:ascii="Times New Roman" w:hAnsi="Times New Roman"/>
          <w:sz w:val="20"/>
        </w:rPr>
        <w:t>”), to be sold to underwriters pursuant to an underwriting agreement in substantially the form filed as Exhibit 1.1 to the Company’s Current Report on Form 8-K filed with the Commission on June 1, 2026 (the “</w:t>
      </w:r>
      <w:r>
        <w:rPr>
          <w:rFonts w:ascii="Times New Roman" w:hAnsi="Times New Roman"/>
          <w:sz w:val="20"/>
          <w:u w:val="single"/>
        </w:rPr>
        <w:t>Underwriting Agreement</w:t>
      </w:r>
      <w:r>
        <w:rPr>
          <w:rFonts w:ascii="Times New Roman" w:hAnsi="Times New Roman"/>
          <w:sz w:val="20"/>
        </w:rPr>
        <w:t>”). This opinion letter is being furnished to the Company in accordance with the requirements of Item 25 of Form N-2 under the Investment Company Act of 1940, as amended (the “</w:t>
      </w:r>
      <w:r>
        <w:rPr>
          <w:rFonts w:ascii="Times New Roman" w:hAnsi="Times New Roman"/>
          <w:sz w:val="20"/>
          <w:u w:val="single"/>
        </w:rPr>
        <w:t>1940 Act</w:t>
      </w:r>
      <w:r>
        <w:rPr>
          <w:rFonts w:ascii="Times New Roman" w:hAnsi="Times New Roman"/>
          <w:sz w:val="20"/>
        </w:rPr>
        <w:t xml:space="preserve">”), and we express no opinion herein as to any matter other than as to the legality of the Indenture (as defined below) and the Notes. </w:t>
      </w:r>
    </w:p>
    <w:p>
      <w:pPr>
        <w:pStyle w:val="TextBody"/>
        <w:bidi w:val="0"/>
        <w:spacing w:before="240" w:after="0"/>
        <w:jc w:val="left"/>
        <w:rPr>
          <w:rFonts w:ascii="Times New Roman" w:hAnsi="Times New Roman"/>
          <w:sz w:val="20"/>
        </w:rPr>
      </w:pPr>
      <w:r>
        <w:rPr>
          <w:rFonts w:ascii="Times New Roman" w:hAnsi="Times New Roman"/>
          <w:sz w:val="20"/>
        </w:rPr>
        <w:t>The Notes are to be issued pursuant to the indenture dated as of March 23, 2021 (the “</w:t>
      </w:r>
      <w:r>
        <w:rPr>
          <w:rFonts w:ascii="Times New Roman" w:hAnsi="Times New Roman"/>
          <w:sz w:val="20"/>
          <w:u w:val="single"/>
        </w:rPr>
        <w:t>Base Indenture</w:t>
      </w:r>
      <w:r>
        <w:rPr>
          <w:rFonts w:ascii="Times New Roman" w:hAnsi="Times New Roman"/>
          <w:sz w:val="20"/>
        </w:rPr>
        <w:t>”), between the Company and Equiniti Trust Company, LLC, as trustee (the “</w:t>
      </w:r>
      <w:r>
        <w:rPr>
          <w:rFonts w:ascii="Times New Roman" w:hAnsi="Times New Roman"/>
          <w:sz w:val="20"/>
          <w:u w:val="single"/>
        </w:rPr>
        <w:t>Trustee</w:t>
      </w:r>
      <w:r>
        <w:rPr>
          <w:rFonts w:ascii="Times New Roman" w:hAnsi="Times New Roman"/>
          <w:sz w:val="20"/>
        </w:rPr>
        <w:t>”), as supplemented by the third supplemental indenture dated as of June 1, 2026 (together with the Base Indenture, the “</w:t>
      </w:r>
      <w:r>
        <w:rPr>
          <w:rFonts w:ascii="Times New Roman" w:hAnsi="Times New Roman"/>
          <w:sz w:val="20"/>
          <w:u w:val="single"/>
        </w:rPr>
        <w:t>Indenture</w:t>
      </w:r>
      <w:r>
        <w:rPr>
          <w:rFonts w:ascii="Times New Roman" w:hAnsi="Times New Roman"/>
          <w:sz w:val="20"/>
        </w:rPr>
        <w:t xml:space="preserv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Notes to be issued pursuant to the Indenture;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68"/>
        <w:gridCol w:w="123"/>
        <w:gridCol w:w="3070"/>
        <w:gridCol w:w="123"/>
        <w:gridCol w:w="3221"/>
      </w:tblGrid>
      <w:tr>
        <w:trPr/>
        <w:tc>
          <w:tcPr>
            <w:tcW w:w="36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283"/>
              <w:jc w:val="left"/>
              <w:rPr/>
            </w:pPr>
            <w:r>
              <w:rPr/>
              <w:drawing>
                <wp:inline distT="0" distB="0" distL="0" distR="0">
                  <wp:extent cx="8477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847725" cy="7715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0"/>
              <w:jc w:val="left"/>
              <w:rPr>
                <w:rFonts w:ascii="Times New Roman" w:hAnsi="Times New Roman"/>
                <w:sz w:val="20"/>
              </w:rPr>
            </w:pPr>
            <w:r>
              <w:rPr>
                <w:rFonts w:ascii="Times New Roman" w:hAnsi="Times New Roman"/>
                <w:sz w:val="20"/>
              </w:rPr>
              <w:t>June 1, 2026</w:t>
            </w:r>
          </w:p>
          <w:p>
            <w:pPr>
              <w:pStyle w:val="TableContents"/>
              <w:bidi w:val="0"/>
              <w:spacing w:before="0" w:after="20"/>
              <w:jc w:val="left"/>
              <w:rPr>
                <w:rFonts w:ascii="Times New Roman" w:hAnsi="Times New Roman"/>
                <w:sz w:val="20"/>
              </w:rPr>
            </w:pPr>
            <w:r>
              <w:rPr>
                <w:rFonts w:ascii="Times New Roman" w:hAnsi="Times New Roman"/>
                <w:sz w:val="20"/>
              </w:rPr>
              <w:t xml:space="preserve">Page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Articles of Amendment and Restatement of the Company,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Amended and Restated Bylaws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Status from the State Department of Assessments and Taxation of the State of Maryland as to the existence and good standing of the Company as of a recent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of the board of directors of the Company and resolutions approved by the pricing committee of the Board, relating to, among other things, the authorization and issuance of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to the facts upon which this opinion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the parties to such documents (other than the Company). We have further assumed that there has been no oral modification of, or amendment or supplement (including any express or implied waiver, however arising) to, any of the agreements, documents or instruments used by us to form the basis of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assumptions, qualifications and limitations set forth in this letter,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constitutes the valid and legally binding obligation of the Company, enforceable against the Company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set forth herein are subject to the following assumptions, qualifications, limitations and exceptions being true and correct at or before the issuance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duly incorporated and validly existing in good standing under the laws of the State of Maryland;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and the Notes have been duly authorized, executed and delivered by each party thereto (other than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Notes have been duly established and approved by all necessary corporate actions on the part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Notes as established comply with the requirements of the 1940 Act; and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68"/>
        <w:gridCol w:w="123"/>
        <w:gridCol w:w="3070"/>
        <w:gridCol w:w="123"/>
        <w:gridCol w:w="3221"/>
      </w:tblGrid>
      <w:tr>
        <w:trPr/>
        <w:tc>
          <w:tcPr>
            <w:tcW w:w="36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283"/>
              <w:jc w:val="left"/>
              <w:rPr/>
            </w:pPr>
            <w:r>
              <w:rPr/>
              <w:drawing>
                <wp:inline distT="0" distB="0" distL="0" distR="0">
                  <wp:extent cx="8477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847725" cy="7715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0"/>
              <w:jc w:val="left"/>
              <w:rPr>
                <w:rFonts w:ascii="Times New Roman" w:hAnsi="Times New Roman"/>
                <w:sz w:val="20"/>
              </w:rPr>
            </w:pPr>
            <w:r>
              <w:rPr>
                <w:rFonts w:ascii="Times New Roman" w:hAnsi="Times New Roman"/>
                <w:sz w:val="20"/>
              </w:rPr>
              <w:t>June 1, 2026</w:t>
            </w:r>
          </w:p>
          <w:p>
            <w:pPr>
              <w:pStyle w:val="TableContents"/>
              <w:bidi w:val="0"/>
              <w:spacing w:before="0" w:after="20"/>
              <w:jc w:val="left"/>
              <w:rPr>
                <w:rFonts w:ascii="Times New Roman" w:hAnsi="Times New Roman"/>
                <w:sz w:val="20"/>
              </w:rPr>
            </w:pPr>
            <w:r>
              <w:rPr>
                <w:rFonts w:ascii="Times New Roman" w:hAnsi="Times New Roman"/>
                <w:sz w:val="20"/>
              </w:rPr>
              <w:t xml:space="preserve">Page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been duly executed by the Company and authenticated by the Trustee in accordance with the Indenture and delivered to and paid for by the purchasers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(vi) governmental authority to limit, delay or prohibit the making of payments outside the United States or in foreign currency or composite currency. 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opinions are limited to the federal laws of the United States of America and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for the Company’s use solely in connection with the Registration Statement. We assume no obligation to advise you of any changes in the foregoing subsequent to the date of this opinion. We hereby consent to the filing of this opinion as an exhibit to the Company’s Current Report on Form 8-K filed with the Commission on June 1, 2026, and to the reference to this firm under the caption “Legal Matters” in the prospectus that is a part of the Registration Statement and the Prospectus Supplement. In giving such consent,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Dechert LLP </w:t>
      </w:r>
    </w:p>
    <w:p>
      <w:pPr>
        <w:pStyle w:val="TextBody"/>
        <w:bidi w:val="0"/>
        <w:spacing w:before="240" w:after="0"/>
        <w:jc w:val="left"/>
        <w:rPr>
          <w:rFonts w:ascii="Times New Roman" w:hAnsi="Times New Roman"/>
          <w:sz w:val="20"/>
        </w:rPr>
      </w:pPr>
      <w:r>
        <w:rPr>
          <w:rFonts w:ascii="Times New Roman" w:hAnsi="Times New Roman"/>
          <w:sz w:val="20"/>
        </w:rPr>
        <w:t xml:space="preserve">Dechert LLP </w:t>
      </w:r>
    </w:p>
    <w:p>
      <w:pPr>
        <w:pStyle w:val="TextBody"/>
        <w:bidi w:val="0"/>
        <w:spacing w:before="240" w:after="0"/>
        <w:jc w:val="left"/>
        <w:rPr>
          <w:rFonts w:ascii="Times New Roman" w:hAnsi="Times New Roman"/>
          <w:sz w:val="20"/>
        </w:rPr>
      </w:pPr>
      <w:r>
        <w:rPr>
          <w:rFonts w:ascii="Times New Roman" w:hAnsi="Times New Roman"/>
          <w:sz w:val="20"/>
        </w:rPr>
        <w:t xml:space="preserve">SP/RAM/as/aj </w:t>
      </w:r>
    </w:p>
    <w:p>
      <w:pPr>
        <w:pStyle w:val="TextBody"/>
        <w:bidi w:val="0"/>
        <w:spacing w:before="0" w:after="0"/>
        <w:jc w:val="right"/>
        <w:rPr>
          <w:rFonts w:ascii="Times New Roman" w:hAnsi="Times New Roman"/>
          <w:b/>
          <w:sz w:val="16"/>
        </w:rPr>
      </w:pPr>
      <w:bookmarkStart w:id="6" w:name="d37162dex52.htm"/>
      <w:bookmarkStart w:id="7" w:name="ksd37162dex52"/>
      <w:bookmarkEnd w:id="6"/>
      <w:bookmarkEnd w:id="7"/>
      <w:r>
        <w:rPr>
          <w:rFonts w:ascii="Times New Roman" w:hAnsi="Times New Roman"/>
          <w:b/>
          <w:sz w:val="16"/>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7"/>
        <w:gridCol w:w="120"/>
        <w:gridCol w:w="5268"/>
      </w:tblGrid>
      <w:tr>
        <w:trPr/>
        <w:tc>
          <w:tcPr>
            <w:tcW w:w="4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68" w:type="dxa"/>
            <w:tcBorders/>
            <w:vAlign w:val="center"/>
          </w:tcPr>
          <w:p>
            <w:pPr>
              <w:pStyle w:val="TableContents"/>
              <w:bidi w:val="0"/>
              <w:spacing w:before="0" w:after="283"/>
              <w:jc w:val="left"/>
              <w:rPr>
                <w:sz w:val="4"/>
                <w:szCs w:val="4"/>
              </w:rPr>
            </w:pPr>
            <w:r>
              <w:rPr>
                <w:sz w:val="4"/>
                <w:szCs w:val="4"/>
              </w:rPr>
            </w:r>
          </w:p>
        </w:tc>
      </w:tr>
      <w:tr>
        <w:trPr/>
        <w:tc>
          <w:tcPr>
            <w:tcW w:w="4817" w:type="dxa"/>
            <w:tcBorders/>
          </w:tcPr>
          <w:p>
            <w:pPr>
              <w:pStyle w:val="TableContents"/>
              <w:bidi w:val="0"/>
              <w:spacing w:before="0" w:after="283"/>
              <w:jc w:val="left"/>
              <w:rPr/>
            </w:pPr>
            <w:r>
              <w:rPr/>
              <w:drawing>
                <wp:inline distT="0" distB="0" distL="0" distR="0">
                  <wp:extent cx="18764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876425" cy="5048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268" w:type="dxa"/>
            <w:tcBorders/>
          </w:tcPr>
          <w:p>
            <w:pPr>
              <w:pStyle w:val="TableContents"/>
              <w:bidi w:val="0"/>
              <w:spacing w:before="0" w:after="283"/>
              <w:jc w:val="right"/>
              <w:rPr/>
            </w:pPr>
            <w:r>
              <w:rPr/>
              <w:drawing>
                <wp:inline distT="0" distB="0" distL="0" distR="0">
                  <wp:extent cx="28765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2876550" cy="3905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June 1, 2026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590 Madison Avenue </w:t>
      </w:r>
    </w:p>
    <w:p>
      <w:pPr>
        <w:pStyle w:val="TextBody"/>
        <w:bidi w:val="0"/>
        <w:spacing w:before="0" w:after="0"/>
        <w:jc w:val="left"/>
        <w:rPr>
          <w:rFonts w:ascii="Times New Roman" w:hAnsi="Times New Roman"/>
          <w:sz w:val="20"/>
        </w:rPr>
      </w:pPr>
      <w:r>
        <w:rPr>
          <w:rFonts w:ascii="Times New Roman" w:hAnsi="Times New Roman"/>
          <w:sz w:val="20"/>
        </w:rPr>
        <w:t xml:space="preserve">15th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N-2: </w:t>
            </w:r>
          </w:p>
        </w:tc>
      </w:tr>
    </w:tbl>
    <w:p>
      <w:pPr>
        <w:pStyle w:val="TextBody"/>
        <w:bidi w:val="0"/>
        <w:spacing w:before="0" w:after="0"/>
        <w:jc w:val="left"/>
        <w:rPr>
          <w:rFonts w:ascii="Times New Roman" w:hAnsi="Times New Roman"/>
          <w:sz w:val="20"/>
        </w:rPr>
      </w:pPr>
      <w:r>
        <w:rPr>
          <w:rFonts w:ascii="Times New Roman" w:hAnsi="Times New Roman"/>
          <w:sz w:val="20"/>
          <w:u w:val="single"/>
        </w:rPr>
        <w:t>File No.: 333-279726        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up to $115,000,000 aggregate principal amount of the Company’s 7.375% Notes due 2031 (the “Notes”), including up to $15,000,000 aggregate principal amount of the Notes that the underwriters in the offering of the Notes have the option to purchase, covered by the above-referenced Registration Statement, and all amendments thereto (the “Registration Statement”), filed by the Company with the United States Securities and Exchange Commission (the “Commission”) under the Securities Act of 1933, as amended (the “1933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and the related form of prospectus included therein, substantially in the form in which it was transmitted to the Commission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2. The Prospectus Supplement, dated May 27, 2026, in the form filed by the Company with the Commission pursuant to Rule 424(b)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3. The charter of the Company, certified by the State Department of Assessments and Taxation of Maryland (the “SDAT”); </w:t>
      </w:r>
    </w:p>
    <w:p>
      <w:pPr>
        <w:pStyle w:val="TextBody"/>
        <w:bidi w:val="0"/>
        <w:spacing w:before="120" w:after="0"/>
        <w:jc w:val="left"/>
        <w:rPr>
          <w:rFonts w:ascii="Times New Roman" w:hAnsi="Times New Roman"/>
          <w:sz w:val="20"/>
        </w:rPr>
      </w:pPr>
      <w:r>
        <w:rPr>
          <w:rFonts w:ascii="Times New Roman" w:hAnsi="Times New Roman"/>
          <w:sz w:val="20"/>
        </w:rPr>
        <w:t xml:space="preserve">4. The Bylaws of the Company,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764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1876425" cy="504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June 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7. A certificate executed by an officer of the Company, dated as of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8. Such other documents and matters as we have deemed necessary or appropriate to express the opinion set forth below, subject to the assumptions, limitations and qualifications stated herein. </w:t>
      </w:r>
    </w:p>
    <w:p>
      <w:pPr>
        <w:pStyle w:val="TextBody"/>
        <w:bidi w:val="0"/>
        <w:spacing w:before="12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any other person, is legally competent to do so. </w:t>
      </w:r>
    </w:p>
    <w:p>
      <w:pPr>
        <w:pStyle w:val="TextBody"/>
        <w:bidi w:val="0"/>
        <w:spacing w:before="12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12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12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764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1876425" cy="504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June 1,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The issuance of the Notes has been duly authorized and, when and if issued and delivered against payment therefor in accordance with the Resolutions, the Notes will be validly issued.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Venable LLP </w:t>
      </w:r>
    </w:p>
    <w:p>
      <w:pPr>
        <w:pStyle w:val="TextBody"/>
        <w:bidi w:val="0"/>
        <w:spacing w:before="240" w:after="0"/>
        <w:jc w:val="left"/>
        <w:rPr>
          <w:rFonts w:ascii="Times New Roman" w:hAnsi="Times New Roman"/>
          <w:sz w:val="20"/>
        </w:rPr>
      </w:pPr>
      <w:r>
        <w:rPr>
          <w:rFonts w:ascii="Times New Roman" w:hAnsi="Times New Roman"/>
          <w:sz w:val="20"/>
        </w:rPr>
        <w:t xml:space="preserve">119117-413023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04619/000119312521091350/d156339dex41.htm" TargetMode="External"/><Relationship Id="rId3" Type="http://schemas.openxmlformats.org/officeDocument/2006/relationships/hyperlink" Target="http://www.sec.gov/Archives/edgar/data/1504619/000119312521091350/d156339dex41.htm" TargetMode="External"/><Relationship Id="rId4" Type="http://schemas.openxmlformats.org/officeDocument/2006/relationships/hyperlink" Target="http://www.sec.gov/Archives/edgar/data/1504619/000119312521091350/d156339dex41.htm" TargetMode="External"/><Relationship Id="rId5" Type="http://schemas.openxmlformats.org/officeDocument/2006/relationships/hyperlink" Target="http://www.sec.gov/Archives/edgar/data/1504619/000119312521091350/d156339dex41.htm" TargetMode="External"/><Relationship Id="rId6" Type="http://schemas.openxmlformats.org/officeDocument/2006/relationships/hyperlink" Target="http://www.sec.gov/Archives/edgar/data/1504619/000119312521091350/d156339dex41.htm" TargetMode="External"/><Relationship Id="rId7" Type="http://schemas.openxmlformats.org/officeDocument/2006/relationships/hyperlink" Target="http://www.sec.gov/Archives/edgar/data/1504619/000119312521091350/d156339dex41.htm" TargetMode="External"/><Relationship Id="rId8" Type="http://schemas.openxmlformats.org/officeDocument/2006/relationships/hyperlink" Target="http://www.sec.gov/Archives/edgar/data/1504619/000119312521091350/d156339dex41.htm" TargetMode="External"/><Relationship Id="rId9" Type="http://schemas.openxmlformats.org/officeDocument/2006/relationships/hyperlink" Target="http://www.sec.gov/Archives/edgar/data/1504619/000119312521091350/d156339dex41.htm" TargetMode="External"/><Relationship Id="rId10" Type="http://schemas.openxmlformats.org/officeDocument/2006/relationships/hyperlink" Target="http://www.sec.gov/Archives/edgar/data/1504619/000119312521091350/d156339dex41.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13476</Words>
  <Characters>68933</Characters>
  <CharactersWithSpaces>82480</CharactersWithSpaces>
  <Paragraphs>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