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6,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July 6, 2018,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July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6, 2018</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July 06, 2018 (GLOBE NEWSWIRE) -- PennantPark Floating Rate Capital Ltd. (the "Company") (NASDAQ:PFLT) (TASE:PFLT) declares its monthly distributions for July 2018 of $0.095 per share, payable on August 1, 2018 to stockholders of record as detailed below.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940" w:type="dxa"/>
            <w:vAlign w:val="bottom"/>
            <w:tcBorders>
              <w:top w:val="single" w:sz="8" w:color="auto"/>
              <w:left w:val="single" w:sz="8" w:color="auto"/>
              <w:right w:val="single" w:sz="8" w:color="auto"/>
            </w:tcBorders>
            <w:gridSpan w:val="2"/>
          </w:tcPr>
          <w:p>
            <w:pPr>
              <w:ind w:left="160"/>
              <w:spacing w:after="0" w:line="248" w:lineRule="exact"/>
              <w:rPr>
                <w:sz w:val="20"/>
                <w:szCs w:val="20"/>
                <w:color w:val="auto"/>
              </w:rPr>
            </w:pPr>
            <w:r>
              <w:rPr>
                <w:rFonts w:ascii="Arial" w:cs="Arial" w:eastAsia="Arial" w:hAnsi="Arial"/>
                <w:sz w:val="22"/>
                <w:szCs w:val="22"/>
                <w:color w:val="auto"/>
              </w:rPr>
              <w:t>Record</w:t>
            </w:r>
          </w:p>
        </w:tc>
        <w:tc>
          <w:tcPr>
            <w:tcW w:w="100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8560" w:type="dxa"/>
            <w:vAlign w:val="bottom"/>
            <w:tcBorders>
              <w:top w:val="single" w:sz="8" w:color="auto"/>
              <w:right w:val="single" w:sz="8" w:color="auto"/>
            </w:tcBorders>
          </w:tcPr>
          <w:p>
            <w:pPr>
              <w:spacing w:after="0"/>
              <w:rPr>
                <w:sz w:val="21"/>
                <w:szCs w:val="21"/>
                <w:color w:val="auto"/>
              </w:rPr>
            </w:pPr>
          </w:p>
        </w:tc>
      </w:tr>
      <w:tr>
        <w:trPr>
          <w:trHeight w:val="276"/>
        </w:trPr>
        <w:tc>
          <w:tcPr>
            <w:tcW w:w="94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22"/>
                <w:szCs w:val="22"/>
                <w:color w:val="auto"/>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Percentage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Amount</w:t>
            </w:r>
          </w:p>
        </w:tc>
        <w:tc>
          <w:tcPr>
            <w:tcW w:w="8560" w:type="dxa"/>
            <w:vAlign w:val="bottom"/>
            <w:tcBorders>
              <w:bottom w:val="single" w:sz="8" w:color="auto"/>
              <w:right w:val="single" w:sz="8" w:color="auto"/>
            </w:tcBorders>
          </w:tcPr>
          <w:p>
            <w:pPr>
              <w:ind w:left="3760"/>
              <w:spacing w:after="0"/>
              <w:rPr>
                <w:sz w:val="20"/>
                <w:szCs w:val="20"/>
                <w:color w:val="auto"/>
              </w:rPr>
            </w:pPr>
            <w:r>
              <w:rPr>
                <w:rFonts w:ascii="Arial" w:cs="Arial" w:eastAsia="Arial" w:hAnsi="Arial"/>
                <w:sz w:val="22"/>
                <w:szCs w:val="22"/>
                <w:color w:val="auto"/>
              </w:rPr>
              <w:t>Description</w:t>
            </w:r>
          </w:p>
        </w:tc>
      </w:tr>
      <w:tr>
        <w:trPr>
          <w:trHeight w:val="230"/>
        </w:trPr>
        <w:tc>
          <w:tcPr>
            <w:tcW w:w="560" w:type="dxa"/>
            <w:vAlign w:val="bottom"/>
            <w:tcBorders>
              <w:left w:val="single" w:sz="8" w:color="auto"/>
            </w:tcBorders>
          </w:tcPr>
          <w:p>
            <w:pPr>
              <w:ind w:left="140"/>
              <w:spacing w:after="0" w:line="230" w:lineRule="exact"/>
              <w:rPr>
                <w:sz w:val="20"/>
                <w:szCs w:val="20"/>
                <w:color w:val="auto"/>
              </w:rPr>
            </w:pPr>
            <w:r>
              <w:rPr>
                <w:rFonts w:ascii="Arial" w:cs="Arial" w:eastAsia="Arial" w:hAnsi="Arial"/>
                <w:sz w:val="22"/>
                <w:szCs w:val="22"/>
                <w:color w:val="auto"/>
              </w:rPr>
              <w:t>July</w:t>
            </w:r>
          </w:p>
        </w:tc>
        <w:tc>
          <w:tcPr>
            <w:tcW w:w="380" w:type="dxa"/>
            <w:vAlign w:val="bottom"/>
            <w:tcBorders>
              <w:right w:val="single" w:sz="8" w:color="auto"/>
            </w:tcBorders>
          </w:tcPr>
          <w:p>
            <w:pPr>
              <w:jc w:val="right"/>
              <w:spacing w:after="0" w:line="230" w:lineRule="exact"/>
              <w:rPr>
                <w:sz w:val="20"/>
                <w:szCs w:val="20"/>
                <w:color w:val="auto"/>
              </w:rPr>
            </w:pPr>
            <w:r>
              <w:rPr>
                <w:rFonts w:ascii="Arial" w:cs="Arial" w:eastAsia="Arial" w:hAnsi="Arial"/>
                <w:sz w:val="22"/>
                <w:szCs w:val="22"/>
                <w:color w:val="auto"/>
              </w:rPr>
              <w:t>18,</w:t>
            </w:r>
          </w:p>
        </w:tc>
        <w:tc>
          <w:tcPr>
            <w:tcW w:w="100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560" w:type="dxa"/>
            <w:vAlign w:val="bottom"/>
            <w:tcBorders>
              <w:right w:val="single" w:sz="8" w:color="auto"/>
            </w:tcBorders>
          </w:tcPr>
          <w:p>
            <w:pPr>
              <w:jc w:val="right"/>
              <w:spacing w:after="0" w:line="230" w:lineRule="exact"/>
              <w:rPr>
                <w:sz w:val="20"/>
                <w:szCs w:val="20"/>
                <w:color w:val="auto"/>
              </w:rPr>
            </w:pPr>
            <w:r>
              <w:rPr>
                <w:rFonts w:ascii="Arial" w:cs="Arial" w:eastAsia="Arial" w:hAnsi="Arial"/>
                <w:sz w:val="22"/>
                <w:szCs w:val="22"/>
                <w:color w:val="auto"/>
                <w:w w:val="90"/>
              </w:rPr>
              <w:t>Distribution has been identified by the Company as an interest-related dividend generally exempt</w:t>
            </w:r>
          </w:p>
        </w:tc>
      </w:tr>
      <w:tr>
        <w:trPr>
          <w:trHeight w:val="276"/>
        </w:trPr>
        <w:tc>
          <w:tcPr>
            <w:tcW w:w="5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9"/>
              </w:rPr>
              <w:t>2018</w:t>
            </w:r>
          </w:p>
        </w:tc>
        <w:tc>
          <w:tcPr>
            <w:tcW w:w="3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$0.076</w:t>
            </w:r>
          </w:p>
        </w:tc>
        <w:tc>
          <w:tcPr>
            <w:tcW w:w="8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from U.S. Nonresident withholding tax.</w:t>
            </w:r>
          </w:p>
        </w:tc>
      </w:tr>
      <w:tr>
        <w:trPr>
          <w:trHeight w:val="230"/>
        </w:trPr>
        <w:tc>
          <w:tcPr>
            <w:tcW w:w="560" w:type="dxa"/>
            <w:vAlign w:val="bottom"/>
            <w:tcBorders>
              <w:left w:val="single" w:sz="8" w:color="auto"/>
            </w:tcBorders>
          </w:tcPr>
          <w:p>
            <w:pPr>
              <w:ind w:left="140"/>
              <w:spacing w:after="0" w:line="230" w:lineRule="exact"/>
              <w:rPr>
                <w:sz w:val="20"/>
                <w:szCs w:val="20"/>
                <w:color w:val="auto"/>
              </w:rPr>
            </w:pPr>
            <w:r>
              <w:rPr>
                <w:rFonts w:ascii="Arial" w:cs="Arial" w:eastAsia="Arial" w:hAnsi="Arial"/>
                <w:sz w:val="22"/>
                <w:szCs w:val="22"/>
                <w:color w:val="auto"/>
              </w:rPr>
              <w:t>July</w:t>
            </w:r>
          </w:p>
        </w:tc>
        <w:tc>
          <w:tcPr>
            <w:tcW w:w="380" w:type="dxa"/>
            <w:vAlign w:val="bottom"/>
            <w:tcBorders>
              <w:right w:val="single" w:sz="8" w:color="auto"/>
            </w:tcBorders>
          </w:tcPr>
          <w:p>
            <w:pPr>
              <w:jc w:val="right"/>
              <w:spacing w:after="0" w:line="230" w:lineRule="exact"/>
              <w:rPr>
                <w:sz w:val="20"/>
                <w:szCs w:val="20"/>
                <w:color w:val="auto"/>
              </w:rPr>
            </w:pPr>
            <w:r>
              <w:rPr>
                <w:rFonts w:ascii="Arial" w:cs="Arial" w:eastAsia="Arial" w:hAnsi="Arial"/>
                <w:sz w:val="22"/>
                <w:szCs w:val="22"/>
                <w:color w:val="auto"/>
              </w:rPr>
              <w:t>19,</w:t>
            </w:r>
          </w:p>
        </w:tc>
        <w:tc>
          <w:tcPr>
            <w:tcW w:w="100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560" w:type="dxa"/>
            <w:vAlign w:val="bottom"/>
            <w:tcBorders>
              <w:right w:val="single" w:sz="8" w:color="auto"/>
            </w:tcBorders>
          </w:tcPr>
          <w:p>
            <w:pPr>
              <w:jc w:val="right"/>
              <w:spacing w:after="0" w:line="230" w:lineRule="exact"/>
              <w:rPr>
                <w:sz w:val="20"/>
                <w:szCs w:val="20"/>
                <w:color w:val="auto"/>
              </w:rPr>
            </w:pPr>
            <w:r>
              <w:rPr>
                <w:rFonts w:ascii="Arial" w:cs="Arial" w:eastAsia="Arial" w:hAnsi="Arial"/>
                <w:sz w:val="22"/>
                <w:szCs w:val="22"/>
                <w:color w:val="auto"/>
                <w:w w:val="92"/>
              </w:rPr>
              <w:t>Distribution has been identified by the Company as being derived from other sources and is not</w:t>
            </w:r>
          </w:p>
        </w:tc>
      </w:tr>
      <w:tr>
        <w:trPr>
          <w:trHeight w:val="276"/>
        </w:trPr>
        <w:tc>
          <w:tcPr>
            <w:tcW w:w="5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9"/>
              </w:rPr>
              <w:t>2018</w:t>
            </w:r>
          </w:p>
        </w:tc>
        <w:tc>
          <w:tcPr>
            <w:tcW w:w="3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20%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$0.019</w:t>
            </w:r>
          </w:p>
        </w:tc>
        <w:tc>
          <w:tcPr>
            <w:tcW w:w="8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exempt from U.S. Nonresident withholding tax.</w:t>
            </w:r>
          </w:p>
        </w:tc>
      </w:tr>
    </w:tbl>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2020-05-05T12:05:29Z</dcterms:created>
  <dcterms:modified xsi:type="dcterms:W3CDTF">2020-05-05T12:05:29Z</dcterms:modified>
</cp:coreProperties>
</file>