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40640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KATZ SAMUEL L</w:t>
        </w:r>
      </w:hyperlink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PENNANTPARK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590 MADISON AVENUE, 15TH FLOOR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10022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3820" w:type="dxa"/>
            <w:vAlign w:val="bottom"/>
            <w:gridSpan w:val="2"/>
          </w:tcPr>
          <w:p>
            <w:pPr>
              <w:ind w:left="80"/>
              <w:spacing w:after="0" w:line="21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u w:val="single" w:color="auto"/>
                  <w:color w:val="0000EE"/>
                </w:rPr>
                <w:t>PennantPark Floating Rate Capital Ltd.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3820" w:type="dxa"/>
            <w:vAlign w:val="bottom"/>
            <w:gridSpan w:val="2"/>
          </w:tcPr>
          <w:p>
            <w:pPr>
              <w:ind w:left="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 xml:space="preserve">PFLT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12/03/2020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-2433320</wp:posOffset>
            </wp:positionH>
            <wp:positionV relativeFrom="paragraph">
              <wp:posOffset>227330</wp:posOffset>
            </wp:positionV>
            <wp:extent cx="6964045" cy="17513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7513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80" w:type="dxa"/>
            <w:vAlign w:val="bottom"/>
            <w:gridSpan w:val="9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12/03/2020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J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120,300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10.91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86,500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12/03/2020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J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120,300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10.91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120,600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various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related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-1753235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 w:right="240" w:firstLine="7"/>
        <w:spacing w:after="0" w:line="271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December 3, 2020, a family trust of which the reporting person is trustee acquired 120,300 shares of common stock of PennantPark Floating Rate Capital Ltd from the reporting person at a price of $10.91 per share, the closing price traded on the Nasdaq Stock Market on such date.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6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Samuel L. Katz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12/07/2020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118957" TargetMode="External"/><Relationship Id="rId14" Type="http://schemas.openxmlformats.org/officeDocument/2006/relationships/hyperlink" Target="http://www.sec.gov/cgi-bin/browse-edgar?action=getcompany&amp;CIK=000150461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2020-12-07T15:12:27Z</dcterms:created>
  <dcterms:modified xsi:type="dcterms:W3CDTF">2020-12-07T15:12:27Z</dcterms:modified>
</cp:coreProperties>
</file>