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April 7,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John M. Ganley</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Floating Rate Capital Ltd.</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N-2 (File Nos. 333-170243 and 811-22489)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Commissioners:</w:t>
      </w:r>
    </w:p>
    <w:p>
      <w:pPr>
        <w:spacing w:after="0" w:line="171" w:lineRule="exact"/>
        <w:rPr>
          <w:sz w:val="24"/>
          <w:szCs w:val="24"/>
          <w:color w:val="auto"/>
        </w:rPr>
      </w:pPr>
    </w:p>
    <w:p>
      <w:pPr>
        <w:spacing w:after="0" w:line="306" w:lineRule="auto"/>
        <w:rPr>
          <w:sz w:val="20"/>
          <w:szCs w:val="20"/>
          <w:color w:val="auto"/>
        </w:rPr>
      </w:pPr>
      <w:r>
        <w:rPr>
          <w:rFonts w:ascii="Arial" w:cs="Arial" w:eastAsia="Arial" w:hAnsi="Arial"/>
          <w:sz w:val="16"/>
          <w:szCs w:val="16"/>
          <w:color w:val="auto"/>
        </w:rPr>
        <w:t>Pursuant to Rule 461 under the Securities Act of 1933, as amended, PennantPark Floating Rate Capital Ltd. (the “Company”) respectfully requests acceleration of the effective date of its Registration Statement on Form N-2 (File Nos. 333-170243 and 811-22489) (the “Registration Statement”) so that such Registration Statement may be declared effective at 8:00 a.m. (Eastern Standard Time) on Friday, April 8, 2011, or as soon as practicable thereafter.</w:t>
      </w:r>
    </w:p>
    <w:p>
      <w:pPr>
        <w:spacing w:after="0" w:line="107"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We request that we be notified of such effectiveness by a telephone call to Thomas J. Friedmann of Dechert LLP at (202) 261-3313, and that such effectiveness also be confirmed in writing.</w:t>
      </w:r>
    </w:p>
    <w:p>
      <w:pPr>
        <w:spacing w:after="0" w:line="132" w:lineRule="exact"/>
        <w:rPr>
          <w:sz w:val="24"/>
          <w:szCs w:val="24"/>
          <w:color w:val="auto"/>
        </w:rPr>
      </w:pPr>
    </w:p>
    <w:p>
      <w:pPr>
        <w:ind w:right="160"/>
        <w:spacing w:after="0" w:line="294" w:lineRule="auto"/>
        <w:rPr>
          <w:sz w:val="20"/>
          <w:szCs w:val="20"/>
          <w:color w:val="auto"/>
        </w:rPr>
      </w:pPr>
      <w:r>
        <w:rPr>
          <w:rFonts w:ascii="Arial" w:cs="Arial" w:eastAsia="Arial" w:hAnsi="Arial"/>
          <w:sz w:val="16"/>
          <w:szCs w:val="16"/>
          <w:color w:val="auto"/>
        </w:rPr>
        <w:t>The Company hereby acknowledges that (i) should the Securities and Exchange Commission (the “Commission”) or the staff of the Commission (the “Staff”),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this action as a defense in any proceeding initiated by the Commission or any person under the federal securities laws of the United States.</w:t>
      </w:r>
    </w:p>
    <w:p>
      <w:pPr>
        <w:sectPr>
          <w:pgSz w:w="11900" w:h="16838" w:orient="portrait"/>
          <w:cols w:equalWidth="0" w:num="1">
            <w:col w:w="11400"/>
          </w:cols>
          <w:pgMar w:left="240" w:top="239" w:right="25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Aviv Efrat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Aviv Efrat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220"/>
          </w:cols>
          <w:pgMar w:left="1440" w:top="280"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color w:val="auto"/>
        </w:rPr>
        <w:t>[Morgan Stanley Letterhead]</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April 7,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Electronic Submission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John M. Ganley</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Floating Rate Capital Ltd.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Registration Statement on Form N-2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File Nos. 333-170243 and 811-22489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accordance with Rule 461 of the General Rules and Regulations under the Securities Act of 1933, as amended, Morgan Stanley &amp; Co. Incorporated, SunTrust Robinson Humphrey, Inc. and UBS Securities LLC, as representatives of the several Underwriters, hereby join in the request of PennantPark Floating Rate Capital Ltd. that the effective date of the above-captioned Registration Statement be accelerated so that the same will become effective on April 8, 2011 at 8:00 am, New York City time, or as soon as practicable thereafter.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supplemental information supplied under Rule 418(a)(7) and Rule 460 under the Securities Act of 1933:</w:t>
      </w:r>
    </w:p>
    <w:p>
      <w:pPr>
        <w:spacing w:after="0" w:line="90"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Date of preliminary prospectus: March 31,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Dates of distribution: March 31, 2011-April 7,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prospective underwriters to whom the preliminary prospectus was furnished: 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prospectuses so distributed: approximately 6,500</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been informed by the participating underwriters that they have complied and will comply with the requirements of Rule 15c2-8 under the Securities Exchange Act of 1934.</w:t>
      </w:r>
    </w:p>
    <w:p>
      <w:pPr>
        <w:sectPr>
          <w:pgSz w:w="11900" w:h="16838" w:orient="portrait"/>
          <w:cols w:equalWidth="0" w:num="1">
            <w:col w:w="11280"/>
          </w:cols>
          <w:pgMar w:left="240" w:top="13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INCORPORATED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Incorporated</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Pott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Kenneth Pott</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2019-12-11T08:34:51Z</dcterms:created>
  <dcterms:modified xsi:type="dcterms:W3CDTF">2019-12-11T08:34:51Z</dcterms:modified>
</cp:coreProperties>
</file>