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April 5,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April 5, 2018, PennantPark Floating Rate Capital Ltd. issued a press release announcing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240" w:right="9340" w:hanging="232"/>
        <w:spacing w:after="0" w:line="282" w:lineRule="auto"/>
        <w:tabs>
          <w:tab w:leader="none" w:pos="27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40" w:right="8440" w:hanging="232"/>
        <w:spacing w:after="0" w:line="282"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21" w:lineRule="exact"/>
        <w:rPr>
          <w:rFonts w:ascii="Arial" w:cs="Arial" w:eastAsia="Arial" w:hAnsi="Arial"/>
          <w:sz w:val="18"/>
          <w:szCs w:val="18"/>
          <w:b w:val="1"/>
          <w:bCs w:val="1"/>
          <w:color w:val="auto"/>
        </w:rPr>
      </w:pPr>
    </w:p>
    <w:p>
      <w:pPr>
        <w:ind w:left="240" w:right="8820" w:hanging="232"/>
        <w:spacing w:after="0" w:line="282"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21" w:lineRule="exact"/>
        <w:rPr>
          <w:rFonts w:ascii="Arial" w:cs="Arial" w:eastAsia="Arial" w:hAnsi="Arial"/>
          <w:sz w:val="18"/>
          <w:szCs w:val="18"/>
          <w:b w:val="1"/>
          <w:bCs w:val="1"/>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2" w:lineRule="exact"/>
        <w:rPr>
          <w:sz w:val="20"/>
          <w:szCs w:val="20"/>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Floating Rate Capital Ltd. dated April 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5120" w:type="dxa"/>
            <w:vAlign w:val="bottom"/>
            <w:gridSpan w:val="3"/>
          </w:tcPr>
          <w:p>
            <w:pPr>
              <w:ind w:left="202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Date: April 5, 2018</w:t>
            </w:r>
          </w:p>
        </w:tc>
        <w:tc>
          <w:tcPr>
            <w:tcW w:w="512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April 05, 2018 (GLOBE NEWSWIRE) -- PennantPark Floating Rate Capital Ltd. (the "Company") (NASDAQ:PFLT) (TASE:PFLT) declares monthly distribution for April 2018 of $0.095 per share, payable on May 1, 2018 to stockholders of record as of April 17, 2018.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84% or $0.0798 per share of this distribution has been identified by the Company as an interest-related dividend generally exempt from U.S. withholding tax. This information is subject to change.</w:t>
      </w:r>
    </w:p>
    <w:p>
      <w:pPr>
        <w:spacing w:after="0" w:line="175" w:lineRule="exact"/>
        <w:rPr>
          <w:sz w:val="20"/>
          <w:szCs w:val="20"/>
          <w:color w:val="auto"/>
        </w:rPr>
      </w:pPr>
    </w:p>
    <w:p>
      <w:pPr>
        <w:jc w:val="both"/>
        <w:ind w:right="20"/>
        <w:spacing w:after="0" w:line="252" w:lineRule="auto"/>
        <w:rPr>
          <w:sz w:val="20"/>
          <w:szCs w:val="20"/>
          <w:color w:val="auto"/>
        </w:rPr>
      </w:pPr>
      <w:r>
        <w:rPr>
          <w:rFonts w:ascii="Arial" w:cs="Arial" w:eastAsia="Arial" w:hAnsi="Arial"/>
          <w:sz w:val="21"/>
          <w:szCs w:val="21"/>
          <w:color w:val="auto"/>
        </w:rPr>
        <w:t>The Company, which operates as a regulated investment company (“RIC”), generates qualified interest income and short-term capital gains that may be exempt from United States withholding tax when distributed to non-U.S. stockholders. The U.S. tax law permits a RIC to report the portion of distributions paid that represent interest-related dividends as exempt from U.S. withholding tax when paid to non-U.S. stockholders with proper documentation.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2020-05-05T12:04:36Z</dcterms:created>
  <dcterms:modified xsi:type="dcterms:W3CDTF">2020-05-05T12:04:36Z</dcterms:modified>
</cp:coreProperties>
</file>