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09, 2012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40"/>
        <w:spacing w:after="0"/>
        <w:rPr>
          <w:sz w:val="20"/>
          <w:szCs w:val="20"/>
          <w:color w:val="auto"/>
        </w:rPr>
      </w:pPr>
      <w:r>
        <w:rPr>
          <w:rFonts w:ascii="Arial" w:cs="Arial" w:eastAsia="Arial" w:hAnsi="Arial"/>
          <w:sz w:val="22"/>
          <w:szCs w:val="22"/>
          <w:color w:val="auto"/>
        </w:rPr>
        <w:t>On February 9, 2012, PennantPark Floating Rate Capital Ltd. issued a press release announcing its financial results for the quarter ended December 31, 2011. A copy of the press release is furnished as Exhibit 99.1 to this report pursuant to Item 2.02 on Form 8-K and Regulation FD.</w:t>
      </w:r>
    </w:p>
    <w:p>
      <w:pPr>
        <w:spacing w:after="0" w:line="213"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under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February 09,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00"/>
          </w:cols>
          <w:pgMar w:left="320" w:top="828" w:right="379" w:bottom="0" w:gutter="0" w:footer="0" w:header="0"/>
        </w:sectPr>
      </w:pPr>
    </w:p>
    <w:bookmarkStart w:id="1" w:name="page2"/>
    <w:bookmarkEnd w:id="1"/>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0"/>
                <w:szCs w:val="20"/>
                <w:color w:val="auto"/>
              </w:rPr>
            </w:pPr>
            <w:r>
              <w:rPr>
                <w:rFonts w:ascii="Arial" w:cs="Arial" w:eastAsia="Arial" w:hAnsi="Arial"/>
                <w:sz w:val="22"/>
                <w:szCs w:val="22"/>
                <w:color w:val="auto"/>
              </w:rPr>
              <w:t>Dated: February 09, 2012</w:t>
            </w:r>
          </w:p>
        </w:tc>
        <w:tc>
          <w:tcPr>
            <w:tcW w:w="6700" w:type="dxa"/>
            <w:vAlign w:val="bottom"/>
            <w:gridSpan w:val="3"/>
          </w:tcPr>
          <w:p>
            <w:pPr>
              <w:ind w:left="17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20" w:type="dxa"/>
            <w:vAlign w:val="bottom"/>
          </w:tcPr>
          <w:p>
            <w:pPr>
              <w:spacing w:after="0"/>
              <w:rPr>
                <w:sz w:val="24"/>
                <w:szCs w:val="24"/>
                <w:color w:val="auto"/>
              </w:rPr>
            </w:pPr>
          </w:p>
        </w:tc>
        <w:tc>
          <w:tcPr>
            <w:tcW w:w="6700" w:type="dxa"/>
            <w:vAlign w:val="bottom"/>
            <w:gridSpan w:val="3"/>
          </w:tcPr>
          <w:p>
            <w:pPr>
              <w:ind w:left="1700"/>
              <w:spacing w:after="0"/>
              <w:rPr>
                <w:sz w:val="20"/>
                <w:szCs w:val="20"/>
                <w:color w:val="auto"/>
              </w:rPr>
            </w:pPr>
            <w:r>
              <w:rPr>
                <w:rFonts w:ascii="Arial" w:cs="Arial" w:eastAsia="Arial" w:hAnsi="Arial"/>
                <w:sz w:val="22"/>
                <w:szCs w:val="22"/>
                <w:color w:val="auto"/>
              </w:rPr>
              <w:t>By: /s/ Aviv Efrat</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20" w:type="dxa"/>
            <w:vAlign w:val="bottom"/>
          </w:tcPr>
          <w:p>
            <w:pPr>
              <w:spacing w:after="0"/>
              <w:rPr>
                <w:sz w:val="21"/>
                <w:szCs w:val="21"/>
                <w:color w:val="auto"/>
              </w:rPr>
            </w:pPr>
          </w:p>
        </w:tc>
        <w:tc>
          <w:tcPr>
            <w:tcW w:w="6700" w:type="dxa"/>
            <w:vAlign w:val="bottom"/>
            <w:gridSpan w:val="3"/>
          </w:tcPr>
          <w:p>
            <w:pPr>
              <w:ind w:left="19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20" w:type="dxa"/>
            <w:vAlign w:val="bottom"/>
          </w:tcPr>
          <w:p>
            <w:pPr>
              <w:spacing w:after="0"/>
              <w:rPr>
                <w:sz w:val="23"/>
                <w:szCs w:val="23"/>
                <w:color w:val="auto"/>
              </w:rPr>
            </w:pPr>
          </w:p>
        </w:tc>
        <w:tc>
          <w:tcPr>
            <w:tcW w:w="670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7"/>
              </w:rPr>
              <w:t>February 09, 2012</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line="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PennantPark Floating Rate Capital Ltd. Announces Financial Results for the Quarter Ended December 31, 2011</w:t>
      </w:r>
    </w:p>
    <w:p>
      <w:pPr>
        <w:spacing w:after="0" w:line="224" w:lineRule="exact"/>
        <w:rPr>
          <w:sz w:val="20"/>
          <w:szCs w:val="20"/>
          <w:color w:val="auto"/>
        </w:rPr>
      </w:pPr>
    </w:p>
    <w:p>
      <w:pPr>
        <w:ind w:right="40"/>
        <w:spacing w:after="0" w:line="274" w:lineRule="auto"/>
        <w:rPr>
          <w:sz w:val="20"/>
          <w:szCs w:val="20"/>
          <w:color w:val="auto"/>
        </w:rPr>
      </w:pPr>
      <w:r>
        <w:rPr>
          <w:rFonts w:ascii="Arial" w:cs="Arial" w:eastAsia="Arial" w:hAnsi="Arial"/>
          <w:sz w:val="21"/>
          <w:szCs w:val="21"/>
          <w:color w:val="auto"/>
        </w:rPr>
        <w:t>NEW YORK, NY -- (Marketwire - February 09, 2012) - PennantPark Floating Rate Capital Ltd. (NASDAQ: PFLT), "we," "our," "us" or "Company" today announces financial results for its first fiscal quarter ended December 31, 2011.</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December 31, 2011</w:t>
      </w:r>
    </w:p>
    <w:p>
      <w:pPr>
        <w:spacing w:after="0" w:line="238" w:lineRule="auto"/>
        <w:rPr>
          <w:sz w:val="20"/>
          <w:szCs w:val="20"/>
          <w:color w:val="auto"/>
        </w:rPr>
      </w:pPr>
      <w:r>
        <w:rPr>
          <w:rFonts w:ascii="Courier New" w:cs="Courier New" w:eastAsia="Courier New" w:hAnsi="Courier New"/>
          <w:sz w:val="18"/>
          <w:szCs w:val="18"/>
          <w:color w:val="auto"/>
        </w:rPr>
        <w:t>($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Assets and Liabilities:</w:t>
            </w: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129.3</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Net assets</w:t>
            </w:r>
          </w:p>
        </w:tc>
        <w:tc>
          <w:tcPr>
            <w:tcW w:w="48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93.7</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w:t>
            </w: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per share</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13.68</w:t>
            </w: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Credit facility (cost $35.1)</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34.7</w:t>
            </w:r>
          </w:p>
        </w:tc>
      </w:tr>
      <w:tr>
        <w:trPr>
          <w:trHeight w:val="405"/>
        </w:trPr>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8.3%</w:t>
            </w:r>
          </w:p>
        </w:tc>
      </w:tr>
      <w:tr>
        <w:trPr>
          <w:trHeight w:val="405"/>
        </w:trPr>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Operating Results:</w:t>
            </w: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0.20</w:t>
            </w: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Short-term realized gains per share</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0.05</w:t>
            </w: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0.21</w:t>
            </w:r>
          </w:p>
        </w:tc>
      </w:tr>
      <w:tr>
        <w:trPr>
          <w:trHeight w:val="405"/>
        </w:trPr>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Portfolio Activity:</w:t>
            </w: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w:t>
            </w: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investments</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39.3</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w:t>
            </w: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investments</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22.3</w:t>
            </w:r>
          </w:p>
        </w:tc>
      </w:tr>
      <w:tr>
        <w:trPr>
          <w:trHeight w:val="405"/>
        </w:trPr>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new portfolio companies invested</w:t>
            </w:r>
          </w:p>
        </w:tc>
        <w:tc>
          <w:tcPr>
            <w:tcW w:w="116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existing portfolio companies invested</w:t>
            </w:r>
          </w:p>
        </w:tc>
        <w:tc>
          <w:tcPr>
            <w:tcW w:w="1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portfolio companies at quarter-end</w:t>
            </w:r>
          </w:p>
        </w:tc>
        <w:tc>
          <w:tcPr>
            <w:tcW w:w="1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w:t>
            </w: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FEBRUARY 10, 2012</w:t>
      </w:r>
    </w:p>
    <w:p>
      <w:pPr>
        <w:spacing w:after="0" w:line="212" w:lineRule="exact"/>
        <w:rPr>
          <w:sz w:val="20"/>
          <w:szCs w:val="20"/>
          <w:color w:val="auto"/>
        </w:rPr>
      </w:pPr>
    </w:p>
    <w:p>
      <w:pPr>
        <w:ind w:right="180"/>
        <w:spacing w:after="0" w:line="271" w:lineRule="auto"/>
        <w:rPr>
          <w:sz w:val="20"/>
          <w:szCs w:val="20"/>
          <w:color w:val="auto"/>
        </w:rPr>
      </w:pPr>
      <w:r>
        <w:rPr>
          <w:rFonts w:ascii="Arial" w:cs="Arial" w:eastAsia="Arial" w:hAnsi="Arial"/>
          <w:sz w:val="19"/>
          <w:szCs w:val="19"/>
          <w:color w:val="auto"/>
        </w:rPr>
        <w:t>The Company will host a conference call at 10:00 a.m. (Eastern Time) on Friday, February 10, 2012 to discuss its quarterly financial results. All interested parties are welcome to participate. You can access the conference call by dialing (888) 417-8519 approximately 5-10 minutes prior to the call. International callers should dial (719) 325-2476. All callers should reference PennantPark Floating Rate Capital Ltd. An archived replay of the call will be available through February 24, 2012 by calling</w:t>
      </w:r>
    </w:p>
    <w:p>
      <w:pPr>
        <w:spacing w:after="0" w:line="3" w:lineRule="exact"/>
        <w:rPr>
          <w:sz w:val="20"/>
          <w:szCs w:val="20"/>
          <w:color w:val="auto"/>
        </w:rPr>
      </w:pPr>
    </w:p>
    <w:p>
      <w:pPr>
        <w:ind w:right="960" w:firstLine="8"/>
        <w:spacing w:after="0" w:line="236" w:lineRule="auto"/>
        <w:tabs>
          <w:tab w:leader="none" w:pos="522" w:val="left"/>
        </w:tabs>
        <w:numPr>
          <w:ilvl w:val="0"/>
          <w:numId w:val="2"/>
        </w:numPr>
        <w:rPr>
          <w:rFonts w:ascii="Arial" w:cs="Arial" w:eastAsia="Arial" w:hAnsi="Arial"/>
          <w:sz w:val="22"/>
          <w:szCs w:val="22"/>
          <w:color w:val="auto"/>
        </w:rPr>
      </w:pPr>
      <w:r>
        <w:rPr>
          <w:rFonts w:ascii="Arial" w:cs="Arial" w:eastAsia="Arial" w:hAnsi="Arial"/>
          <w:sz w:val="22"/>
          <w:szCs w:val="22"/>
          <w:color w:val="auto"/>
        </w:rPr>
        <w:t>203-1112. International callers please dial (719) 457-0820. For all phone replays, please reference conference ID #4803495.</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As of December 31, 2011, our portfolio totaled $129.3 million and consisted of $106.4 million of senior secured loans, $12.4 million of second lien secured debt, $10.5 million of subordinated debt, preferred and common equity investments. Our portfolio consisted of 84% variable-rate investments (including 78% with a London Interbank Offered Rate, or LIBOR, or prime floor) and 16% fixed-rate investments. Overall, the portfolio had unrealized depreciation of $3.0 million. Our overall portfolio consisted of 45 companies with an average investment size of $2.9 million, a weighted average yield on debt investments of 8.3%, and was invested 82% in senior secured loans, 10% in second lien secured debt and 8% in subordinated debt, preferred and common equity investments.</w:t>
      </w:r>
    </w:p>
    <w:p>
      <w:pPr>
        <w:spacing w:after="0" w:line="191"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As of September 30, 2011, our portfolio totaled $110.7 million and consisted of $94.3 million of senior secured loans, $9.3 million of second lien secured debt, $7.1 million of subordinated debt, preferred and common equity investments. Our portfolio consisted of 84% variable-rate investments (including 78% with a LIBOR or prime floor) and 16% fixed-rate investments. Overall, the portfolio had unrealized depreciation of $4.1 million. Our overall portfolio consisted of 38 companies with an average investment size of $2.9 million, a weighted average yield on debt investments of 8.0%, and was invested 85% in senior secured loans, 9% in second lien secured debt and 6% in subordinated debt, preferred and common equity investments.</w:t>
      </w:r>
    </w:p>
    <w:p>
      <w:pPr>
        <w:spacing w:after="0" w:line="150"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2011, we invested $39.3 million in 13 new portfolio companies and 2 existing portfolio companies with a weighted average yield on debt investments of 9.4%. Sales and repayments of investments for the three months ended December 31, 2011 totaled $22.3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months ended December 31, 2011.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Investment income for the three months ended December 31, 2011 was $2.5 million and was primarily attributable to $2.0 million from senior secured loans, $0.3 million from second lien secured debt investments and $0.2 million from subordinated debt investments. We continue to find attractive investment opportunities and will rotate out of lower rate investments to higher rate loans.</w:t>
      </w:r>
    </w:p>
    <w:p>
      <w:pPr>
        <w:sectPr>
          <w:pgSz w:w="11900" w:h="16874" w:orient="portrait"/>
          <w:cols w:equalWidth="0" w:num="1">
            <w:col w:w="11240"/>
          </w:cols>
          <w:pgMar w:left="320" w:top="111" w:right="339" w:bottom="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Expenses</w:t>
      </w:r>
    </w:p>
    <w:p>
      <w:pPr>
        <w:spacing w:after="0" w:line="213"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Expenses for the three months ended December 31, 2011 totaled $1.1 million. Base management fees for the same period totaled $0.3 million, Credit Facility related expenses totaled $0.3 million and general and administrative expenses totaled $0.5 million. We expect our base management fee and senior secured credit facility, or the Credit Facility, expenses to continue to increase as a result of growth in our portfolio and debt.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Net investment income totaled $1.4 million, or $0.20 per share, for the three months ended December 31, 2011.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color w:val="auto"/>
        </w:rPr>
        <w:t>Sales and repayments of investments for the three months ended December 31, 2011 totaled $22.3 million and realized gains totaled $0.3 million due to sales and repayments of our debt investments.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jc w:val="both"/>
        <w:ind w:right="300"/>
        <w:spacing w:after="0"/>
        <w:rPr>
          <w:sz w:val="20"/>
          <w:szCs w:val="20"/>
          <w:color w:val="auto"/>
        </w:rPr>
      </w:pPr>
      <w:r>
        <w:rPr>
          <w:rFonts w:ascii="Arial" w:cs="Arial" w:eastAsia="Arial" w:hAnsi="Arial"/>
          <w:sz w:val="22"/>
          <w:szCs w:val="22"/>
          <w:color w:val="auto"/>
        </w:rPr>
        <w:t>For the three months ended December 31, 2011, we reported unrealized appreciation on our investments of $1.1 million. As of December 31, 2011 and September 30, 2011, net unrealized depreciation on investments totaled $3.0 million and $4.1 million, respectively.</w:t>
      </w:r>
    </w:p>
    <w:p>
      <w:pPr>
        <w:spacing w:after="0" w:line="186"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For the three months ended December 31, 2011, our Credit Facility value decreased by $0.4 million. As of December 31, 2011, net unrealized depreciation on our Credit Facility totaled $0.4 million. As of September 30, 2011, we had no appreciation or depreciation on our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pacing w:after="0" w:line="212"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Net increase in net assets resulting from operations totaled $3.1 million, or $0.45 per share, for the three months ended December 31, 2011. This increase in net assets from operations was due to the continued growth in net investment income as a result of the growth in our portfolio.</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Our liquidity and capital resources are derived from our initial public offering, Credit Facility, cash flows from operations, including investment sales and repayments, and income earned. Our primary use of funds from operations includes investments in portfolio companies and payments of dividends and operating expenses, including management fees. We have used, and expect to continue to use, our Credit Facility proceeds, the rotation of our portfolio and proceeds from public and private offerings of securities to finance our investment objectives.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On June 23, 2011, PennantPark Floating Rate Funding I, LLC, or Funding I, entered into the Credit Facility with affiliates of SunTrust Bank, or the Lender, an asset-backed commercial paper conduit administered by SunTrust Robinson Humphrey, Inc. The Credit Facility allows Funding I to borrow up to $100.0 million and contains an accordion feature whereby the Credit Facility can be expanded to $600.0 million, subject to satisfaction of certain conditions. As of December 31, 2011 and September 30, 2011, Funding I had $35.1 million and $24.7 million of outstanding borrowings under the Credit Facility, respectively, had an interest rate of 2.59% and 2.53%, respectively, excluding the 0.50% undrawn commitment fee, and had $64.9 million and $75.3 million available, respectively, subject to restrictions and covenants.</w:t>
      </w:r>
    </w:p>
    <w:p>
      <w:pPr>
        <w:spacing w:after="0" w:line="152"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78" w:lineRule="exact"/>
        <w:rPr>
          <w:sz w:val="20"/>
          <w:szCs w:val="20"/>
          <w:color w:val="auto"/>
        </w:rPr>
      </w:pPr>
    </w:p>
    <w:p>
      <w:pPr>
        <w:ind w:right="600"/>
        <w:spacing w:after="0" w:line="274" w:lineRule="auto"/>
        <w:rPr>
          <w:sz w:val="20"/>
          <w:szCs w:val="20"/>
          <w:color w:val="auto"/>
        </w:rPr>
      </w:pPr>
      <w:r>
        <w:rPr>
          <w:rFonts w:ascii="Arial" w:cs="Arial" w:eastAsia="Arial" w:hAnsi="Arial"/>
          <w:sz w:val="21"/>
          <w:szCs w:val="21"/>
          <w:color w:val="auto"/>
        </w:rPr>
        <w:t>At December 31, 2011, we had cash equivalents of $4.7 million available for investing and general corporate purposes. We believe our liquidity and capital resources are sufficient to take advantage of market opportunities.</w:t>
      </w:r>
    </w:p>
    <w:p>
      <w:pPr>
        <w:spacing w:after="0" w:line="151" w:lineRule="exact"/>
        <w:rPr>
          <w:sz w:val="20"/>
          <w:szCs w:val="20"/>
          <w:color w:val="auto"/>
        </w:rPr>
      </w:pPr>
    </w:p>
    <w:p>
      <w:pPr>
        <w:jc w:val="both"/>
        <w:ind w:right="280"/>
        <w:spacing w:after="0"/>
        <w:rPr>
          <w:sz w:val="20"/>
          <w:szCs w:val="20"/>
          <w:color w:val="auto"/>
        </w:rPr>
      </w:pPr>
      <w:r>
        <w:rPr>
          <w:rFonts w:ascii="Arial" w:cs="Arial" w:eastAsia="Arial" w:hAnsi="Arial"/>
          <w:sz w:val="22"/>
          <w:szCs w:val="22"/>
          <w:color w:val="auto"/>
        </w:rPr>
        <w:t>Our operating activities used cash of $11.3 million for the three months ended December 31, 2011, and our financing activities provided net cash proceeds of $9.0 million for the same period. Our operating activities used cash primarily from net investing that was provided from net draws under the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During the three months ended December 31, 2011, we declared to stockholders distributions of $0.21 per share for total distributions of $1.4 million. Distributions are paid from taxable earnings and may include a return of capital and/or capital gains. The specific tax characteristics of the distributions will be reported to stockholders on Form 1099-DIV after the end of the calendar year and in our periodic reports filed with the Securities and Exchange Commission.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ectPr>
          <w:pgSz w:w="11900" w:h="16838" w:orient="portrait"/>
          <w:cols w:equalWidth="0" w:num="1">
            <w:col w:w="11240"/>
          </w:cols>
          <w:pgMar w:left="320" w:top="112" w:right="339" w:bottom="0" w:gutter="0" w:footer="0" w:header="0"/>
        </w:sectPr>
      </w:pPr>
    </w:p>
    <w:bookmarkStart w:id="4" w:name="page5"/>
    <w:bookmarkEnd w:id="4"/>
    <w:p>
      <w:pPr>
        <w:spacing w:after="0" w:line="251" w:lineRule="auto"/>
        <w:rPr>
          <w:sz w:val="20"/>
          <w:szCs w:val="20"/>
          <w:color w:val="auto"/>
        </w:rPr>
      </w:pPr>
      <w:r>
        <w:rPr>
          <w:rFonts w:ascii="Arial" w:cs="Arial" w:eastAsia="Arial" w:hAnsi="Arial"/>
          <w:sz w:val="22"/>
          <w:szCs w:val="22"/>
          <w:color w:val="auto"/>
        </w:rPr>
        <w:t>The Company makes available on its website its report on Form 10-Q filed with the Securities and Exchange Commission and stockholders may find the report on our website at www.pennantpark.com.</w:t>
      </w:r>
    </w:p>
    <w:p>
      <w:pPr>
        <w:spacing w:after="0" w:line="394"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8"/>
          <w:szCs w:val="18"/>
          <w:color w:val="auto"/>
        </w:rPr>
        <w:t>PENNANTPARK FLOATING RATE CAPITAL LTD. AND SUBSIDIARY</w:t>
      </w:r>
    </w:p>
    <w:p>
      <w:pPr>
        <w:jc w:val="center"/>
        <w:ind w:right="302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December 31,</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2011</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2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2011</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at fair value (cost--</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$132,364,633 and $114,829,621,</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129,328,344</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110,724,241</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4,661,292</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6,987,450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831,266</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732,695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7,922,500</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2,467,500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97,978</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163,374</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assets</w:t>
            </w:r>
          </w:p>
        </w:tc>
        <w:tc>
          <w:tcPr>
            <w:tcW w:w="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142,841,380</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121,075,260</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479,547</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479,547</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10,765,000</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990,000</w:t>
            </w:r>
          </w:p>
        </w:tc>
      </w:tr>
      <w:tr>
        <w:trPr>
          <w:trHeight w:val="202"/>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2,161,880</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2,323,250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(cost--$35,100,000</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$24,650,000, respectively)</w:t>
            </w:r>
          </w:p>
        </w:tc>
        <w:tc>
          <w:tcPr>
            <w:tcW w:w="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34,749,000</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24,650,000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278,981</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150,246</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315,845</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266,432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352,497</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143,680</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49,102,750</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29,003,155</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6,850,667 shares are issued</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and outstanding. Par value $0.001 per share</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100,000,000 shares authorized.</w:t>
            </w:r>
          </w:p>
        </w:tc>
        <w:tc>
          <w:tcPr>
            <w:tcW w:w="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6,851</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6,851</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97,251,174</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97,251,174</w:t>
            </w:r>
          </w:p>
        </w:tc>
      </w:tr>
      <w:tr>
        <w:trPr>
          <w:trHeight w:val="202"/>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in excess of net investment</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12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(1,456,269)</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(1,392,528)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Accumulated net realized gain on investments</w:t>
            </w:r>
          </w:p>
        </w:tc>
        <w:tc>
          <w:tcPr>
            <w:tcW w:w="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622,163</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311,988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investments</w:t>
            </w:r>
          </w:p>
        </w:tc>
        <w:tc>
          <w:tcPr>
            <w:tcW w:w="12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(3,036,289)</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(4,105,380)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credit</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351,000</w:t>
            </w:r>
          </w:p>
        </w:tc>
        <w:tc>
          <w:tcPr>
            <w:tcW w:w="26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93,738,630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92,072,105</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142,841,380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121,075,260</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13.68</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13.44</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810"/>
        </w:trPr>
        <w:tc>
          <w:tcPr>
            <w:tcW w:w="8020" w:type="dxa"/>
            <w:vAlign w:val="bottom"/>
            <w:gridSpan w:val="5"/>
          </w:tcPr>
          <w:p>
            <w:pPr>
              <w:jc w:val="right"/>
              <w:ind w:right="1072"/>
              <w:spacing w:after="0"/>
              <w:rPr>
                <w:sz w:val="20"/>
                <w:szCs w:val="20"/>
                <w:color w:val="auto"/>
              </w:rPr>
            </w:pPr>
            <w:r>
              <w:rPr>
                <w:rFonts w:ascii="Courier New" w:cs="Courier New" w:eastAsia="Courier New" w:hAnsi="Courier New"/>
                <w:sz w:val="18"/>
                <w:szCs w:val="18"/>
                <w:color w:val="auto"/>
              </w:rPr>
              <w:t>PENNANTPARK FLOATING RATE CAPITAL LTD. AND SUBSIDIARY</w:t>
            </w:r>
          </w:p>
        </w:tc>
      </w:tr>
      <w:tr>
        <w:trPr>
          <w:trHeight w:val="203"/>
        </w:trPr>
        <w:tc>
          <w:tcPr>
            <w:tcW w:w="6380" w:type="dxa"/>
            <w:vAlign w:val="bottom"/>
            <w:gridSpan w:val="3"/>
          </w:tcPr>
          <w:p>
            <w:pPr>
              <w:ind w:left="2120"/>
              <w:spacing w:after="0" w:line="203" w:lineRule="exact"/>
              <w:rPr>
                <w:sz w:val="20"/>
                <w:szCs w:val="20"/>
                <w:color w:val="auto"/>
              </w:rPr>
            </w:pPr>
            <w:r>
              <w:rPr>
                <w:rFonts w:ascii="Courier New" w:cs="Courier New" w:eastAsia="Courier New" w:hAnsi="Courier New"/>
                <w:sz w:val="18"/>
                <w:szCs w:val="18"/>
                <w:color w:val="auto"/>
              </w:rPr>
              <w:t>CONSOLIDATED STATEMENT OF OPERATIONS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(Unaudited)</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Three Months</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December 31,</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2011</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From non-controlled, non-affiliated investments: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2,467,028</w:t>
            </w:r>
          </w:p>
        </w:tc>
      </w:tr>
      <w:tr>
        <w:trPr>
          <w:trHeight w:val="202"/>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2"/>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315,845</w:t>
            </w:r>
          </w:p>
        </w:tc>
      </w:tr>
      <w:tr>
        <w:trPr>
          <w:trHeight w:val="203"/>
        </w:trPr>
        <w:tc>
          <w:tcPr>
            <w:tcW w:w="63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Interest and expenses on the credit facility</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278,980</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138,335</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Other general and administrative expenses</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358,969</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expenses</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1,092,129</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1,374,899</w:t>
            </w:r>
          </w:p>
        </w:tc>
      </w:tr>
      <w:tr>
        <w:trPr>
          <w:trHeight w:val="202"/>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6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Realized and unrealized gain on investments and credit</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ectPr>
          <w:pgSz w:w="11900" w:h="16838" w:orient="portrait"/>
          <w:cols w:equalWidth="0" w:num="1">
            <w:col w:w="10940"/>
          </w:cols>
          <w:pgMar w:left="320" w:top="118" w:right="6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ind w:left="120"/>
              <w:spacing w:after="0"/>
              <w:rPr>
                <w:sz w:val="20"/>
                <w:szCs w:val="20"/>
                <w:color w:val="auto"/>
              </w:rPr>
            </w:pPr>
            <w:r>
              <w:rPr>
                <w:rFonts w:ascii="Courier New" w:cs="Courier New" w:eastAsia="Courier New" w:hAnsi="Courier New"/>
                <w:sz w:val="18"/>
                <w:szCs w:val="18"/>
                <w:color w:val="auto"/>
              </w:rPr>
              <w:t>facility:</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on non-controlled, non-affiliated</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310,175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appreciation on:</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1,069,091</w:t>
            </w:r>
          </w:p>
        </w:tc>
      </w:tr>
      <w:tr>
        <w:trPr>
          <w:trHeight w:val="203"/>
        </w:trPr>
        <w:tc>
          <w:tcPr>
            <w:tcW w:w="6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Credit facility depreciation</w:t>
            </w: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351,000</w:t>
            </w:r>
          </w:p>
        </w:tc>
      </w:tr>
      <w:tr>
        <w:trPr>
          <w:trHeight w:val="203"/>
        </w:trPr>
        <w:tc>
          <w:tcPr>
            <w:tcW w:w="644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Net change in unrealized appreciation on investments and</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credit facility</w:t>
            </w: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1,420,091</w:t>
            </w:r>
          </w:p>
        </w:tc>
      </w:tr>
      <w:tr>
        <w:trPr>
          <w:trHeight w:val="203"/>
        </w:trPr>
        <w:tc>
          <w:tcPr>
            <w:tcW w:w="644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realized and unrealized gain from investments and credit</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1,730,266</w:t>
            </w:r>
          </w:p>
        </w:tc>
      </w:tr>
      <w:tr>
        <w:trPr>
          <w:trHeight w:val="203"/>
        </w:trPr>
        <w:tc>
          <w:tcPr>
            <w:tcW w:w="644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 operations</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3,105,165</w:t>
            </w:r>
          </w:p>
        </w:tc>
      </w:tr>
      <w:tr>
        <w:trPr>
          <w:trHeight w:val="203"/>
        </w:trPr>
        <w:tc>
          <w:tcPr>
            <w:tcW w:w="644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 operations per</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0.45</w:t>
            </w:r>
          </w:p>
        </w:tc>
      </w:tr>
      <w:tr>
        <w:trPr>
          <w:trHeight w:val="203"/>
        </w:trPr>
        <w:tc>
          <w:tcPr>
            <w:tcW w:w="644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0.20</w:t>
            </w:r>
          </w:p>
        </w:tc>
      </w:tr>
      <w:tr>
        <w:trPr>
          <w:trHeight w:val="203"/>
        </w:trPr>
        <w:tc>
          <w:tcPr>
            <w:tcW w:w="644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3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88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2020-05-05T12:04:12Z</dcterms:created>
  <dcterms:modified xsi:type="dcterms:W3CDTF">2020-05-05T12:04:12Z</dcterms:modified>
</cp:coreProperties>
</file>