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9"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7"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7"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May 11, 2020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080"/>
          </w:cols>
          <w:pgMar w:left="320" w:top="723" w:right="49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60"/>
          </w:cols>
          <w:pgMar w:left="320" w:top="723" w:right="499" w:bottom="1440" w:gutter="0" w:footer="0" w:header="0"/>
          <w:type w:val="continuous"/>
        </w:sectPr>
      </w:pPr>
    </w:p>
    <w:p>
      <w:pPr>
        <w:spacing w:after="0" w:line="200" w:lineRule="exact"/>
        <w:rPr>
          <w:sz w:val="24"/>
          <w:szCs w:val="24"/>
          <w:color w:val="auto"/>
        </w:rPr>
      </w:pPr>
    </w:p>
    <w:p>
      <w:pPr>
        <w:spacing w:after="0" w:line="26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0"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9"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20" w:firstLine="291"/>
        <w:spacing w:after="0" w:line="489"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080"/>
          </w:cols>
          <w:pgMar w:left="320" w:top="723" w:right="499" w:bottom="1440" w:gutter="0" w:footer="0" w:header="0"/>
          <w:type w:val="continuous"/>
        </w:sectPr>
      </w:pPr>
    </w:p>
    <w:p>
      <w:pPr>
        <w:spacing w:after="0" w:line="1"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2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40"/>
          </w:cols>
          <w:pgMar w:left="320" w:top="723" w:right="499" w:bottom="1440" w:gutter="0" w:footer="0" w:header="0"/>
          <w:type w:val="continuous"/>
        </w:sectPr>
      </w:pPr>
    </w:p>
    <w:p>
      <w:pPr>
        <w:spacing w:after="0" w:line="1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1367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765" cy="20955"/>
                    </a:xfrm>
                    <a:prstGeom prst="rect">
                      <a:avLst/>
                    </a:prstGeom>
                    <a:noFill/>
                  </pic:spPr>
                </pic:pic>
              </a:graphicData>
            </a:graphic>
          </wp:anchor>
        </w:drawing>
      </w:r>
    </w:p>
    <w:p>
      <w:pPr>
        <w:sectPr>
          <w:pgSz w:w="11900" w:h="16838" w:orient="portrait"/>
          <w:cols w:equalWidth="0" w:num="1">
            <w:col w:w="11080"/>
          </w:cols>
          <w:pgMar w:left="320" w:top="723"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On May 11, 2020, PennantPark Floating Rate Capital Ltd., or the Company, issued a press release announcing its financial results for the second fiscal quarter ended March 31, 2020. A copy of the press release is furnished as Exhibit 99.1 to this report pursuant to Item 2.02 on Form 8-K and Regulation FD.</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potential impact on the Company’s business and operating results, see the Company’s Quarterly Report on Form 10-Q for the quarter ended March 31, 2020, including “Item 2. Management's Discussion and Analysis of Financial Condition and Results of Operations – COVID-19 Developments” and “Part II - Other Information – Item 1A. Risk Factors” therein.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4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May 11,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367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5100" w:type="dxa"/>
            <w:vAlign w:val="bottom"/>
            <w:gridSpan w:val="3"/>
          </w:tcPr>
          <w:p>
            <w:pPr>
              <w:ind w:left="202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440" w:type="dxa"/>
            <w:vAlign w:val="bottom"/>
          </w:tcPr>
          <w:p>
            <w:pPr>
              <w:spacing w:after="0"/>
              <w:rPr>
                <w:sz w:val="20"/>
                <w:szCs w:val="20"/>
                <w:color w:val="auto"/>
              </w:rPr>
            </w:pPr>
            <w:r>
              <w:rPr>
                <w:rFonts w:ascii="Arial" w:cs="Arial" w:eastAsia="Arial" w:hAnsi="Arial"/>
                <w:sz w:val="18"/>
                <w:szCs w:val="18"/>
                <w:color w:val="auto"/>
              </w:rPr>
              <w:t>Date: May 11, 2020</w:t>
            </w:r>
          </w:p>
        </w:tc>
        <w:tc>
          <w:tcPr>
            <w:tcW w:w="510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284605" cy="299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460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NEW YORK, May 11, 2020 (GLOBE NEWSWIRE) -- PennantPark Floating Rate Capital Ltd. (NASDAQ: PFLT) (TASE:</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PFLT) announced today financial results for the second fiscal quarter ended March 31, 2020.</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HIGHLIGHTS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22"/>
          <w:szCs w:val="22"/>
          <w:color w:val="auto"/>
        </w:rPr>
        <w:t>Quarter ended March 31, 2020</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22"/>
          <w:szCs w:val="22"/>
          <w:color w:val="auto"/>
        </w:rPr>
        <w:t>($ in millions, except per share amounts)</w:t>
      </w:r>
    </w:p>
    <w:p>
      <w:pPr>
        <w:spacing w:after="0" w:line="282" w:lineRule="exact"/>
        <w:rPr>
          <w:sz w:val="20"/>
          <w:szCs w:val="20"/>
          <w:color w:val="auto"/>
        </w:rPr>
      </w:pPr>
    </w:p>
    <w:tbl>
      <w:tblPr>
        <w:tblLayout w:type="fixed"/>
        <w:tblInd w:w="140" w:type="dxa"/>
        <w:tblCellMar>
          <w:top w:w="0" w:type="dxa"/>
          <w:left w:w="0" w:type="dxa"/>
          <w:bottom w:w="0" w:type="dxa"/>
          <w:right w:w="0" w:type="dxa"/>
        </w:tblCellMar>
      </w:tblPr>
      <w:tr>
        <w:trPr>
          <w:trHeight w:val="274"/>
        </w:trPr>
        <w:tc>
          <w:tcPr>
            <w:tcW w:w="6300" w:type="dxa"/>
            <w:vAlign w:val="bottom"/>
          </w:tcPr>
          <w:p>
            <w:pPr>
              <w:spacing w:after="0"/>
              <w:rPr>
                <w:sz w:val="20"/>
                <w:szCs w:val="20"/>
                <w:color w:val="auto"/>
              </w:rPr>
            </w:pPr>
            <w:r>
              <w:rPr>
                <w:rFonts w:ascii="Arial" w:cs="Arial" w:eastAsia="Arial" w:hAnsi="Arial"/>
                <w:sz w:val="22"/>
                <w:szCs w:val="22"/>
                <w:color w:val="auto"/>
              </w:rPr>
              <w:t>Assets and Liabilities:</w:t>
            </w:r>
          </w:p>
        </w:tc>
        <w:tc>
          <w:tcPr>
            <w:tcW w:w="3220" w:type="dxa"/>
            <w:vAlign w:val="bottom"/>
            <w:vMerge w:val="restart"/>
          </w:tcPr>
          <w:p>
            <w:pPr>
              <w:jc w:val="right"/>
              <w:ind w:right="332"/>
              <w:spacing w:after="0"/>
              <w:rPr>
                <w:sz w:val="20"/>
                <w:szCs w:val="20"/>
                <w:color w:val="auto"/>
              </w:rPr>
            </w:pPr>
            <w:r>
              <w:rPr>
                <w:rFonts w:ascii="Arial" w:cs="Arial" w:eastAsia="Arial" w:hAnsi="Arial"/>
                <w:sz w:val="22"/>
                <w:szCs w:val="22"/>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9"/>
        </w:trPr>
        <w:tc>
          <w:tcPr>
            <w:tcW w:w="6300" w:type="dxa"/>
            <w:vAlign w:val="bottom"/>
          </w:tcPr>
          <w:p>
            <w:pPr>
              <w:ind w:left="12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3220" w:type="dxa"/>
            <w:vAlign w:val="bottom"/>
            <w:vMerge w:val="continue"/>
          </w:tcPr>
          <w:p>
            <w:pPr>
              <w:spacing w:after="0"/>
              <w:rPr>
                <w:sz w:val="24"/>
                <w:szCs w:val="24"/>
                <w:color w:val="auto"/>
              </w:rPr>
            </w:pP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1,179.0</w:t>
            </w:r>
          </w:p>
        </w:tc>
        <w:tc>
          <w:tcPr>
            <w:tcW w:w="0" w:type="dxa"/>
            <w:vAlign w:val="bottom"/>
          </w:tcPr>
          <w:p>
            <w:pPr>
              <w:spacing w:after="0"/>
              <w:rPr>
                <w:sz w:val="1"/>
                <w:szCs w:val="1"/>
                <w:color w:val="auto"/>
              </w:rPr>
            </w:pPr>
          </w:p>
        </w:tc>
      </w:tr>
      <w:tr>
        <w:trPr>
          <w:trHeight w:val="270"/>
        </w:trPr>
        <w:tc>
          <w:tcPr>
            <w:tcW w:w="6300" w:type="dxa"/>
            <w:vAlign w:val="bottom"/>
          </w:tcPr>
          <w:p>
            <w:pPr>
              <w:ind w:left="120"/>
              <w:spacing w:after="0"/>
              <w:rPr>
                <w:sz w:val="20"/>
                <w:szCs w:val="20"/>
                <w:color w:val="auto"/>
              </w:rPr>
            </w:pPr>
            <w:r>
              <w:rPr>
                <w:rFonts w:ascii="Arial" w:cs="Arial" w:eastAsia="Arial" w:hAnsi="Arial"/>
                <w:sz w:val="22"/>
                <w:szCs w:val="22"/>
                <w:color w:val="auto"/>
              </w:rPr>
              <w:t>PSSL investment portfolio</w:t>
            </w:r>
          </w:p>
        </w:tc>
        <w:tc>
          <w:tcPr>
            <w:tcW w:w="3220" w:type="dxa"/>
            <w:vAlign w:val="bottom"/>
          </w:tcPr>
          <w:p>
            <w:pPr>
              <w:jc w:val="right"/>
              <w:ind w:right="33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482.8</w:t>
            </w:r>
          </w:p>
        </w:tc>
        <w:tc>
          <w:tcPr>
            <w:tcW w:w="0" w:type="dxa"/>
            <w:vAlign w:val="bottom"/>
          </w:tcPr>
          <w:p>
            <w:pPr>
              <w:spacing w:after="0"/>
              <w:rPr>
                <w:sz w:val="1"/>
                <w:szCs w:val="1"/>
                <w:color w:val="auto"/>
              </w:rPr>
            </w:pPr>
          </w:p>
        </w:tc>
      </w:tr>
      <w:tr>
        <w:trPr>
          <w:trHeight w:val="270"/>
        </w:trPr>
        <w:tc>
          <w:tcPr>
            <w:tcW w:w="6300" w:type="dxa"/>
            <w:vAlign w:val="bottom"/>
          </w:tcPr>
          <w:p>
            <w:pPr>
              <w:ind w:left="120"/>
              <w:spacing w:after="0"/>
              <w:rPr>
                <w:sz w:val="20"/>
                <w:szCs w:val="20"/>
                <w:color w:val="auto"/>
              </w:rPr>
            </w:pPr>
            <w:r>
              <w:rPr>
                <w:rFonts w:ascii="Arial" w:cs="Arial" w:eastAsia="Arial" w:hAnsi="Arial"/>
                <w:sz w:val="22"/>
                <w:szCs w:val="22"/>
                <w:color w:val="auto"/>
              </w:rPr>
              <w:t>Net assets</w:t>
            </w:r>
          </w:p>
        </w:tc>
        <w:tc>
          <w:tcPr>
            <w:tcW w:w="3220" w:type="dxa"/>
            <w:vAlign w:val="bottom"/>
          </w:tcPr>
          <w:p>
            <w:pPr>
              <w:jc w:val="right"/>
              <w:ind w:right="33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469.8</w:t>
            </w:r>
          </w:p>
        </w:tc>
        <w:tc>
          <w:tcPr>
            <w:tcW w:w="0" w:type="dxa"/>
            <w:vAlign w:val="bottom"/>
          </w:tcPr>
          <w:p>
            <w:pPr>
              <w:spacing w:after="0"/>
              <w:rPr>
                <w:sz w:val="1"/>
                <w:szCs w:val="1"/>
                <w:color w:val="auto"/>
              </w:rPr>
            </w:pPr>
          </w:p>
        </w:tc>
      </w:tr>
      <w:tr>
        <w:trPr>
          <w:trHeight w:val="270"/>
        </w:trPr>
        <w:tc>
          <w:tcPr>
            <w:tcW w:w="6300" w:type="dxa"/>
            <w:vAlign w:val="bottom"/>
          </w:tcPr>
          <w:p>
            <w:pPr>
              <w:ind w:left="120"/>
              <w:spacing w:after="0"/>
              <w:rPr>
                <w:sz w:val="20"/>
                <w:szCs w:val="20"/>
                <w:color w:val="auto"/>
              </w:rPr>
            </w:pPr>
            <w:r>
              <w:rPr>
                <w:rFonts w:ascii="Arial" w:cs="Arial" w:eastAsia="Arial" w:hAnsi="Arial"/>
                <w:sz w:val="22"/>
                <w:szCs w:val="22"/>
                <w:color w:val="auto"/>
              </w:rPr>
              <w:t>GAAP net asset value per share</w:t>
            </w:r>
          </w:p>
        </w:tc>
        <w:tc>
          <w:tcPr>
            <w:tcW w:w="3220" w:type="dxa"/>
            <w:vAlign w:val="bottom"/>
          </w:tcPr>
          <w:p>
            <w:pPr>
              <w:jc w:val="right"/>
              <w:ind w:right="33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12.12</w:t>
            </w:r>
          </w:p>
        </w:tc>
        <w:tc>
          <w:tcPr>
            <w:tcW w:w="0" w:type="dxa"/>
            <w:vAlign w:val="bottom"/>
          </w:tcPr>
          <w:p>
            <w:pPr>
              <w:spacing w:after="0"/>
              <w:rPr>
                <w:sz w:val="1"/>
                <w:szCs w:val="1"/>
                <w:color w:val="auto"/>
              </w:rPr>
            </w:pPr>
          </w:p>
        </w:tc>
      </w:tr>
      <w:tr>
        <w:trPr>
          <w:trHeight w:val="477"/>
        </w:trPr>
        <w:tc>
          <w:tcPr>
            <w:tcW w:w="6300" w:type="dxa"/>
            <w:vAlign w:val="bottom"/>
          </w:tcPr>
          <w:p>
            <w:pPr>
              <w:ind w:left="120"/>
              <w:spacing w:after="0"/>
              <w:rPr>
                <w:sz w:val="20"/>
                <w:szCs w:val="20"/>
                <w:color w:val="auto"/>
              </w:rPr>
            </w:pPr>
            <w:r>
              <w:rPr>
                <w:rFonts w:ascii="Arial" w:cs="Arial" w:eastAsia="Arial" w:hAnsi="Arial"/>
                <w:sz w:val="22"/>
                <w:szCs w:val="22"/>
                <w:color w:val="auto"/>
              </w:rPr>
              <w:t xml:space="preserve">Adjusted net asset value per share </w:t>
            </w:r>
            <w:r>
              <w:rPr>
                <w:rFonts w:ascii="Arial" w:cs="Arial" w:eastAsia="Arial" w:hAnsi="Arial"/>
                <w:sz w:val="35"/>
                <w:szCs w:val="35"/>
                <w:color w:val="auto"/>
                <w:vertAlign w:val="superscript"/>
              </w:rPr>
              <w:t>(2)</w:t>
            </w:r>
          </w:p>
        </w:tc>
        <w:tc>
          <w:tcPr>
            <w:tcW w:w="3220" w:type="dxa"/>
            <w:vAlign w:val="bottom"/>
          </w:tcPr>
          <w:p>
            <w:pPr>
              <w:jc w:val="right"/>
              <w:ind w:right="33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11.10</w:t>
            </w:r>
          </w:p>
        </w:tc>
        <w:tc>
          <w:tcPr>
            <w:tcW w:w="0" w:type="dxa"/>
            <w:vAlign w:val="bottom"/>
          </w:tcPr>
          <w:p>
            <w:pPr>
              <w:spacing w:after="0"/>
              <w:rPr>
                <w:sz w:val="1"/>
                <w:szCs w:val="1"/>
                <w:color w:val="auto"/>
              </w:rPr>
            </w:pPr>
          </w:p>
        </w:tc>
      </w:tr>
      <w:tr>
        <w:trPr>
          <w:trHeight w:val="385"/>
        </w:trPr>
        <w:tc>
          <w:tcPr>
            <w:tcW w:w="6300" w:type="dxa"/>
            <w:vAlign w:val="bottom"/>
          </w:tcPr>
          <w:p>
            <w:pPr>
              <w:ind w:left="120"/>
              <w:spacing w:after="0"/>
              <w:rPr>
                <w:sz w:val="20"/>
                <w:szCs w:val="20"/>
                <w:color w:val="auto"/>
              </w:rPr>
            </w:pPr>
            <w:r>
              <w:rPr>
                <w:rFonts w:ascii="Arial" w:cs="Arial" w:eastAsia="Arial" w:hAnsi="Arial"/>
                <w:sz w:val="22"/>
                <w:szCs w:val="22"/>
                <w:color w:val="auto"/>
              </w:rPr>
              <w:t>Credit Facility</w:t>
            </w:r>
          </w:p>
        </w:tc>
        <w:tc>
          <w:tcPr>
            <w:tcW w:w="3220" w:type="dxa"/>
            <w:vAlign w:val="bottom"/>
          </w:tcPr>
          <w:p>
            <w:pPr>
              <w:jc w:val="right"/>
              <w:ind w:right="33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400.6</w:t>
            </w:r>
          </w:p>
        </w:tc>
        <w:tc>
          <w:tcPr>
            <w:tcW w:w="0" w:type="dxa"/>
            <w:vAlign w:val="bottom"/>
          </w:tcPr>
          <w:p>
            <w:pPr>
              <w:spacing w:after="0"/>
              <w:rPr>
                <w:sz w:val="1"/>
                <w:szCs w:val="1"/>
                <w:color w:val="auto"/>
              </w:rPr>
            </w:pPr>
          </w:p>
        </w:tc>
      </w:tr>
      <w:tr>
        <w:trPr>
          <w:trHeight w:val="270"/>
        </w:trPr>
        <w:tc>
          <w:tcPr>
            <w:tcW w:w="6300" w:type="dxa"/>
            <w:vAlign w:val="bottom"/>
          </w:tcPr>
          <w:p>
            <w:pPr>
              <w:ind w:left="120"/>
              <w:spacing w:after="0"/>
              <w:rPr>
                <w:sz w:val="20"/>
                <w:szCs w:val="20"/>
                <w:color w:val="auto"/>
              </w:rPr>
            </w:pPr>
            <w:r>
              <w:rPr>
                <w:rFonts w:ascii="Arial" w:cs="Arial" w:eastAsia="Arial" w:hAnsi="Arial"/>
                <w:sz w:val="22"/>
                <w:szCs w:val="22"/>
                <w:color w:val="auto"/>
              </w:rPr>
              <w:t>2023 Notes</w:t>
            </w:r>
          </w:p>
        </w:tc>
        <w:tc>
          <w:tcPr>
            <w:tcW w:w="3220" w:type="dxa"/>
            <w:vAlign w:val="bottom"/>
          </w:tcPr>
          <w:p>
            <w:pPr>
              <w:jc w:val="right"/>
              <w:ind w:right="33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111.7</w:t>
            </w:r>
          </w:p>
        </w:tc>
        <w:tc>
          <w:tcPr>
            <w:tcW w:w="0" w:type="dxa"/>
            <w:vAlign w:val="bottom"/>
          </w:tcPr>
          <w:p>
            <w:pPr>
              <w:spacing w:after="0"/>
              <w:rPr>
                <w:sz w:val="1"/>
                <w:szCs w:val="1"/>
                <w:color w:val="auto"/>
              </w:rPr>
            </w:pPr>
          </w:p>
        </w:tc>
      </w:tr>
      <w:tr>
        <w:trPr>
          <w:trHeight w:val="274"/>
        </w:trPr>
        <w:tc>
          <w:tcPr>
            <w:tcW w:w="6300" w:type="dxa"/>
            <w:vAlign w:val="bottom"/>
          </w:tcPr>
          <w:p>
            <w:pPr>
              <w:ind w:left="120"/>
              <w:spacing w:after="0"/>
              <w:rPr>
                <w:sz w:val="20"/>
                <w:szCs w:val="20"/>
                <w:color w:val="auto"/>
              </w:rPr>
            </w:pPr>
            <w:r>
              <w:rPr>
                <w:rFonts w:ascii="Arial" w:cs="Arial" w:eastAsia="Arial" w:hAnsi="Arial"/>
                <w:sz w:val="22"/>
                <w:szCs w:val="22"/>
                <w:color w:val="auto"/>
              </w:rPr>
              <w:t>2031 Asset-Backed Debt</w:t>
            </w:r>
          </w:p>
        </w:tc>
        <w:tc>
          <w:tcPr>
            <w:tcW w:w="3220" w:type="dxa"/>
            <w:vAlign w:val="bottom"/>
          </w:tcPr>
          <w:p>
            <w:pPr>
              <w:jc w:val="right"/>
              <w:ind w:right="33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224.6</w:t>
            </w:r>
          </w:p>
        </w:tc>
        <w:tc>
          <w:tcPr>
            <w:tcW w:w="0" w:type="dxa"/>
            <w:vAlign w:val="bottom"/>
          </w:tcPr>
          <w:p>
            <w:pPr>
              <w:spacing w:after="0"/>
              <w:rPr>
                <w:sz w:val="1"/>
                <w:szCs w:val="1"/>
                <w:color w:val="auto"/>
              </w:rPr>
            </w:pPr>
          </w:p>
        </w:tc>
      </w:tr>
      <w:tr>
        <w:trPr>
          <w:trHeight w:val="319"/>
        </w:trPr>
        <w:tc>
          <w:tcPr>
            <w:tcW w:w="6300" w:type="dxa"/>
            <w:vAlign w:val="bottom"/>
          </w:tcPr>
          <w:p>
            <w:pPr>
              <w:ind w:left="120"/>
              <w:spacing w:after="0" w:line="319" w:lineRule="exact"/>
              <w:rPr>
                <w:sz w:val="20"/>
                <w:szCs w:val="20"/>
                <w:color w:val="auto"/>
              </w:rPr>
            </w:pPr>
            <w:r>
              <w:rPr>
                <w:rFonts w:ascii="Arial" w:cs="Arial" w:eastAsia="Arial" w:hAnsi="Arial"/>
                <w:sz w:val="22"/>
                <w:szCs w:val="22"/>
                <w:color w:val="auto"/>
              </w:rPr>
              <w:t xml:space="preserve">GAAP Net Debt to Equity </w:t>
            </w:r>
            <w:r>
              <w:rPr>
                <w:rFonts w:ascii="Arial" w:cs="Arial" w:eastAsia="Arial" w:hAnsi="Arial"/>
                <w:sz w:val="35"/>
                <w:szCs w:val="35"/>
                <w:color w:val="auto"/>
                <w:vertAlign w:val="superscript"/>
              </w:rPr>
              <w:t>(3)</w:t>
            </w:r>
          </w:p>
        </w:tc>
        <w:tc>
          <w:tcPr>
            <w:tcW w:w="3220" w:type="dxa"/>
            <w:vAlign w:val="bottom"/>
          </w:tcPr>
          <w:p>
            <w:pPr>
              <w:spacing w:after="0"/>
              <w:rPr>
                <w:sz w:val="24"/>
                <w:szCs w:val="24"/>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1.50x</w:t>
            </w:r>
          </w:p>
        </w:tc>
        <w:tc>
          <w:tcPr>
            <w:tcW w:w="0" w:type="dxa"/>
            <w:vAlign w:val="bottom"/>
          </w:tcPr>
          <w:p>
            <w:pPr>
              <w:spacing w:after="0"/>
              <w:rPr>
                <w:sz w:val="1"/>
                <w:szCs w:val="1"/>
                <w:color w:val="auto"/>
              </w:rPr>
            </w:pPr>
          </w:p>
        </w:tc>
      </w:tr>
      <w:tr>
        <w:trPr>
          <w:trHeight w:val="274"/>
        </w:trPr>
        <w:tc>
          <w:tcPr>
            <w:tcW w:w="6300" w:type="dxa"/>
            <w:vAlign w:val="bottom"/>
          </w:tcPr>
          <w:p>
            <w:pPr>
              <w:ind w:left="120"/>
              <w:spacing w:after="0"/>
              <w:rPr>
                <w:sz w:val="20"/>
                <w:szCs w:val="20"/>
                <w:color w:val="auto"/>
              </w:rPr>
            </w:pPr>
            <w:r>
              <w:rPr>
                <w:rFonts w:ascii="Arial" w:cs="Arial" w:eastAsia="Arial" w:hAnsi="Arial"/>
                <w:sz w:val="22"/>
                <w:szCs w:val="22"/>
                <w:color w:val="auto"/>
              </w:rPr>
              <w:t>Regulatory Debt to Equity</w:t>
            </w:r>
          </w:p>
        </w:tc>
        <w:tc>
          <w:tcPr>
            <w:tcW w:w="322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1.81x</w:t>
            </w:r>
          </w:p>
        </w:tc>
        <w:tc>
          <w:tcPr>
            <w:tcW w:w="0" w:type="dxa"/>
            <w:vAlign w:val="bottom"/>
          </w:tcPr>
          <w:p>
            <w:pPr>
              <w:spacing w:after="0"/>
              <w:rPr>
                <w:sz w:val="1"/>
                <w:szCs w:val="1"/>
                <w:color w:val="auto"/>
              </w:rPr>
            </w:pPr>
          </w:p>
        </w:tc>
      </w:tr>
      <w:tr>
        <w:trPr>
          <w:trHeight w:val="473"/>
        </w:trPr>
        <w:tc>
          <w:tcPr>
            <w:tcW w:w="6300" w:type="dxa"/>
            <w:vAlign w:val="bottom"/>
          </w:tcPr>
          <w:p>
            <w:pPr>
              <w:ind w:left="120"/>
              <w:spacing w:after="0"/>
              <w:rPr>
                <w:sz w:val="20"/>
                <w:szCs w:val="20"/>
                <w:color w:val="auto"/>
              </w:rPr>
            </w:pPr>
            <w:r>
              <w:rPr>
                <w:rFonts w:ascii="Arial" w:cs="Arial" w:eastAsia="Arial" w:hAnsi="Arial"/>
                <w:sz w:val="22"/>
                <w:szCs w:val="22"/>
                <w:color w:val="auto"/>
              </w:rPr>
              <w:t xml:space="preserve">Regulatory Net Debt to Equity </w:t>
            </w:r>
            <w:r>
              <w:rPr>
                <w:rFonts w:ascii="Arial" w:cs="Arial" w:eastAsia="Arial" w:hAnsi="Arial"/>
                <w:sz w:val="35"/>
                <w:szCs w:val="35"/>
                <w:color w:val="auto"/>
                <w:vertAlign w:val="superscript"/>
              </w:rPr>
              <w:t>(4)</w:t>
            </w:r>
          </w:p>
        </w:tc>
        <w:tc>
          <w:tcPr>
            <w:tcW w:w="3220" w:type="dxa"/>
            <w:vAlign w:val="bottom"/>
          </w:tcPr>
          <w:p>
            <w:pPr>
              <w:spacing w:after="0"/>
              <w:rPr>
                <w:sz w:val="24"/>
                <w:szCs w:val="24"/>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1.74x</w:t>
            </w:r>
          </w:p>
        </w:tc>
        <w:tc>
          <w:tcPr>
            <w:tcW w:w="0" w:type="dxa"/>
            <w:vAlign w:val="bottom"/>
          </w:tcPr>
          <w:p>
            <w:pPr>
              <w:spacing w:after="0"/>
              <w:rPr>
                <w:sz w:val="1"/>
                <w:szCs w:val="1"/>
                <w:color w:val="auto"/>
              </w:rPr>
            </w:pPr>
          </w:p>
        </w:tc>
      </w:tr>
      <w:tr>
        <w:trPr>
          <w:trHeight w:val="390"/>
        </w:trPr>
        <w:tc>
          <w:tcPr>
            <w:tcW w:w="6300" w:type="dxa"/>
            <w:vAlign w:val="bottom"/>
          </w:tcPr>
          <w:p>
            <w:pPr>
              <w:ind w:left="120"/>
              <w:spacing w:after="0"/>
              <w:rPr>
                <w:sz w:val="20"/>
                <w:szCs w:val="20"/>
                <w:color w:val="auto"/>
              </w:rPr>
            </w:pPr>
            <w:r>
              <w:rPr>
                <w:rFonts w:ascii="Arial" w:cs="Arial" w:eastAsia="Arial" w:hAnsi="Arial"/>
                <w:sz w:val="22"/>
                <w:szCs w:val="22"/>
                <w:color w:val="auto"/>
              </w:rPr>
              <w:t>Yield on debt investments at quarter-end</w:t>
            </w:r>
          </w:p>
        </w:tc>
        <w:tc>
          <w:tcPr>
            <w:tcW w:w="3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140" w:type="dxa"/>
        <w:tblCellMar>
          <w:top w:w="0" w:type="dxa"/>
          <w:left w:w="0" w:type="dxa"/>
          <w:bottom w:w="0" w:type="dxa"/>
          <w:right w:w="0" w:type="dxa"/>
        </w:tblCellMar>
      </w:tblPr>
      <w:tr>
        <w:trPr>
          <w:trHeight w:val="270"/>
        </w:trPr>
        <w:tc>
          <w:tcPr>
            <w:tcW w:w="6660" w:type="dxa"/>
            <w:vAlign w:val="bottom"/>
          </w:tcPr>
          <w:p>
            <w:pPr>
              <w:spacing w:after="0"/>
              <w:rPr>
                <w:sz w:val="20"/>
                <w:szCs w:val="20"/>
                <w:color w:val="auto"/>
              </w:rPr>
            </w:pPr>
            <w:r>
              <w:rPr>
                <w:rFonts w:ascii="Arial" w:cs="Arial" w:eastAsia="Arial" w:hAnsi="Arial"/>
                <w:sz w:val="22"/>
                <w:szCs w:val="22"/>
                <w:color w:val="auto"/>
              </w:rPr>
              <w:t>Operating Results:</w:t>
            </w:r>
          </w:p>
        </w:tc>
        <w:tc>
          <w:tcPr>
            <w:tcW w:w="29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666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2900" w:type="dxa"/>
            <w:vAlign w:val="bottom"/>
          </w:tcPr>
          <w:p>
            <w:pPr>
              <w:jc w:val="right"/>
              <w:ind w:right="37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270"/>
        </w:trPr>
        <w:tc>
          <w:tcPr>
            <w:tcW w:w="6660" w:type="dxa"/>
            <w:vAlign w:val="bottom"/>
          </w:tcPr>
          <w:p>
            <w:pPr>
              <w:ind w:left="120"/>
              <w:spacing w:after="0"/>
              <w:rPr>
                <w:sz w:val="20"/>
                <w:szCs w:val="20"/>
                <w:color w:val="auto"/>
              </w:rPr>
            </w:pPr>
            <w:r>
              <w:rPr>
                <w:rFonts w:ascii="Arial" w:cs="Arial" w:eastAsia="Arial" w:hAnsi="Arial"/>
                <w:sz w:val="22"/>
                <w:szCs w:val="22"/>
                <w:color w:val="auto"/>
              </w:rPr>
              <w:t>Net investment income per share</w:t>
            </w:r>
          </w:p>
        </w:tc>
        <w:tc>
          <w:tcPr>
            <w:tcW w:w="2900" w:type="dxa"/>
            <w:vAlign w:val="bottom"/>
          </w:tcPr>
          <w:p>
            <w:pPr>
              <w:jc w:val="right"/>
              <w:ind w:right="37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0.30</w:t>
            </w:r>
          </w:p>
        </w:tc>
      </w:tr>
      <w:tr>
        <w:trPr>
          <w:trHeight w:val="274"/>
        </w:trPr>
        <w:tc>
          <w:tcPr>
            <w:tcW w:w="666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2900" w:type="dxa"/>
            <w:vAlign w:val="bottom"/>
          </w:tcPr>
          <w:p>
            <w:pPr>
              <w:jc w:val="right"/>
              <w:ind w:right="37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0.285</w:t>
            </w:r>
          </w:p>
        </w:tc>
      </w:tr>
      <w:tr>
        <w:trPr>
          <w:trHeight w:val="535"/>
        </w:trPr>
        <w:tc>
          <w:tcPr>
            <w:tcW w:w="6660" w:type="dxa"/>
            <w:vAlign w:val="bottom"/>
          </w:tcPr>
          <w:p>
            <w:pPr>
              <w:spacing w:after="0"/>
              <w:rPr>
                <w:sz w:val="20"/>
                <w:szCs w:val="20"/>
                <w:color w:val="auto"/>
              </w:rPr>
            </w:pPr>
            <w:r>
              <w:rPr>
                <w:rFonts w:ascii="Arial" w:cs="Arial" w:eastAsia="Arial" w:hAnsi="Arial"/>
                <w:sz w:val="22"/>
                <w:szCs w:val="22"/>
                <w:color w:val="auto"/>
              </w:rPr>
              <w:t>Portfolio Activity:</w:t>
            </w:r>
          </w:p>
        </w:tc>
        <w:tc>
          <w:tcPr>
            <w:tcW w:w="2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66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2900" w:type="dxa"/>
            <w:vAlign w:val="bottom"/>
          </w:tcPr>
          <w:p>
            <w:pPr>
              <w:jc w:val="right"/>
              <w:ind w:right="37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167.5</w:t>
            </w:r>
          </w:p>
        </w:tc>
      </w:tr>
      <w:tr>
        <w:trPr>
          <w:trHeight w:val="274"/>
        </w:trPr>
        <w:tc>
          <w:tcPr>
            <w:tcW w:w="666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2900" w:type="dxa"/>
            <w:vAlign w:val="bottom"/>
          </w:tcPr>
          <w:p>
            <w:pPr>
              <w:jc w:val="right"/>
              <w:ind w:right="37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99.4</w:t>
            </w:r>
          </w:p>
        </w:tc>
      </w:tr>
      <w:tr>
        <w:trPr>
          <w:trHeight w:val="535"/>
        </w:trPr>
        <w:tc>
          <w:tcPr>
            <w:tcW w:w="6660" w:type="dxa"/>
            <w:vAlign w:val="bottom"/>
          </w:tcPr>
          <w:p>
            <w:pPr>
              <w:ind w:left="120"/>
              <w:spacing w:after="0"/>
              <w:rPr>
                <w:sz w:val="20"/>
                <w:szCs w:val="20"/>
                <w:color w:val="auto"/>
              </w:rPr>
            </w:pPr>
            <w:r>
              <w:rPr>
                <w:rFonts w:ascii="Arial" w:cs="Arial" w:eastAsia="Arial" w:hAnsi="Arial"/>
                <w:sz w:val="22"/>
                <w:szCs w:val="22"/>
                <w:color w:val="auto"/>
              </w:rPr>
              <w:t>Number of new portfolio companies invested</w:t>
            </w:r>
          </w:p>
        </w:tc>
        <w:tc>
          <w:tcPr>
            <w:tcW w:w="29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70"/>
        </w:trPr>
        <w:tc>
          <w:tcPr>
            <w:tcW w:w="6660" w:type="dxa"/>
            <w:vAlign w:val="bottom"/>
          </w:tcPr>
          <w:p>
            <w:pPr>
              <w:ind w:left="120"/>
              <w:spacing w:after="0"/>
              <w:rPr>
                <w:sz w:val="20"/>
                <w:szCs w:val="20"/>
                <w:color w:val="auto"/>
              </w:rPr>
            </w:pPr>
            <w:r>
              <w:rPr>
                <w:rFonts w:ascii="Arial" w:cs="Arial" w:eastAsia="Arial" w:hAnsi="Arial"/>
                <w:sz w:val="22"/>
                <w:szCs w:val="22"/>
                <w:color w:val="auto"/>
              </w:rPr>
              <w:t>Number of existing portfolio companies invested</w:t>
            </w:r>
          </w:p>
        </w:tc>
        <w:tc>
          <w:tcPr>
            <w:tcW w:w="29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74"/>
        </w:trPr>
        <w:tc>
          <w:tcPr>
            <w:tcW w:w="6660" w:type="dxa"/>
            <w:vAlign w:val="bottom"/>
          </w:tcPr>
          <w:p>
            <w:pPr>
              <w:ind w:left="120"/>
              <w:spacing w:after="0"/>
              <w:rPr>
                <w:sz w:val="20"/>
                <w:szCs w:val="20"/>
                <w:color w:val="auto"/>
              </w:rPr>
            </w:pPr>
            <w:r>
              <w:rPr>
                <w:rFonts w:ascii="Arial" w:cs="Arial" w:eastAsia="Arial" w:hAnsi="Arial"/>
                <w:sz w:val="22"/>
                <w:szCs w:val="22"/>
                <w:color w:val="auto"/>
              </w:rPr>
              <w:t>Number of ending portfolio companies</w:t>
            </w:r>
          </w:p>
        </w:tc>
        <w:tc>
          <w:tcPr>
            <w:tcW w:w="29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108</w:t>
            </w:r>
          </w:p>
        </w:tc>
      </w:tr>
    </w:tbl>
    <w:p>
      <w:pPr>
        <w:spacing w:after="0" w:line="198" w:lineRule="exact"/>
        <w:rPr>
          <w:sz w:val="20"/>
          <w:szCs w:val="20"/>
          <w:color w:val="auto"/>
        </w:rPr>
      </w:pPr>
    </w:p>
    <w:p>
      <w:pPr>
        <w:ind w:left="540" w:hanging="209"/>
        <w:spacing w:after="0" w:line="238" w:lineRule="auto"/>
        <w:tabs>
          <w:tab w:leader="none" w:pos="5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Includes investments in PennantPark Senior Secured Loan Fund I LLC, or PSSL, an unconsolidated joint venture, totaling $154.8 million, at fair value.</w:t>
      </w:r>
    </w:p>
    <w:p>
      <w:pPr>
        <w:spacing w:after="0" w:line="1" w:lineRule="exact"/>
        <w:rPr>
          <w:rFonts w:ascii="Arial" w:cs="Arial" w:eastAsia="Arial" w:hAnsi="Arial"/>
          <w:sz w:val="22"/>
          <w:szCs w:val="22"/>
          <w:color w:val="auto"/>
        </w:rPr>
      </w:pPr>
    </w:p>
    <w:p>
      <w:pPr>
        <w:jc w:val="both"/>
        <w:ind w:left="540" w:hanging="209"/>
        <w:spacing w:after="0" w:line="253" w:lineRule="auto"/>
        <w:tabs>
          <w:tab w:leader="none" w:pos="54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This is a non-GAAP financial measure. The Company believes that this number provides useful information to investors and management because it reflects the Company’s financial performance excluding the impact of the $39.4 million unrealized loss on the Credit Facility and the 2023 Notes. The presentation of this additional information is not meant to be considered in isolation or as a substitute for financial results prepared in accordance with GAAP.</w:t>
      </w:r>
    </w:p>
    <w:p>
      <w:pPr>
        <w:spacing w:after="0" w:line="1" w:lineRule="exact"/>
        <w:rPr>
          <w:rFonts w:ascii="Arial" w:cs="Arial" w:eastAsia="Arial" w:hAnsi="Arial"/>
          <w:sz w:val="20"/>
          <w:szCs w:val="20"/>
          <w:color w:val="auto"/>
        </w:rPr>
      </w:pPr>
    </w:p>
    <w:p>
      <w:pPr>
        <w:jc w:val="both"/>
        <w:ind w:left="540" w:hanging="209"/>
        <w:spacing w:after="0" w:line="230" w:lineRule="auto"/>
        <w:tabs>
          <w:tab w:leader="none" w:pos="5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net of $30.0 million of cash and equivalents. The presentation of this additional information is not meant to be considered in isolation or as a substitute for financial results prepared in accordance with GAAP.</w:t>
      </w:r>
    </w:p>
    <w:p>
      <w:pPr>
        <w:spacing w:after="0" w:line="1" w:lineRule="exact"/>
        <w:rPr>
          <w:rFonts w:ascii="Arial" w:cs="Arial" w:eastAsia="Arial" w:hAnsi="Arial"/>
          <w:sz w:val="22"/>
          <w:szCs w:val="22"/>
          <w:color w:val="auto"/>
        </w:rPr>
      </w:pPr>
    </w:p>
    <w:p>
      <w:pPr>
        <w:jc w:val="both"/>
        <w:ind w:left="540" w:hanging="209"/>
        <w:spacing w:after="0" w:line="232" w:lineRule="auto"/>
        <w:tabs>
          <w:tab w:leader="none" w:pos="5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excluding the impact of the $39.4 million unrealized loss on the Credit Facility and the 2023 Notes and net of $30.0 million of cash and equivalents. The presentation of this additional information is not meant to be considered in isolation or as a substitute for financial results prepared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MAY 12, 2020</w:t>
      </w:r>
    </w:p>
    <w:p>
      <w:pPr>
        <w:sectPr>
          <w:pgSz w:w="11900" w:h="16838" w:orient="portrait"/>
          <w:cols w:equalWidth="0" w:num="1">
            <w:col w:w="11240"/>
          </w:cols>
          <w:pgMar w:left="320" w:top="112" w:right="339" w:bottom="11" w:gutter="0" w:footer="0" w:header="0"/>
        </w:sectPr>
      </w:pPr>
    </w:p>
    <w:bookmarkStart w:id="4" w:name="page5"/>
    <w:bookmarkEnd w:id="4"/>
    <w:p>
      <w:pPr>
        <w:jc w:val="both"/>
        <w:spacing w:after="0" w:line="262" w:lineRule="auto"/>
        <w:rPr>
          <w:sz w:val="20"/>
          <w:szCs w:val="20"/>
          <w:color w:val="auto"/>
        </w:rPr>
      </w:pPr>
      <w:r>
        <w:rPr>
          <w:rFonts w:ascii="Arial" w:cs="Arial" w:eastAsia="Arial" w:hAnsi="Arial"/>
          <w:sz w:val="20"/>
          <w:szCs w:val="20"/>
          <w:color w:val="auto"/>
        </w:rPr>
        <w:t>PennantPark Floating Rate Capital Ltd. (“we,” “our,” “us” or the “Company”) will host a conference call at 10:00 a.m. (Eastern Time) on Tuesday, May 12, 2020 to discuss its financial results. All interested parties are welcome to participate. You can access the conference call by dialing toll-free (800) 289-0438 approximately 5-10 minutes prior to the call. International callers should dial (929) 477-0402. All callers should reference conference ID #1717710 or PennantPark Floating Rate Capital Ltd. An archived replay of the call will be available through May 26, 2020 by calling toll-free (888) 203-1112. International callers please dial (719) 457-0820. For all phone replays, please reference conference ID #1717710.</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“We are pleased that PennantPark continues to operate smoothly and effectively and remains committed to working diligently on behalf of our investors,” said Art Penn, Chairman and CEO. “We believe that our rigorous underwriting process and disciplined approach has successfully positioned us to manage through the challenges ahead.”</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As of March 31, 2020, our portfolio totaled $1,179.0 million and consisted of $1,072.0 million of first lien secured debt (including $119.7 million in PSSL), $32.0 million of second lien secured debt and $74.9 million of preferred and common equity (including $35.1 million in PSSL). Our debt portfolio consisted of 99% variable-rate investments. As of March 31, 2020, we had two portfolio companies on non-accrual, representing 0.6% and zero of our overall portfolio on a cost and fair value basis, respectively. Overall, the portfolio had net unrealized depreciation of $71.7 million. Our overall portfolio consisted of 108 companies with an average investment size of $10.9 million, had a weighted average yield on debt investments of 7.8%, and was invested 91% in first lien secured debt (including 10% in PSSL), 3% in second lien secured debt and 6% in preferred and common equity (including 3% in PSSL). As of March 31, 2020, 98% of the investments held by PSSL were first lien secured debt. For more information on how the COVID-19 pandemic has affected our business and results of operations, see the “Effects of COVID-19” section below.</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 of September 30, 2019, our portfolio totaled $1,081.7 million and consisted of $944.9 million of first lien secured debt (including $122.2 million in PSSL), $34.4 million of second lien secured debt and $102.4 million of preferred and common equity (including $50.0 million in PSSL). Our debt portfolio consisted of 99% variable-rate investments. As of September 30, 2019, we had one portfolio company on non-accrual, representing 0.4% and zero of our overall portfolio on a cost and fair value basis, respectively. Overall, the portfolio had net unrealized depreciation of $3.5 million. Our overall portfolio consisted of 95 companies with an average investment size of $11.4 million, had a weighted average yield on debt investments of 8.7%, and was invested 87% in first lien secured debt (including 11% in PSSL), 3% in second lien secured debt and 10% in preferred and common equity (including 5% in PSSL). As of September 30, 2019, 97% of the investments held by PSSL were first lien secured debt.</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For the three months ended March 31, 2020, we invested $167.5 million in seven new and 37 existing portfolio companies with a weighted average yield on debt investments of 7.5%. Sales and repayments of investments for the three months ended March 31, 2020 totaled $99.4 million. For the six months ended March 31, 2020, we invested $407.0 million in 17 new and 68 existing portfolio companies with a weighted average yield on debt investments of 8.0%. Sales and repayments of investments for the six months ended March 31, 2020 totaled $243.1 million.</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For the three months ended March 31, 2019, we invested $136.1 million in five new and 22 existing portfolio companies with a weighted average yield on debt investments of 8.7%. Sales and repayments of investments for the three months ended March 31, 2019 totaled $143.2 million. For the six months ended March 31, 2019, we invested $316.8 million in 14 new and 46 existing portfolio companies with a weighted average yield on debt investments of 8.6%. Sales and repayments of investments for the six months ended March 31, 2019 totaled $333.5 million.</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As of March 31, 2020, PSSL’s portfolio totaled $482.8 million, consisted of 51 companies with an average investment size of $9.5 million and had a weighted average yield on debt investments of 7.0%. As of September 30, 2019, PSSL’s portfolio totaled $488.5 million, consisted of 45 companies with an average investment size of $10.9 million and had a weighted average yield on debt investments of 7.6%.</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 the three months ended March 31, 2020, PSSL invested $17.9 million (including $17.8 million purchased from the Company) in three new and one existing portfolio companies with a weighted average yield on debt investments of 7.4%. Sales and repayments of investments for the three months ended March 31, 2020 totaled $7.9 million. For the six months ended March 31, 2020, PSSL invested $87.1 million (including $86.7 million purchased from the Company) in 11 new and two existing portfolio companies with a weighted average yield on debt investments of 7.4%. Sales and repayments of investments for the six months ended March 31, 2020 totaled $74.3 million.</w:t>
      </w:r>
    </w:p>
    <w:p>
      <w:pPr>
        <w:spacing w:after="0" w:line="16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months ended March 31, 2019, PSSL invested $25.2 million (of which $19.7 million was purchased from the Company) in one new and three existing portfolio companies with a weighted average yield on debt investments of 8.0%. PSSL’s sales and repayments of investments for the three months ended March 31, 2019 totaled $17.8 million. For the six months ended March 31, 2019 PSSL invested $167.6 million in 10 new and 10 existing portfolio companies with a weighted average yield on debt investments of 8.1%. PSSL’s sales and repayments of investments for the six months ended March 31, 2019 totaled $88.5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ectPr>
          <w:pgSz w:w="11900" w:h="16838" w:orient="portrait"/>
          <w:cols w:equalWidth="0" w:num="1">
            <w:col w:w="11240"/>
          </w:cols>
          <w:pgMar w:left="320" w:top="118" w:right="339" w:bottom="0" w:gutter="0" w:footer="0" w:header="0"/>
        </w:sectPr>
      </w:pPr>
    </w:p>
    <w:bookmarkStart w:id="5" w:name="page6"/>
    <w:bookmarkEnd w:id="5"/>
    <w:p>
      <w:pPr>
        <w:ind w:right="2100"/>
        <w:spacing w:after="0" w:line="435" w:lineRule="auto"/>
        <w:rPr>
          <w:sz w:val="20"/>
          <w:szCs w:val="20"/>
          <w:color w:val="auto"/>
        </w:rPr>
      </w:pPr>
      <w:r>
        <w:rPr>
          <w:rFonts w:ascii="Arial" w:cs="Arial" w:eastAsia="Arial" w:hAnsi="Arial"/>
          <w:sz w:val="22"/>
          <w:szCs w:val="22"/>
          <w:color w:val="auto"/>
        </w:rPr>
        <w:t xml:space="preserve">Set forth below are the results of operations for the three and six months ended March 31, 2020 and 2019. </w:t>
      </w:r>
      <w:r>
        <w:rPr>
          <w:rFonts w:ascii="Arial" w:cs="Arial" w:eastAsia="Arial" w:hAnsi="Arial"/>
          <w:sz w:val="22"/>
          <w:szCs w:val="22"/>
          <w:b w:val="1"/>
          <w:bCs w:val="1"/>
          <w:i w:val="1"/>
          <w:iCs w:val="1"/>
          <w:color w:val="auto"/>
        </w:rPr>
        <w:t>Investment Income</w:t>
      </w:r>
    </w:p>
    <w:p>
      <w:pPr>
        <w:jc w:val="both"/>
        <w:spacing w:after="0" w:line="262" w:lineRule="auto"/>
        <w:rPr>
          <w:sz w:val="20"/>
          <w:szCs w:val="20"/>
          <w:color w:val="auto"/>
        </w:rPr>
      </w:pPr>
      <w:r>
        <w:rPr>
          <w:rFonts w:ascii="Arial" w:cs="Arial" w:eastAsia="Arial" w:hAnsi="Arial"/>
          <w:sz w:val="20"/>
          <w:szCs w:val="20"/>
          <w:color w:val="auto"/>
        </w:rPr>
        <w:t>Investment income for the three and six months ended March 31, 2020 was $26.3 million and $51.0 million, respectively, and was attributable to $24.1 million and $46.5 million from first lien secured debt and $2.2 million and $4.5 million from other investments, respectively. This compares to investment income for the three and six months ended March 31, 2019, which was $23.0 million and $46.2 million, respectively, and was attributable to $21.0 million and $42.1 million from first lien secured debt and $2.0 million and $4.1 million from other investments, respectively. The increase in investment income compared to the same periods in the prior year was primarily due to the growth of our portfolio.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Expenses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Expenses for the three and six months ended March 31, 2020 totaled $14.6 million and $28.1 million, respectively. Base management fee for the same periods totaled $2.9 million and $5.8 million, incentive fee totaled $2.9 million and $5.3 million, debt related interest and expenses totaled $7.6 million and $14.9 million and general and administrative expenses totaled $1.0 million and $1.9 million, respectively. This compares to expenses for the three and six months ended March 31, 2019 which totaled $11.2 million and $23.5 million, respectively. Base management fee for the same periods totaled $2.4 million and $4.9 million, incentive fee totaled $2.5 million and $1.3 million (including $(1.4) million on realized and unrealized gains accrued but not payable), debt related interest and expenses totaled $5.3 million (including less than $0.1 million in Credit Facility amendment costs) and $15.1 million (including $4.5 million in Credit Facility amendment costs), and general and administrative expenses totaled $1.0 million and $2.2 million, respectively. The increase in expenses for the three and six months ended March 31, 2020 compared to the same periods in the prior year was primarily due to the growth of our portfolio.</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Investment Income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Net investment income totaled $11.7 million and $22.9 million, or $0.30 and $0.59 per share, for the three and six months ended March 31, 2020, respectively. Net investment income totaled $11.8 million and $22.7 million, or $0.30 and $0.59 per share, for the three and six months ended March 31, 2019,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Realized Gains or Losses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Sales and repayments of investments for the three and six months ended March 31, 2020 totaled $99.4 million and $243.1 million, respectively, and net realized losses totaled $1.6 million and $0.6 million, respectively. Sales and repayments of investments for the three and six months ended March 31, 2019 totaled $143.2 million and $333.5 million, respectively, and net realized gains totaled $1.1 million and $2.0 million, respectively. The change in realized gains/losses was primarily due to changes in the market conditions of our investments and the values at which they were realized.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Unrealized Appreciation or Depreciation on Investments, the Credit Facility and the 2023 Notes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For the three and six months ended March 31, 2020, we reported net change in unrealized depreciation on investments of $64.8 million and $68.3 million, respectively. For the three and six months ended March 31, 2019, we reported net change in unrealized depreciation on investments of $12.7 million and $25.1 million, respectively. As of March 31, 2020 and September 30, 2019, our net unrealized depreciation on investments totaled $71.7 million and $3.5 million, respectively. The net change in unrealized depreciation on our investments compared to the same periods in the prior year was primarily due to changes in the capital market conditions as well as the financial performance of certain portfolio companies primarily driven by the market disruption caused by the COVID-19 pandemic and the uncertainty surrounding its continued adverse economic impact. For more information on how the COVID-19 pandemic has affected our business and results of operations, see the “Effects of COVID-19” section below.</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 the three and six months ended March 31, 2020, the Credit Facility and the 2023 Notes had a net change in unrealized appreciation of $33.5 million and $34.9 million, respectively. For the three and six months ended March 31, 2019, the Credit Facility and the 2023 Notes had a net change in unrealized appreciation of $5.6 million and $0.1 million, respectively. As of March 31, 2020 and September 30, 2019, the net unrealized depreciation on the Credit Facility and the 2023 Notes totaled $39.6 million and $4.7 million, respectively. The net change in net unrealized depreciation compared to the same period in the prior year was primarily due to changes in the capital markets.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Change in Net Assets Resulting from Operations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decrease in net assets resulting from operations totaled $21.1 million and $11.1 million, or $0.54 and $0.29 per share, respectively, for the three and six months ended March 31, 2020. This compares to a net decrease in net assets resulting from operations of $5.5 million and $0.5 million, or $0.14 and $0.01 per share, respectively, for the three and six months ended March 31, 2019. The net change in net assets from operations compared to the same periods in the prior year was primarily due to depreciation of the portfolio in the current period primarily driven by the market disruption caused by the COVID-19 pandemic and the uncertainty surrounding its continued adverse economic impact. For more information on how the COVID-19 pandemic has affected our business and results of operations, see the “Effects of COVID-19” section below.</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ectPr>
          <w:pgSz w:w="11900" w:h="16838" w:orient="portrait"/>
          <w:cols w:equalWidth="0" w:num="1">
            <w:col w:w="11240"/>
          </w:cols>
          <w:pgMar w:left="320" w:top="118" w:right="339" w:bottom="24" w:gutter="0" w:footer="0" w:header="0"/>
        </w:sectPr>
      </w:pPr>
    </w:p>
    <w:bookmarkStart w:id="6" w:name="page7"/>
    <w:bookmarkEnd w:id="6"/>
    <w:p>
      <w:pPr>
        <w:jc w:val="both"/>
        <w:spacing w:after="0" w:line="262" w:lineRule="auto"/>
        <w:rPr>
          <w:sz w:val="20"/>
          <w:szCs w:val="20"/>
          <w:color w:val="auto"/>
        </w:rPr>
      </w:pPr>
      <w:r>
        <w:rPr>
          <w:rFonts w:ascii="Arial" w:cs="Arial" w:eastAsia="Arial" w:hAnsi="Arial"/>
          <w:sz w:val="20"/>
          <w:szCs w:val="20"/>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Facility, see the “Effects of COVID-19” section below.</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annualized weighted average cost of debt for the six months ended March 31, 2020 and 2019, inclusive of the fee on the undrawn commitment on the Credit Facility, amendment costs and debt issuance costs, was 4.1% and 6.2%, respectively (excluding amendment and debt issuance costs, amounts were 4.1% and 5.1%, respectively). As of March 31, 2020 and September 30, 2019, we had $106.7 million and $254.7 million of unused borrowing capacity under the Credit Facility, respectively, subject to leverage and borrowing base restrictions.</w:t>
      </w:r>
    </w:p>
    <w:p>
      <w:pPr>
        <w:spacing w:after="0" w:line="18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As of March 31, 2020 and September 30, 2019, PennantPark Floating Rate Funding I, LLC, or Funding I, had $413.3 million and 265.3 million of outstanding borrowings under the Credit Facility, respectively. The Credit Facility had a weighted average interest rate of 3.6% and 4.1%, exclusive of the fee on undrawn commitments as of March 31, 2020 and September 30, 2019, respectively.</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March 31, 2020 and September 30, 2019, we had cash equivalents of $30.0 million and $63.3 million, respectively, available for investing and general corporate purposes. We believe our liquidity and capital resources are sufficient to take advantage of market opportunities.</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Our operating activities used cash of $158.9 million for the six months ended March 31, 2020, and our financing activities provided cash of $125.9 million for the same period. Our operating activities used cash primarily for our investment activities and our financing activities provided cash primarily from draws on our credit facility, partially offset by distributions paid to stockholders.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operating activities used cash of $35.6 million for the six months ended March 31, 2019 and our financing activities used cash of $3.5 million for the same period. Our operating activities used cash primarily for our investment activities and our financing activities used cash primarily for distributions paid to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During the three and six months ended March 31, 2020 and 2019, we declared distributions of $0.285 and $0.57 per share, respectively, for total distributions of $11.1 and $22.1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EFFECTS OF COVID-19</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spread of COVID-19 has had a significant impact on the U.S. economy and has resulted in governmental orders imposing travel restrictions and prolonged closures of many corporate offices, retail stores, manufacturing facilities, factories and other common places of public congregation around the world. These restrictions and “stay-at-home” orders have essentially resulted in the shutdown of all non-essential businesses, as defined by each governmental authority imposing the respective orders. Any future impact to our business and results of operations will depend to a large extent on future developments and new information that may emerge regarding the duration and severity of COVID-19 and the actions taken by authorities and other entities to reduce the spread of the virus, all of which are beyond our control. The COVID-19 pandemic has had, and continues to have, an adverse impact on our operating results and the operating results of our portfolio companies.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had a significant reduction of our net asset value as of March 31, 2020 as compared to our net asset value in the prior quarter. This reduction resulted from an increase in the overall net unrealized depreciation of the Company’s portfolio, including unrealized depreciations in the Company's investments, the Credit Facility and the 2023 Notes as of March 31, 2020, which was primarily due to the immediate adverse economic impact of the COVID-19 pandemic, the continuing uncertainty surrounding its long-term effects as well as the re-pricing of credit risk in the broadly syndicated credit market. As of March 31, 2020, we are in compliance with asset coverage requirements under the Investment Company Act of 1940, as amended. In addition, we are not in default of any asset coverage requirements under the Credit Facility as of March 31, 2020. However, any continued increase in unrealized depreciation of our investment portfolio or further significant reductions in our net asset value, as a result of the effects of the COVID-19 pandemic or otherwise, increases the risk of breaching the relevant covenants. As such, we may run into liquidity issues in the future if we are unable to draw on the unused borrowing capacity under our Credit Facility due the breach of financial covenants.</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will continue to monitor the rapidly evolving situation surrounding the COVID-19 pandemic and guidance from U.S. and international authorities, including federal, state and local public health authorities, and may take further actions based on their recommendations. There may be developments outside our control requiring us to adjust our plans accordingly. While we are closely monitoring this situation, we cannot predict the impact of COVID-19 on our future financial condition, results of operations or cash flows with any level of certainty. However, we expect that the COVID-19 pandemic will have a material</w:t>
      </w:r>
    </w:p>
    <w:p>
      <w:pPr>
        <w:sectPr>
          <w:pgSz w:w="11900" w:h="16838" w:orient="portrait"/>
          <w:cols w:equalWidth="0" w:num="1">
            <w:col w:w="11240"/>
          </w:cols>
          <w:pgMar w:left="320" w:top="118" w:right="339" w:bottom="0" w:gutter="0" w:footer="0" w:header="0"/>
        </w:sectPr>
      </w:pPr>
    </w:p>
    <w:bookmarkStart w:id="7" w:name="page8"/>
    <w:bookmarkEnd w:id="7"/>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adverse impact on our future net investment income, the fair value of our portfolio investments, and the results of operations and financial condition of our portfolio companies. For information concerning the COVID-19 pandemic and its potential impact on our business and our operating results, see our Quarterly Report on Form 10-Q for the quarter ended March 31, 2020, including “Item 2. Management's Discussion and Analysis of Financial Condition and Results of Operations – COVID-19 Developments” and “Part II - Other Information – Item 1A. Risk Factors” therein.</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92"/>
              </w:rPr>
              <w:t>March 31,</w:t>
            </w:r>
          </w:p>
        </w:tc>
        <w:tc>
          <w:tcPr>
            <w:tcW w:w="1640" w:type="dxa"/>
            <w:vAlign w:val="bottom"/>
            <w:gridSpan w:val="3"/>
          </w:tcPr>
          <w:p>
            <w:pPr>
              <w:jc w:val="right"/>
              <w:ind w:right="200"/>
              <w:spacing w:after="0"/>
              <w:rPr>
                <w:sz w:val="20"/>
                <w:szCs w:val="20"/>
                <w:color w:val="auto"/>
              </w:rPr>
            </w:pPr>
            <w:r>
              <w:rPr>
                <w:rFonts w:ascii="Arial" w:cs="Arial" w:eastAsia="Arial" w:hAnsi="Arial"/>
                <w:sz w:val="22"/>
                <w:szCs w:val="22"/>
                <w:b w:val="1"/>
                <w:bCs w:val="1"/>
                <w:color w:val="auto"/>
                <w:w w:val="94"/>
              </w:rPr>
              <w:t>September 30,</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center"/>
              <w:ind w:right="32"/>
              <w:spacing w:after="0"/>
              <w:rPr>
                <w:sz w:val="20"/>
                <w:szCs w:val="20"/>
                <w:color w:val="auto"/>
              </w:rPr>
            </w:pPr>
            <w:r>
              <w:rPr>
                <w:rFonts w:ascii="Arial" w:cs="Arial" w:eastAsia="Arial" w:hAnsi="Arial"/>
                <w:sz w:val="22"/>
                <w:szCs w:val="22"/>
                <w:b w:val="1"/>
                <w:bCs w:val="1"/>
                <w:color w:val="auto"/>
                <w:w w:val="85"/>
              </w:rPr>
              <w:t>2020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ind w:right="452"/>
              <w:spacing w:after="0"/>
              <w:rPr>
                <w:sz w:val="20"/>
                <w:szCs w:val="20"/>
                <w:color w:val="auto"/>
              </w:rPr>
            </w:pPr>
            <w:r>
              <w:rPr>
                <w:rFonts w:ascii="Arial" w:cs="Arial" w:eastAsia="Arial" w:hAnsi="Arial"/>
                <w:sz w:val="22"/>
                <w:szCs w:val="22"/>
                <w:b w:val="1"/>
                <w:bCs w:val="1"/>
                <w:color w:val="auto"/>
              </w:rPr>
              <w:t>2019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98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120" w:type="dxa"/>
            <w:vAlign w:val="bottom"/>
          </w:tcPr>
          <w:p>
            <w:pPr>
              <w:spacing w:after="0"/>
              <w:rPr>
                <w:sz w:val="24"/>
                <w:szCs w:val="2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0"/>
              </w:rPr>
              <w:t>(unaudited)</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980" w:type="dxa"/>
            <w:vAlign w:val="bottom"/>
            <w:vMerge w:val="continue"/>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798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60"/>
              <w:spacing w:after="0" w:line="243" w:lineRule="exact"/>
              <w:rPr>
                <w:sz w:val="20"/>
                <w:szCs w:val="20"/>
                <w:color w:val="auto"/>
              </w:rPr>
            </w:pPr>
            <w:r>
              <w:rPr>
                <w:rFonts w:ascii="Arial" w:cs="Arial" w:eastAsia="Arial" w:hAnsi="Arial"/>
                <w:sz w:val="22"/>
                <w:szCs w:val="22"/>
                <w:color w:val="auto"/>
                <w:w w:val="93"/>
              </w:rPr>
              <w:t>Non-controlled, non-affiliated investments (cost—$1,048,160,082 and $886,955,156,</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Pr>
          <w:p>
            <w:pPr>
              <w:jc w:val="right"/>
              <w:spacing w:after="0"/>
              <w:rPr>
                <w:sz w:val="20"/>
                <w:szCs w:val="20"/>
                <w:color w:val="auto"/>
              </w:rPr>
            </w:pPr>
            <w:r>
              <w:rPr>
                <w:rFonts w:ascii="Arial" w:cs="Arial" w:eastAsia="Arial" w:hAnsi="Arial"/>
                <w:sz w:val="22"/>
                <w:szCs w:val="22"/>
                <w:color w:val="auto"/>
                <w:w w:val="88"/>
              </w:rPr>
              <w:t>1,012,983,114</w:t>
            </w:r>
          </w:p>
        </w:tc>
        <w:tc>
          <w:tcPr>
            <w:tcW w:w="1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889,113,264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60"/>
              <w:spacing w:after="0" w:line="243" w:lineRule="exact"/>
              <w:rPr>
                <w:sz w:val="20"/>
                <w:szCs w:val="20"/>
                <w:color w:val="auto"/>
              </w:rPr>
            </w:pPr>
            <w:r>
              <w:rPr>
                <w:rFonts w:ascii="Arial" w:cs="Arial" w:eastAsia="Arial" w:hAnsi="Arial"/>
                <w:sz w:val="22"/>
                <w:szCs w:val="22"/>
                <w:color w:val="auto"/>
              </w:rPr>
              <w:t>Non-controlled, affiliated investments (cost—$25,970,270 and $23,645,693,</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11,138,636</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20,430,565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980" w:type="dxa"/>
            <w:vAlign w:val="bottom"/>
          </w:tcPr>
          <w:p>
            <w:pPr>
              <w:ind w:left="260"/>
              <w:spacing w:after="0"/>
              <w:rPr>
                <w:sz w:val="20"/>
                <w:szCs w:val="20"/>
                <w:color w:val="auto"/>
              </w:rPr>
            </w:pPr>
            <w:r>
              <w:rPr>
                <w:rFonts w:ascii="Arial" w:cs="Arial" w:eastAsia="Arial" w:hAnsi="Arial"/>
                <w:sz w:val="22"/>
                <w:szCs w:val="22"/>
                <w:color w:val="auto"/>
                <w:w w:val="90"/>
              </w:rPr>
              <w:t>Controlled, affiliated investments (cost—$176,312,500 and $174,562,500, respectively)</w:t>
            </w: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154,838,109</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172,163,080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7980" w:type="dxa"/>
            <w:vAlign w:val="bottom"/>
          </w:tcPr>
          <w:p>
            <w:pPr>
              <w:ind w:left="260"/>
              <w:spacing w:after="0"/>
              <w:rPr>
                <w:sz w:val="20"/>
                <w:szCs w:val="20"/>
                <w:color w:val="auto"/>
              </w:rPr>
            </w:pPr>
            <w:r>
              <w:rPr>
                <w:rFonts w:ascii="Arial" w:cs="Arial" w:eastAsia="Arial" w:hAnsi="Arial"/>
                <w:sz w:val="22"/>
                <w:szCs w:val="22"/>
                <w:color w:val="auto"/>
              </w:rPr>
              <w:t>Total of investments (cost—$1,250,442,852 and $1,085,172,349, respectively)</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w w:val="88"/>
              </w:rPr>
              <w:t>1,178,959,859</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w w:val="92"/>
              </w:rPr>
              <w:t>1,081,706,909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Cash and cash equivalents (cost—$30,223,951 and $63,367,237, respectively)</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29,993,752</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63,337,728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Interest receivable</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4,146,825</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3,892,292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9,050,000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2,997,546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98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464,179</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441,337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98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1,222,614,615</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1,152,375,812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98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Distributions payable</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3,683,347</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3,683,347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2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12,033,794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w w:val="91"/>
              </w:rPr>
              <w:t>Credit Facility payable, at fair value (cost—$413,307,500 and $265,307,500, respectively)</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400,592,492</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263,988,583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2023 Notes payable, at fair value (par—$138,579,858)</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111,736,940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135,240,084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2031 Asset-Backed Debt, net (par—$228,000,000)</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224,550,913</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224,321,845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4,903,259</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3,275,481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2,948,941</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2,728,019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2,937,024</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2,532,205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98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1,432,425</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1,514,943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98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752,785,341</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649,318,301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798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8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80" w:type="dxa"/>
            <w:vAlign w:val="bottom"/>
          </w:tcPr>
          <w:p>
            <w:pPr>
              <w:spacing w:after="0" w:line="243" w:lineRule="exact"/>
              <w:rPr>
                <w:sz w:val="20"/>
                <w:szCs w:val="20"/>
                <w:color w:val="auto"/>
              </w:rPr>
            </w:pPr>
            <w:r>
              <w:rPr>
                <w:rFonts w:ascii="Arial" w:cs="Arial" w:eastAsia="Arial" w:hAnsi="Arial"/>
                <w:sz w:val="22"/>
                <w:szCs w:val="22"/>
                <w:color w:val="auto"/>
                <w:w w:val="89"/>
              </w:rPr>
              <w:t>Common stock, 38,772,074 shares issued and outstanding Par value $0.001 per share and</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spacing w:after="0" w:line="243" w:lineRule="exact"/>
              <w:rPr>
                <w:sz w:val="20"/>
                <w:szCs w:val="20"/>
                <w:color w:val="auto"/>
              </w:rPr>
            </w:pPr>
            <w:r>
              <w:rPr>
                <w:rFonts w:ascii="Arial" w:cs="Arial" w:eastAsia="Arial" w:hAnsi="Arial"/>
                <w:sz w:val="22"/>
                <w:szCs w:val="22"/>
                <w:color w:val="auto"/>
              </w:rPr>
              <w:t>100,000,000</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100"/>
              <w:spacing w:after="0"/>
              <w:rPr>
                <w:sz w:val="20"/>
                <w:szCs w:val="20"/>
                <w:color w:val="auto"/>
              </w:rPr>
            </w:pPr>
            <w:r>
              <w:rPr>
                <w:rFonts w:ascii="Arial" w:cs="Arial" w:eastAsia="Arial" w:hAnsi="Arial"/>
                <w:sz w:val="22"/>
                <w:szCs w:val="22"/>
                <w:color w:val="auto"/>
              </w:rPr>
              <w:t>shares authorized</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38,772</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38,772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538,632,828</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538,632,828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980" w:type="dxa"/>
            <w:vAlign w:val="bottom"/>
          </w:tcPr>
          <w:p>
            <w:pPr>
              <w:spacing w:after="0"/>
              <w:rPr>
                <w:sz w:val="20"/>
                <w:szCs w:val="20"/>
                <w:color w:val="auto"/>
              </w:rPr>
            </w:pPr>
            <w:r>
              <w:rPr>
                <w:rFonts w:ascii="Arial" w:cs="Arial" w:eastAsia="Arial" w:hAnsi="Arial"/>
                <w:sz w:val="22"/>
                <w:szCs w:val="22"/>
                <w:color w:val="auto"/>
              </w:rPr>
              <w:t>Distributable income</w:t>
            </w:r>
          </w:p>
        </w:tc>
        <w:tc>
          <w:tcPr>
            <w:tcW w:w="1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22"/>
                <w:szCs w:val="22"/>
                <w:color w:val="auto"/>
              </w:rPr>
              <w:t>(68,842,326)</w:t>
            </w:r>
          </w:p>
        </w:tc>
        <w:tc>
          <w:tcPr>
            <w:tcW w:w="22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(35,614,089)</w:t>
            </w:r>
          </w:p>
        </w:tc>
        <w:tc>
          <w:tcPr>
            <w:tcW w:w="0" w:type="dxa"/>
            <w:vAlign w:val="bottom"/>
          </w:tcPr>
          <w:p>
            <w:pPr>
              <w:spacing w:after="0"/>
              <w:rPr>
                <w:sz w:val="1"/>
                <w:szCs w:val="1"/>
                <w:color w:val="auto"/>
              </w:rPr>
            </w:pPr>
          </w:p>
        </w:tc>
      </w:tr>
      <w:tr>
        <w:trPr>
          <w:trHeight w:val="267"/>
        </w:trPr>
        <w:tc>
          <w:tcPr>
            <w:tcW w:w="798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469,829,274</w:t>
            </w:r>
          </w:p>
        </w:tc>
        <w:tc>
          <w:tcPr>
            <w:tcW w:w="18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503,057,511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98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1,222,614,615</w:t>
            </w:r>
          </w:p>
        </w:tc>
        <w:tc>
          <w:tcPr>
            <w:tcW w:w="18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1,152,375,812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12.12</w:t>
            </w:r>
          </w:p>
        </w:tc>
        <w:tc>
          <w:tcPr>
            <w:tcW w:w="18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line="268" w:lineRule="auto"/>
        <w:rPr>
          <w:sz w:val="20"/>
          <w:szCs w:val="20"/>
          <w:color w:val="auto"/>
        </w:rPr>
      </w:pPr>
      <w:r>
        <w:rPr>
          <w:rFonts w:ascii="Arial" w:cs="Arial" w:eastAsia="Arial" w:hAnsi="Arial"/>
          <w:sz w:val="22"/>
          <w:szCs w:val="22"/>
          <w:b w:val="1"/>
          <w:bCs w:val="1"/>
          <w:color w:val="auto"/>
        </w:rPr>
        <w:t>PENNANTPARK FLOATING RATE CAPITAL LTD. AND SUBSIDIARIES CONSOLIDATED STATEMENTS OF OPERATIONS (Unaudited)</w:t>
      </w:r>
    </w:p>
    <w:p>
      <w:pPr>
        <w:spacing w:after="0" w:line="221" w:lineRule="exact"/>
        <w:rPr>
          <w:sz w:val="20"/>
          <w:szCs w:val="20"/>
          <w:color w:val="auto"/>
        </w:rPr>
      </w:pPr>
    </w:p>
    <w:tbl>
      <w:tblPr>
        <w:tblLayout w:type="fixed"/>
        <w:tblInd w:w="5720" w:type="dxa"/>
        <w:tblCellMar>
          <w:top w:w="0" w:type="dxa"/>
          <w:left w:w="0" w:type="dxa"/>
          <w:bottom w:w="0" w:type="dxa"/>
          <w:right w:w="0" w:type="dxa"/>
        </w:tblCellMar>
      </w:tblPr>
      <w:tr>
        <w:trPr>
          <w:trHeight w:val="253"/>
        </w:trPr>
        <w:tc>
          <w:tcPr>
            <w:tcW w:w="2800" w:type="dxa"/>
            <w:vAlign w:val="bottom"/>
            <w:gridSpan w:val="3"/>
          </w:tcPr>
          <w:p>
            <w:pPr>
              <w:jc w:val="center"/>
              <w:ind w:right="200"/>
              <w:spacing w:after="0"/>
              <w:rPr>
                <w:sz w:val="20"/>
                <w:szCs w:val="20"/>
                <w:color w:val="auto"/>
              </w:rPr>
            </w:pPr>
            <w:r>
              <w:rPr>
                <w:rFonts w:ascii="Arial" w:cs="Arial" w:eastAsia="Arial" w:hAnsi="Arial"/>
                <w:sz w:val="22"/>
                <w:szCs w:val="22"/>
                <w:b w:val="1"/>
                <w:bCs w:val="1"/>
                <w:color w:val="auto"/>
                <w:w w:val="90"/>
              </w:rPr>
              <w:t>Three Months Ended</w:t>
            </w:r>
          </w:p>
        </w:tc>
        <w:tc>
          <w:tcPr>
            <w:tcW w:w="2620" w:type="dxa"/>
            <w:vAlign w:val="bottom"/>
            <w:gridSpan w:val="2"/>
          </w:tcPr>
          <w:p>
            <w:pPr>
              <w:jc w:val="center"/>
              <w:spacing w:after="0"/>
              <w:rPr>
                <w:sz w:val="20"/>
                <w:szCs w:val="20"/>
                <w:color w:val="auto"/>
              </w:rPr>
            </w:pPr>
            <w:r>
              <w:rPr>
                <w:rFonts w:ascii="Arial" w:cs="Arial" w:eastAsia="Arial" w:hAnsi="Arial"/>
                <w:sz w:val="22"/>
                <w:szCs w:val="22"/>
                <w:b w:val="1"/>
                <w:bCs w:val="1"/>
                <w:color w:val="auto"/>
                <w:w w:val="90"/>
              </w:rPr>
              <w:t>Six Months Ended March</w:t>
            </w:r>
          </w:p>
        </w:tc>
      </w:tr>
      <w:tr>
        <w:trPr>
          <w:trHeight w:val="280"/>
        </w:trPr>
        <w:tc>
          <w:tcPr>
            <w:tcW w:w="820" w:type="dxa"/>
            <w:vAlign w:val="bottom"/>
          </w:tcPr>
          <w:p>
            <w:pPr>
              <w:spacing w:after="0"/>
              <w:rPr>
                <w:sz w:val="24"/>
                <w:szCs w:val="24"/>
                <w:color w:val="auto"/>
              </w:rPr>
            </w:pPr>
          </w:p>
        </w:tc>
        <w:tc>
          <w:tcPr>
            <w:tcW w:w="1980" w:type="dxa"/>
            <w:vAlign w:val="bottom"/>
            <w:gridSpan w:val="2"/>
          </w:tcPr>
          <w:p>
            <w:pPr>
              <w:jc w:val="center"/>
              <w:ind w:right="1020"/>
              <w:spacing w:after="0"/>
              <w:rPr>
                <w:sz w:val="20"/>
                <w:szCs w:val="20"/>
                <w:color w:val="auto"/>
              </w:rPr>
            </w:pPr>
            <w:r>
              <w:rPr>
                <w:rFonts w:ascii="Arial" w:cs="Arial" w:eastAsia="Arial" w:hAnsi="Arial"/>
                <w:sz w:val="22"/>
                <w:szCs w:val="22"/>
                <w:b w:val="1"/>
                <w:bCs w:val="1"/>
                <w:color w:val="auto"/>
                <w:w w:val="94"/>
              </w:rPr>
              <w:t>March 31,</w:t>
            </w:r>
          </w:p>
        </w:tc>
        <w:tc>
          <w:tcPr>
            <w:tcW w:w="1000" w:type="dxa"/>
            <w:vAlign w:val="bottom"/>
          </w:tcPr>
          <w:p>
            <w:pPr>
              <w:spacing w:after="0"/>
              <w:rPr>
                <w:sz w:val="24"/>
                <w:szCs w:val="24"/>
                <w:color w:val="auto"/>
              </w:rPr>
            </w:pPr>
          </w:p>
        </w:tc>
        <w:tc>
          <w:tcPr>
            <w:tcW w:w="1620" w:type="dxa"/>
            <w:vAlign w:val="bottom"/>
          </w:tcPr>
          <w:p>
            <w:pPr>
              <w:jc w:val="right"/>
              <w:ind w:right="1072"/>
              <w:spacing w:after="0"/>
              <w:rPr>
                <w:sz w:val="20"/>
                <w:szCs w:val="20"/>
                <w:color w:val="auto"/>
              </w:rPr>
            </w:pPr>
            <w:r>
              <w:rPr>
                <w:rFonts w:ascii="Arial" w:cs="Arial" w:eastAsia="Arial" w:hAnsi="Arial"/>
                <w:sz w:val="22"/>
                <w:szCs w:val="22"/>
                <w:b w:val="1"/>
                <w:bCs w:val="1"/>
                <w:color w:val="auto"/>
              </w:rPr>
              <w:t>31,</w:t>
            </w:r>
          </w:p>
        </w:tc>
      </w:tr>
      <w:tr>
        <w:trPr>
          <w:trHeight w:val="277"/>
        </w:trPr>
        <w:tc>
          <w:tcPr>
            <w:tcW w:w="820" w:type="dxa"/>
            <w:vAlign w:val="bottom"/>
            <w:tcBorders>
              <w:top w:val="single" w:sz="8" w:color="auto"/>
            </w:tcBorders>
          </w:tcPr>
          <w:p>
            <w:pPr>
              <w:jc w:val="right"/>
              <w:spacing w:after="0"/>
              <w:rPr>
                <w:sz w:val="20"/>
                <w:szCs w:val="20"/>
                <w:color w:val="auto"/>
              </w:rPr>
            </w:pPr>
            <w:r>
              <w:rPr>
                <w:rFonts w:ascii="Arial" w:cs="Arial" w:eastAsia="Arial" w:hAnsi="Arial"/>
                <w:sz w:val="22"/>
                <w:szCs w:val="22"/>
                <w:b w:val="1"/>
                <w:bCs w:val="1"/>
                <w:color w:val="auto"/>
              </w:rPr>
              <w:t>2020</w:t>
            </w:r>
          </w:p>
        </w:tc>
        <w:tc>
          <w:tcPr>
            <w:tcW w:w="1780" w:type="dxa"/>
            <w:vAlign w:val="bottom"/>
            <w:tcBorders>
              <w:top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2019</w:t>
            </w:r>
          </w:p>
        </w:tc>
        <w:tc>
          <w:tcPr>
            <w:tcW w:w="200" w:type="dxa"/>
            <w:vAlign w:val="bottom"/>
          </w:tcPr>
          <w:p>
            <w:pPr>
              <w:spacing w:after="0"/>
              <w:rPr>
                <w:sz w:val="24"/>
                <w:szCs w:val="24"/>
                <w:color w:val="auto"/>
              </w:rPr>
            </w:pP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22"/>
                <w:szCs w:val="22"/>
                <w:b w:val="1"/>
                <w:bCs w:val="1"/>
                <w:color w:val="auto"/>
              </w:rPr>
              <w:t>2020</w:t>
            </w:r>
          </w:p>
        </w:tc>
        <w:tc>
          <w:tcPr>
            <w:tcW w:w="1620" w:type="dxa"/>
            <w:vAlign w:val="bottom"/>
            <w:tcBorders>
              <w:top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3627120</wp:posOffset>
            </wp:positionH>
            <wp:positionV relativeFrom="paragraph">
              <wp:posOffset>-5715</wp:posOffset>
            </wp:positionV>
            <wp:extent cx="3442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4233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22"/>
          <w:szCs w:val="22"/>
          <w:b w:val="1"/>
          <w:bCs w:val="1"/>
          <w:color w:val="auto"/>
        </w:rPr>
        <w:t>Investment income:</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22"/>
          <w:szCs w:val="22"/>
          <w:color w:val="auto"/>
        </w:rPr>
        <w:t>From non-controlled, non-affiliated investments:</w:t>
      </w:r>
    </w:p>
    <w:p>
      <w:pPr>
        <w:sectPr>
          <w:pgSz w:w="11900" w:h="16874" w:orient="portrait"/>
          <w:cols w:equalWidth="0" w:num="1">
            <w:col w:w="11240"/>
          </w:cols>
          <w:pgMar w:left="320" w:top="118" w:right="339" w:bottom="0"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270"/>
        </w:trPr>
        <w:tc>
          <w:tcPr>
            <w:tcW w:w="5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20,307,380</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16,825,167</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39,217,274</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34,995,165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1,140,500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1,390,690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1,913,603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2,011,879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233,772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ind w:right="9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459,125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3,069,785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3,214,482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6,225,109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6,032,527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00" w:type="dxa"/>
            <w:vAlign w:val="bottom"/>
          </w:tcPr>
          <w:p>
            <w:pPr>
              <w:ind w:left="260"/>
              <w:spacing w:after="0"/>
              <w:rPr>
                <w:sz w:val="20"/>
                <w:szCs w:val="20"/>
                <w:color w:val="auto"/>
              </w:rPr>
            </w:pPr>
            <w:r>
              <w:rPr>
                <w:rFonts w:ascii="Arial" w:cs="Arial" w:eastAsia="Arial" w:hAnsi="Arial"/>
                <w:sz w:val="22"/>
                <w:szCs w:val="22"/>
                <w:color w:val="auto"/>
              </w:rPr>
              <w:t>Dividend</w:t>
            </w: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1,575,000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1,575,000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3,150,000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3,150,000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70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26,326,437</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23,005,339</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50,965,111</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46,189,571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70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2,948,941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2,418,706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5,779,100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4,917,472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2,937,024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2,514,047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5,252,859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1,321,638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7,626,550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5,316,180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14,933,814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10,621,658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350,000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350,000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700,000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850,000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0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616,077</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616,077</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1,232,153</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1,232,152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570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85"/>
              </w:rPr>
              <w:t>Expenses before amendment costs, debt issuance costs and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700" w:type="dxa"/>
            <w:vAlign w:val="bottom"/>
          </w:tcPr>
          <w:p>
            <w:pPr>
              <w:ind w:left="260"/>
              <w:spacing w:after="0"/>
              <w:rPr>
                <w:sz w:val="20"/>
                <w:szCs w:val="20"/>
                <w:color w:val="auto"/>
              </w:rPr>
            </w:pPr>
            <w:r>
              <w:rPr>
                <w:rFonts w:ascii="Arial" w:cs="Arial" w:eastAsia="Arial" w:hAnsi="Arial"/>
                <w:sz w:val="22"/>
                <w:szCs w:val="22"/>
                <w:b w:val="1"/>
                <w:bCs w:val="1"/>
                <w:color w:val="auto"/>
              </w:rPr>
              <w:t>provision for taxes</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14,478,592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11,215,010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27,897,926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18,942,920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60"/>
              <w:spacing w:after="0"/>
              <w:rPr>
                <w:sz w:val="20"/>
                <w:szCs w:val="20"/>
                <w:color w:val="auto"/>
              </w:rPr>
            </w:pPr>
            <w:r>
              <w:rPr>
                <w:rFonts w:ascii="Arial" w:cs="Arial" w:eastAsia="Arial" w:hAnsi="Arial"/>
                <w:sz w:val="22"/>
                <w:szCs w:val="22"/>
                <w:color w:val="auto"/>
                <w:w w:val="97"/>
              </w:rPr>
              <w:t>Credit Facility amendment costs and debt issuance costs</w:t>
            </w:r>
          </w:p>
        </w:tc>
        <w:tc>
          <w:tcPr>
            <w:tcW w:w="140" w:type="dxa"/>
            <w:vAlign w:val="bottom"/>
          </w:tcPr>
          <w:p>
            <w:pPr>
              <w:spacing w:after="0"/>
              <w:rPr>
                <w:sz w:val="23"/>
                <w:szCs w:val="23"/>
                <w:color w:val="auto"/>
              </w:rPr>
            </w:pPr>
          </w:p>
        </w:tc>
        <w:tc>
          <w:tcPr>
            <w:tcW w:w="1260" w:type="dxa"/>
            <w:vAlign w:val="bottom"/>
            <w:gridSpan w:val="2"/>
          </w:tcPr>
          <w:p>
            <w:pPr>
              <w:jc w:val="right"/>
              <w:ind w:right="9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5,013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ind w:right="9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4,517,292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0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100,000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ind w:right="9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200,000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5700" w:type="dxa"/>
            <w:vAlign w:val="bottom"/>
          </w:tcPr>
          <w:p>
            <w:pPr>
              <w:ind w:left="260"/>
              <w:spacing w:after="0"/>
              <w:rPr>
                <w:sz w:val="20"/>
                <w:szCs w:val="20"/>
                <w:color w:val="auto"/>
              </w:rPr>
            </w:pPr>
            <w:r>
              <w:rPr>
                <w:rFonts w:ascii="Arial" w:cs="Arial" w:eastAsia="Arial" w:hAnsi="Arial"/>
                <w:sz w:val="22"/>
                <w:szCs w:val="22"/>
                <w:b w:val="1"/>
                <w:bCs w:val="1"/>
                <w:color w:val="auto"/>
              </w:rPr>
              <w:t>Total expenses</w:t>
            </w: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14,578,592</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11,220,023</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28,097,926</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23,460,212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70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11,747,845</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11,785,316</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22,867,185</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22,729,359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700" w:type="dxa"/>
            <w:vAlign w:val="bottom"/>
          </w:tcPr>
          <w:p>
            <w:pPr>
              <w:spacing w:after="0"/>
              <w:rPr>
                <w:sz w:val="20"/>
                <w:szCs w:val="20"/>
                <w:color w:val="auto"/>
              </w:rPr>
            </w:pPr>
            <w:r>
              <w:rPr>
                <w:rFonts w:ascii="Arial" w:cs="Arial" w:eastAsia="Arial" w:hAnsi="Arial"/>
                <w:sz w:val="22"/>
                <w:szCs w:val="22"/>
                <w:b w:val="1"/>
                <w:bCs w:val="1"/>
                <w:color w:val="auto"/>
                <w:w w:val="99"/>
              </w:rPr>
              <w:t>Realized and unrealized loss on investments and debt:</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22"/>
                <w:szCs w:val="22"/>
                <w:color w:val="auto"/>
              </w:rPr>
              <w:t>Net realized (loss) gain on investments:</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rPr>
              <w:t>(1,599,285)</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1,079,348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rPr>
              <w:t>(586,972 )</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2,002,814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700" w:type="dxa"/>
            <w:vAlign w:val="bottom"/>
          </w:tcPr>
          <w:p>
            <w:pPr>
              <w:ind w:left="260"/>
              <w:spacing w:after="0"/>
              <w:rPr>
                <w:sz w:val="20"/>
                <w:szCs w:val="20"/>
                <w:color w:val="auto"/>
              </w:rPr>
            </w:pPr>
            <w:r>
              <w:rPr>
                <w:rFonts w:ascii="Arial" w:cs="Arial" w:eastAsia="Arial" w:hAnsi="Arial"/>
                <w:sz w:val="22"/>
                <w:szCs w:val="22"/>
                <w:b w:val="1"/>
                <w:bCs w:val="1"/>
                <w:color w:val="auto"/>
              </w:rPr>
              <w:t>Net realized (loss) gain on investments</w:t>
            </w: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2"/>
              </w:rPr>
              <w:t>(1,599,285)</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1,079,348</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(586,972</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2,002,814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700" w:type="dxa"/>
            <w:vAlign w:val="bottom"/>
          </w:tcPr>
          <w:p>
            <w:pPr>
              <w:spacing w:after="0"/>
              <w:rPr>
                <w:sz w:val="20"/>
                <w:szCs w:val="20"/>
                <w:color w:val="auto"/>
              </w:rPr>
            </w:pPr>
            <w:r>
              <w:rPr>
                <w:rFonts w:ascii="Arial" w:cs="Arial" w:eastAsia="Arial" w:hAnsi="Arial"/>
                <w:sz w:val="22"/>
                <w:szCs w:val="22"/>
                <w:color w:val="auto"/>
              </w:rPr>
              <w:t>Net change in unrealized depreciation on:</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7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1"/>
              </w:rPr>
              <w:t>(40,004,484)</w:t>
            </w:r>
          </w:p>
        </w:tc>
        <w:tc>
          <w:tcPr>
            <w:tcW w:w="1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1"/>
              </w:rPr>
              <w:t>(13,288,572)</w:t>
            </w:r>
          </w:p>
        </w:tc>
        <w:tc>
          <w:tcPr>
            <w:tcW w:w="1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1"/>
              </w:rPr>
              <w:t>(37,625,126)</w:t>
            </w: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w w:val="91"/>
              </w:rPr>
              <w:t>(23,330,111)</w:t>
            </w:r>
          </w:p>
        </w:tc>
        <w:tc>
          <w:tcPr>
            <w:tcW w:w="0" w:type="dxa"/>
            <w:vAlign w:val="bottom"/>
          </w:tcPr>
          <w:p>
            <w:pPr>
              <w:spacing w:after="0"/>
              <w:rPr>
                <w:sz w:val="1"/>
                <w:szCs w:val="1"/>
                <w:color w:val="auto"/>
              </w:rPr>
            </w:pPr>
          </w:p>
        </w:tc>
      </w:tr>
      <w:tr>
        <w:trPr>
          <w:trHeight w:val="270"/>
        </w:trPr>
        <w:tc>
          <w:tcPr>
            <w:tcW w:w="5700" w:type="dxa"/>
            <w:vAlign w:val="bottom"/>
          </w:tcPr>
          <w:p>
            <w:pPr>
              <w:ind w:left="260"/>
              <w:spacing w:after="0"/>
              <w:rPr>
                <w:sz w:val="20"/>
                <w:szCs w:val="20"/>
                <w:color w:val="auto"/>
              </w:rPr>
            </w:pPr>
            <w:r>
              <w:rPr>
                <w:rFonts w:ascii="Arial" w:cs="Arial" w:eastAsia="Arial" w:hAnsi="Arial"/>
                <w:sz w:val="22"/>
                <w:szCs w:val="22"/>
                <w:color w:val="auto"/>
              </w:rPr>
              <w:t>Controlled and non-controlled, affiliated investments</w:t>
            </w:r>
          </w:p>
        </w:tc>
        <w:tc>
          <w:tcPr>
            <w:tcW w:w="1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1"/>
              </w:rPr>
              <w:t>(24,782,772)</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573,851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1"/>
              </w:rPr>
              <w:t>(30,682,477)</w:t>
            </w: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(1,790,617)</w:t>
            </w:r>
          </w:p>
        </w:tc>
        <w:tc>
          <w:tcPr>
            <w:tcW w:w="0" w:type="dxa"/>
            <w:vAlign w:val="bottom"/>
          </w:tcPr>
          <w:p>
            <w:pPr>
              <w:spacing w:after="0"/>
              <w:rPr>
                <w:sz w:val="1"/>
                <w:szCs w:val="1"/>
                <w:color w:val="auto"/>
              </w:rPr>
            </w:pPr>
          </w:p>
        </w:tc>
      </w:tr>
      <w:tr>
        <w:trPr>
          <w:trHeight w:val="274"/>
        </w:trPr>
        <w:tc>
          <w:tcPr>
            <w:tcW w:w="5700" w:type="dxa"/>
            <w:vAlign w:val="bottom"/>
          </w:tcPr>
          <w:p>
            <w:pPr>
              <w:ind w:left="260"/>
              <w:spacing w:after="0"/>
              <w:rPr>
                <w:sz w:val="20"/>
                <w:szCs w:val="20"/>
                <w:color w:val="auto"/>
              </w:rPr>
            </w:pPr>
            <w:r>
              <w:rPr>
                <w:rFonts w:ascii="Arial" w:cs="Arial" w:eastAsia="Arial" w:hAnsi="Arial"/>
                <w:sz w:val="22"/>
                <w:szCs w:val="22"/>
                <w:color w:val="auto"/>
              </w:rPr>
              <w:t>Debt depreciation (appreciation)</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33,537,647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6"/>
              </w:rPr>
              <w:t>(5,621,668 )</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34,899,235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(87,975)</w:t>
            </w:r>
          </w:p>
        </w:tc>
        <w:tc>
          <w:tcPr>
            <w:tcW w:w="0" w:type="dxa"/>
            <w:vAlign w:val="bottom"/>
          </w:tcPr>
          <w:p>
            <w:pPr>
              <w:spacing w:after="0"/>
              <w:rPr>
                <w:sz w:val="1"/>
                <w:szCs w:val="1"/>
                <w:color w:val="auto"/>
              </w:rPr>
            </w:pPr>
          </w:p>
        </w:tc>
      </w:tr>
      <w:tr>
        <w:trPr>
          <w:trHeight w:val="212"/>
        </w:trPr>
        <w:tc>
          <w:tcPr>
            <w:tcW w:w="570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89"/>
              </w:rPr>
              <w:t>Net change in unrealized depreciation on investments and</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700" w:type="dxa"/>
            <w:vAlign w:val="bottom"/>
          </w:tcPr>
          <w:p>
            <w:pPr>
              <w:ind w:left="260"/>
              <w:spacing w:after="0"/>
              <w:rPr>
                <w:sz w:val="20"/>
                <w:szCs w:val="20"/>
                <w:color w:val="auto"/>
              </w:rPr>
            </w:pPr>
            <w:r>
              <w:rPr>
                <w:rFonts w:ascii="Arial" w:cs="Arial" w:eastAsia="Arial" w:hAnsi="Arial"/>
                <w:sz w:val="22"/>
                <w:szCs w:val="22"/>
                <w:b w:val="1"/>
                <w:bCs w:val="1"/>
                <w:color w:val="auto"/>
              </w:rPr>
              <w:t>debt</w:t>
            </w:r>
          </w:p>
        </w:tc>
        <w:tc>
          <w:tcPr>
            <w:tcW w:w="140" w:type="dxa"/>
            <w:vAlign w:val="bottom"/>
          </w:tcPr>
          <w:p>
            <w:pPr>
              <w:spacing w:after="0"/>
              <w:rPr>
                <w:sz w:val="24"/>
                <w:szCs w:val="24"/>
                <w:color w:val="auto"/>
              </w:rPr>
            </w:pPr>
          </w:p>
        </w:tc>
        <w:tc>
          <w:tcPr>
            <w:tcW w:w="5360" w:type="dxa"/>
            <w:vAlign w:val="bottom"/>
            <w:gridSpan w:val="11"/>
          </w:tcPr>
          <w:p>
            <w:pPr>
              <w:jc w:val="right"/>
              <w:spacing w:after="0"/>
              <w:rPr>
                <w:sz w:val="20"/>
                <w:szCs w:val="20"/>
                <w:color w:val="auto"/>
              </w:rPr>
            </w:pPr>
            <w:r>
              <w:rPr>
                <w:rFonts w:ascii="Arial" w:cs="Arial" w:eastAsia="Arial" w:hAnsi="Arial"/>
                <w:sz w:val="22"/>
                <w:szCs w:val="22"/>
                <w:color w:val="auto"/>
                <w:w w:val="92"/>
              </w:rPr>
              <w:t>(31,249,609 )   (18,336,389 )   (33,408,368 )   (25,208,703 )</w:t>
            </w:r>
          </w:p>
        </w:tc>
        <w:tc>
          <w:tcPr>
            <w:tcW w:w="0" w:type="dxa"/>
            <w:vAlign w:val="bottom"/>
          </w:tcPr>
          <w:p>
            <w:pPr>
              <w:spacing w:after="0"/>
              <w:rPr>
                <w:sz w:val="1"/>
                <w:szCs w:val="1"/>
                <w:color w:val="auto"/>
              </w:rPr>
            </w:pPr>
          </w:p>
        </w:tc>
      </w:tr>
      <w:tr>
        <w:trPr>
          <w:trHeight w:val="267"/>
        </w:trPr>
        <w:tc>
          <w:tcPr>
            <w:tcW w:w="5700" w:type="dxa"/>
            <w:vAlign w:val="bottom"/>
          </w:tcPr>
          <w:p>
            <w:pPr>
              <w:spacing w:after="0"/>
              <w:rPr>
                <w:sz w:val="20"/>
                <w:szCs w:val="20"/>
                <w:color w:val="auto"/>
              </w:rPr>
            </w:pPr>
            <w:r>
              <w:rPr>
                <w:rFonts w:ascii="Arial" w:cs="Arial" w:eastAsia="Arial" w:hAnsi="Arial"/>
                <w:sz w:val="22"/>
                <w:szCs w:val="22"/>
                <w:b w:val="1"/>
                <w:bCs w:val="1"/>
                <w:color w:val="auto"/>
                <w:w w:val="91"/>
              </w:rPr>
              <w:t>Net realized and unrealized loss from investments and debt</w:t>
            </w: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(32,848,894</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(17,257,041</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(33,995,340</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(23,205,889</w:t>
            </w:r>
          </w:p>
        </w:tc>
        <w:tc>
          <w:tcPr>
            <w:tcW w:w="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r>
        <w:trPr>
          <w:trHeight w:val="263"/>
        </w:trPr>
        <w:tc>
          <w:tcPr>
            <w:tcW w:w="5700" w:type="dxa"/>
            <w:vAlign w:val="bottom"/>
          </w:tcPr>
          <w:p>
            <w:pPr>
              <w:spacing w:after="0"/>
              <w:rPr>
                <w:sz w:val="20"/>
                <w:szCs w:val="20"/>
                <w:color w:val="auto"/>
              </w:rPr>
            </w:pPr>
            <w:r>
              <w:rPr>
                <w:rFonts w:ascii="Arial" w:cs="Arial" w:eastAsia="Arial" w:hAnsi="Arial"/>
                <w:sz w:val="22"/>
                <w:szCs w:val="22"/>
                <w:b w:val="1"/>
                <w:bCs w:val="1"/>
                <w:color w:val="auto"/>
              </w:rPr>
              <w:t>Net decrease in net assets resulting from operations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(21,101,049</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(5,471,725</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(11,128,155</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(476,530</w:t>
            </w:r>
          </w:p>
        </w:tc>
        <w:tc>
          <w:tcPr>
            <w:tcW w:w="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line="242" w:lineRule="exact"/>
              <w:rPr>
                <w:sz w:val="20"/>
                <w:szCs w:val="20"/>
                <w:color w:val="auto"/>
              </w:rPr>
            </w:pPr>
            <w:r>
              <w:rPr>
                <w:rFonts w:ascii="Arial" w:cs="Arial" w:eastAsia="Arial" w:hAnsi="Arial"/>
                <w:sz w:val="22"/>
                <w:szCs w:val="22"/>
                <w:color w:val="auto"/>
                <w:w w:val="89"/>
              </w:rPr>
              <w:t>Net decrease in net assets resulting from operations per common</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700" w:type="dxa"/>
            <w:vAlign w:val="bottom"/>
            <w:vMerge w:val="continue"/>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gridSpan w:val="2"/>
            <w:vMerge w:val="restart"/>
          </w:tcPr>
          <w:p>
            <w:pPr>
              <w:jc w:val="right"/>
              <w:spacing w:after="0"/>
              <w:rPr>
                <w:sz w:val="20"/>
                <w:szCs w:val="20"/>
                <w:color w:val="auto"/>
              </w:rPr>
            </w:pPr>
            <w:r>
              <w:rPr>
                <w:rFonts w:ascii="Arial" w:cs="Arial" w:eastAsia="Arial" w:hAnsi="Arial"/>
                <w:sz w:val="22"/>
                <w:szCs w:val="22"/>
                <w:color w:val="auto"/>
              </w:rPr>
              <w:t>(0.54 )</w:t>
            </w: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gridSpan w:val="2"/>
            <w:vMerge w:val="restart"/>
          </w:tcPr>
          <w:p>
            <w:pPr>
              <w:jc w:val="right"/>
              <w:spacing w:after="0"/>
              <w:rPr>
                <w:sz w:val="20"/>
                <w:szCs w:val="20"/>
                <w:color w:val="auto"/>
              </w:rPr>
            </w:pPr>
            <w:r>
              <w:rPr>
                <w:rFonts w:ascii="Arial" w:cs="Arial" w:eastAsia="Arial" w:hAnsi="Arial"/>
                <w:sz w:val="22"/>
                <w:szCs w:val="22"/>
                <w:color w:val="auto"/>
              </w:rPr>
              <w:t>(0.14 )</w:t>
            </w: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gridSpan w:val="2"/>
            <w:vMerge w:val="restart"/>
          </w:tcPr>
          <w:p>
            <w:pPr>
              <w:jc w:val="right"/>
              <w:spacing w:after="0"/>
              <w:rPr>
                <w:sz w:val="20"/>
                <w:szCs w:val="20"/>
                <w:color w:val="auto"/>
              </w:rPr>
            </w:pPr>
            <w:r>
              <w:rPr>
                <w:rFonts w:ascii="Arial" w:cs="Arial" w:eastAsia="Arial" w:hAnsi="Arial"/>
                <w:sz w:val="22"/>
                <w:szCs w:val="22"/>
                <w:color w:val="auto"/>
              </w:rPr>
              <w:t>(0.29 )</w:t>
            </w: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60" w:type="dxa"/>
            <w:vAlign w:val="bottom"/>
            <w:gridSpan w:val="2"/>
            <w:vMerge w:val="restart"/>
          </w:tcPr>
          <w:p>
            <w:pPr>
              <w:jc w:val="right"/>
              <w:spacing w:after="0"/>
              <w:rPr>
                <w:sz w:val="20"/>
                <w:szCs w:val="20"/>
                <w:color w:val="auto"/>
              </w:rPr>
            </w:pPr>
            <w:r>
              <w:rPr>
                <w:rFonts w:ascii="Arial" w:cs="Arial" w:eastAsia="Arial" w:hAnsi="Arial"/>
                <w:sz w:val="22"/>
                <w:szCs w:val="22"/>
                <w:color w:val="auto"/>
              </w:rPr>
              <w:t>(0.01 )</w:t>
            </w:r>
          </w:p>
        </w:tc>
        <w:tc>
          <w:tcPr>
            <w:tcW w:w="0" w:type="dxa"/>
            <w:vAlign w:val="bottom"/>
          </w:tcPr>
          <w:p>
            <w:pPr>
              <w:spacing w:after="0"/>
              <w:rPr>
                <w:sz w:val="1"/>
                <w:szCs w:val="1"/>
                <w:color w:val="auto"/>
              </w:rPr>
            </w:pPr>
          </w:p>
        </w:tc>
      </w:tr>
      <w:tr>
        <w:trPr>
          <w:trHeight w:val="251"/>
        </w:trPr>
        <w:tc>
          <w:tcPr>
            <w:tcW w:w="5700" w:type="dxa"/>
            <w:vAlign w:val="bottom"/>
          </w:tcPr>
          <w:p>
            <w:pPr>
              <w:spacing w:after="0" w:line="250" w:lineRule="exact"/>
              <w:rPr>
                <w:sz w:val="20"/>
                <w:szCs w:val="20"/>
                <w:color w:val="auto"/>
              </w:rPr>
            </w:pPr>
            <w:r>
              <w:rPr>
                <w:rFonts w:ascii="Arial" w:cs="Arial" w:eastAsia="Arial" w:hAnsi="Arial"/>
                <w:sz w:val="22"/>
                <w:szCs w:val="22"/>
                <w:color w:val="auto"/>
              </w:rPr>
              <w:t>share</w:t>
            </w:r>
          </w:p>
        </w:tc>
        <w:tc>
          <w:tcPr>
            <w:tcW w:w="140" w:type="dxa"/>
            <w:vAlign w:val="bottom"/>
            <w:vMerge w:val="continue"/>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22"/>
                <w:szCs w:val="22"/>
                <w:color w:val="auto"/>
              </w:rPr>
              <w:t>Net investment income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700" w:type="dxa"/>
            <w:vAlign w:val="bottom"/>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0.30</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0.30</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0.59</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0.59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PennantPark Investment Advisers, LLC is a leading middle market credit platform, which has approximately $3.7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Floating Rate Capital Ltd. undertakes no duty to update any forward-looking statement made</w:t>
      </w:r>
    </w:p>
    <w:p>
      <w:pPr>
        <w:sectPr>
          <w:pgSz w:w="11900" w:h="16838" w:orient="portrait"/>
          <w:cols w:equalWidth="0" w:num="1">
            <w:col w:w="11240"/>
          </w:cols>
          <w:pgMar w:left="320" w:top="118" w:right="339" w:bottom="0" w:gutter="0" w:footer="0" w:header="0"/>
        </w:sectPr>
      </w:pPr>
    </w:p>
    <w:bookmarkStart w:id="9" w:name="page10"/>
    <w:bookmarkEnd w:id="9"/>
    <w:p>
      <w:pPr>
        <w:jc w:val="both"/>
        <w:ind w:right="20"/>
        <w:spacing w:after="0" w:line="250" w:lineRule="auto"/>
        <w:rPr>
          <w:sz w:val="20"/>
          <w:szCs w:val="20"/>
          <w:color w:val="auto"/>
        </w:rPr>
      </w:pPr>
      <w:r>
        <w:rPr>
          <w:rFonts w:ascii="Arial" w:cs="Arial" w:eastAsia="Arial" w:hAnsi="Arial"/>
          <w:sz w:val="22"/>
          <w:szCs w:val="22"/>
          <w:color w:val="auto"/>
        </w:rPr>
        <w:t>herein. You should not place undue influence on such forward-looking statements as such statements speak only as of the date on which they are made.</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1"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22"/>
          <w:szCs w:val="22"/>
          <w:color w:val="auto"/>
        </w:rPr>
        <w:t>CONTACT:</w:t>
      </w:r>
      <w:r>
        <w:rPr>
          <w:sz w:val="20"/>
          <w:szCs w:val="20"/>
          <w:color w:val="auto"/>
        </w:rPr>
        <w:tab/>
      </w:r>
      <w:r>
        <w:rPr>
          <w:rFonts w:ascii="Arial" w:cs="Arial" w:eastAsia="Arial" w:hAnsi="Arial"/>
          <w:sz w:val="20"/>
          <w:szCs w:val="20"/>
          <w:color w:val="auto"/>
        </w:rPr>
        <w:t>Aviv Efrat</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PennantPark Floating Rate Capital Ltd.</w:t>
      </w:r>
    </w:p>
    <w:p>
      <w:pPr>
        <w:spacing w:after="0" w:line="17" w:lineRule="exact"/>
        <w:rPr>
          <w:sz w:val="20"/>
          <w:szCs w:val="20"/>
          <w:color w:val="auto"/>
        </w:rPr>
      </w:pPr>
    </w:p>
    <w:p>
      <w:pPr>
        <w:ind w:left="1240" w:right="8000" w:hanging="5"/>
        <w:spacing w:after="0" w:line="352" w:lineRule="auto"/>
        <w:tabs>
          <w:tab w:leader="none" w:pos="1761" w:val="left"/>
        </w:tabs>
        <w:numPr>
          <w:ilvl w:val="0"/>
          <w:numId w:val="4"/>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2020-05-11T15:24:27Z</dcterms:created>
  <dcterms:modified xsi:type="dcterms:W3CDTF">2020-05-11T15:24:27Z</dcterms:modified>
</cp:coreProperties>
</file>