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4, 2023</w:t>
      </w:r>
    </w:p>
    <w:p>
      <w:pPr>
        <w:spacing w:after="0" w:line="22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508"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1691 Michigan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(786) 297-9500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08" w:right="339" w:bottom="1440" w:gutter="0" w:footer="0" w:header="0"/>
          <w:type w:val="continuous"/>
        </w:sectPr>
      </w:pP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par value $0.001 per share</w:t>
            </w: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90"/>
              </w:rPr>
              <w:t>PFLT</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 April 4, 2023, PennantPark Floating Rate Capital Ltd. issued a press release announcing its monthly distribution. A copy of the press release is furnished as Exhibit 99.1 to this Form 8-K.</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p>
      <w:pPr>
        <w:ind w:right="9340" w:firstLine="8"/>
        <w:spacing w:after="0" w:line="261"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right="8440" w:firstLine="8"/>
        <w:spacing w:after="0" w:line="250"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right="8820" w:firstLine="8"/>
        <w:spacing w:after="0" w:line="250"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of PennantPark Floating Rate Capital Ltd. Dated April 4, 2023</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5120" w:type="dxa"/>
            <w:vAlign w:val="bottom"/>
            <w:gridSpan w:val="3"/>
          </w:tcPr>
          <w:p>
            <w:pPr>
              <w:ind w:left="202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88"/>
        </w:trPr>
        <w:tc>
          <w:tcPr>
            <w:tcW w:w="3440" w:type="dxa"/>
            <w:vAlign w:val="bottom"/>
          </w:tcPr>
          <w:p>
            <w:pPr>
              <w:spacing w:after="0"/>
              <w:rPr>
                <w:sz w:val="20"/>
                <w:szCs w:val="20"/>
                <w:color w:val="auto"/>
              </w:rPr>
            </w:pPr>
            <w:r>
              <w:rPr>
                <w:rFonts w:ascii="Arial" w:cs="Arial" w:eastAsia="Arial" w:hAnsi="Arial"/>
                <w:sz w:val="18"/>
                <w:szCs w:val="18"/>
                <w:color w:val="auto"/>
              </w:rPr>
              <w:t>Date: April 4, 2023</w:t>
            </w:r>
          </w:p>
        </w:tc>
        <w:tc>
          <w:tcPr>
            <w:tcW w:w="5120" w:type="dxa"/>
            <w:vAlign w:val="bottom"/>
            <w:gridSpan w:val="3"/>
          </w:tcPr>
          <w:p>
            <w:pPr>
              <w:ind w:left="2020"/>
              <w:spacing w:after="0"/>
              <w:rPr>
                <w:sz w:val="20"/>
                <w:szCs w:val="20"/>
                <w:color w:val="auto"/>
              </w:rPr>
            </w:pPr>
            <w:r>
              <w:rPr>
                <w:rFonts w:ascii="Arial" w:cs="Arial" w:eastAsia="Arial" w:hAnsi="Arial"/>
                <w:sz w:val="18"/>
                <w:szCs w:val="18"/>
                <w:color w:val="auto"/>
              </w:rPr>
              <w:t>By: /s/ Richard T. Allorto, Jr.</w:t>
            </w:r>
          </w:p>
        </w:tc>
      </w:tr>
      <w:tr>
        <w:trPr>
          <w:trHeight w:val="237"/>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640" w:type="dxa"/>
            <w:vAlign w:val="bottom"/>
          </w:tcPr>
          <w:p>
            <w:pPr>
              <w:spacing w:after="0"/>
              <w:rPr>
                <w:sz w:val="20"/>
                <w:szCs w:val="20"/>
                <w:color w:val="auto"/>
              </w:rPr>
            </w:pPr>
          </w:p>
        </w:tc>
      </w:tr>
      <w:tr>
        <w:trPr>
          <w:trHeight w:val="243"/>
        </w:trPr>
        <w:tc>
          <w:tcPr>
            <w:tcW w:w="34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540"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PennantPark Floating Rate Capital Ltd. Announces Monthly Distribution of $0.10 per Share</w:t>
      </w:r>
    </w:p>
    <w:p>
      <w:pPr>
        <w:spacing w:after="0" w:line="212" w:lineRule="exact"/>
        <w:rPr>
          <w:sz w:val="20"/>
          <w:szCs w:val="20"/>
          <w:color w:val="auto"/>
        </w:rPr>
      </w:pPr>
    </w:p>
    <w:p>
      <w:pPr>
        <w:ind w:right="380"/>
        <w:spacing w:after="0" w:line="282" w:lineRule="auto"/>
        <w:rPr>
          <w:sz w:val="20"/>
          <w:szCs w:val="20"/>
          <w:color w:val="auto"/>
        </w:rPr>
      </w:pPr>
      <w:r>
        <w:rPr>
          <w:rFonts w:ascii="Arial" w:cs="Arial" w:eastAsia="Arial" w:hAnsi="Arial"/>
          <w:sz w:val="19"/>
          <w:szCs w:val="19"/>
          <w:color w:val="auto"/>
        </w:rPr>
        <w:t>MIAMI, April 04, 2023 (GLOBE NEWSWIRE) -- PennantPark Floating Rate Capital Ltd. (the "Company") (NYSE: PFLT) (TASE: PFLT) declares its monthly distribution for April 2023 of $0.10 per share, payable on May 1, 2023 to stockholders of record as of April 18, 2023.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specific tax characteristics of this distribution can be found on our website www.pennantpark.com.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$6.1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T. Allorto, Jr.</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2023-04-04T15:15:31Z</dcterms:created>
  <dcterms:modified xsi:type="dcterms:W3CDTF">2023-04-04T15:15:31Z</dcterms:modified>
</cp:coreProperties>
</file>