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June 10, 2015</w:t>
      </w:r>
    </w:p>
    <w:p>
      <w:pPr>
        <w:spacing w:after="0" w:line="10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14" w:lineRule="exact"/>
        <w:rPr>
          <w:sz w:val="24"/>
          <w:szCs w:val="24"/>
          <w:color w:val="auto"/>
        </w:rPr>
      </w:pPr>
    </w:p>
    <w:p>
      <w:pPr>
        <w:spacing w:after="0"/>
        <w:rPr>
          <w:sz w:val="20"/>
          <w:szCs w:val="20"/>
          <w:color w:val="auto"/>
        </w:rPr>
      </w:pPr>
      <w:r>
        <w:rPr>
          <w:rFonts w:ascii="Arial" w:cs="Arial" w:eastAsia="Arial" w:hAnsi="Arial"/>
          <w:sz w:val="20"/>
          <w:szCs w:val="20"/>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U. 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20549-0505</w:t>
      </w:r>
    </w:p>
    <w:p>
      <w:pPr>
        <w:spacing w:after="0" w:line="86" w:lineRule="exact"/>
        <w:rPr>
          <w:sz w:val="24"/>
          <w:szCs w:val="24"/>
          <w:color w:val="auto"/>
        </w:rPr>
      </w:pPr>
    </w:p>
    <w:p>
      <w:pPr>
        <w:spacing w:after="0"/>
        <w:rPr>
          <w:sz w:val="20"/>
          <w:szCs w:val="20"/>
          <w:color w:val="auto"/>
        </w:rPr>
      </w:pPr>
      <w:r>
        <w:rPr>
          <w:rFonts w:ascii="Arial" w:cs="Arial" w:eastAsia="Arial" w:hAnsi="Arial"/>
          <w:sz w:val="20"/>
          <w:szCs w:val="20"/>
          <w:color w:val="auto"/>
        </w:rPr>
        <w:t>RE</w:t>
      </w:r>
      <w:r>
        <w:rPr>
          <w:rFonts w:ascii="Arial" w:cs="Arial" w:eastAsia="Arial" w:hAnsi="Arial"/>
          <w:sz w:val="20"/>
          <w:szCs w:val="20"/>
          <w:b w:val="1"/>
          <w:bCs w:val="1"/>
          <w:color w:val="auto"/>
        </w:rPr>
        <w:t>: PENNANTPARK FLOATING RATE CAPITAL LTD.</w:t>
      </w:r>
    </w:p>
    <w:p>
      <w:pPr>
        <w:spacing w:after="0" w:line="2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File No. 814-00891</w:t>
      </w:r>
    </w:p>
    <w:p>
      <w:pPr>
        <w:spacing w:after="0" w:line="9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08" w:lineRule="exact"/>
        <w:rPr>
          <w:sz w:val="24"/>
          <w:szCs w:val="24"/>
          <w:color w:val="auto"/>
        </w:rPr>
      </w:pPr>
    </w:p>
    <w:p>
      <w:pPr>
        <w:ind w:right="640"/>
        <w:spacing w:after="0" w:line="260" w:lineRule="auto"/>
        <w:rPr>
          <w:sz w:val="20"/>
          <w:szCs w:val="20"/>
          <w:color w:val="auto"/>
        </w:rPr>
      </w:pPr>
      <w:r>
        <w:rPr>
          <w:rFonts w:ascii="Arial" w:cs="Arial" w:eastAsia="Arial" w:hAnsi="Arial"/>
          <w:sz w:val="20"/>
          <w:szCs w:val="20"/>
          <w:color w:val="auto"/>
        </w:rPr>
        <w:t>On behalf of PennantPark Floating Rate Capital Ltd. (the “Corporation”), enclosed for filing, pursuant to Rule 17g-1 of the Investment Company Act of 1940, as amended (the “1940 Act”), are the following documents:</w:t>
      </w:r>
    </w:p>
    <w:p>
      <w:pPr>
        <w:spacing w:after="0" w:line="204" w:lineRule="exact"/>
        <w:rPr>
          <w:sz w:val="24"/>
          <w:szCs w:val="24"/>
          <w:color w:val="auto"/>
        </w:rPr>
      </w:pPr>
    </w:p>
    <w:p>
      <w:pPr>
        <w:ind w:left="1020" w:hanging="566"/>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020" w:right="20" w:hanging="566"/>
        <w:spacing w:after="0" w:line="246" w:lineRule="auto"/>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certified copy of the resolutions approved at the May 5, 2015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200" w:lineRule="exact"/>
        <w:rPr>
          <w:rFonts w:ascii="Arial" w:cs="Arial" w:eastAsia="Arial" w:hAnsi="Arial"/>
          <w:sz w:val="20"/>
          <w:szCs w:val="20"/>
          <w:color w:val="auto"/>
        </w:rPr>
      </w:pPr>
    </w:p>
    <w:p>
      <w:pPr>
        <w:spacing w:after="0" w:line="275" w:lineRule="exact"/>
        <w:rPr>
          <w:rFonts w:ascii="Arial" w:cs="Arial" w:eastAsia="Arial" w:hAnsi="Arial"/>
          <w:sz w:val="20"/>
          <w:szCs w:val="20"/>
          <w:color w:val="auto"/>
        </w:rPr>
      </w:pPr>
    </w:p>
    <w:p>
      <w:pPr>
        <w:ind w:left="1020" w:hanging="566"/>
        <w:spacing w:after="0" w:line="260" w:lineRule="auto"/>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copy of the Joint Fidelity Bond Agreement, by and among the Corporation and other joint insureds, pursuant to paragraph (f) of Rule 17g-1 (attached as Exhibit C).</w:t>
      </w:r>
    </w:p>
    <w:p>
      <w:pPr>
        <w:spacing w:after="0" w:line="285" w:lineRule="exact"/>
        <w:rPr>
          <w:sz w:val="24"/>
          <w:szCs w:val="24"/>
          <w:color w:val="auto"/>
        </w:rPr>
      </w:pPr>
    </w:p>
    <w:p>
      <w:pPr>
        <w:jc w:val="both"/>
        <w:ind w:right="280"/>
        <w:spacing w:after="0" w:line="250" w:lineRule="auto"/>
        <w:rPr>
          <w:sz w:val="20"/>
          <w:szCs w:val="20"/>
          <w:color w:val="auto"/>
        </w:rPr>
      </w:pPr>
      <w:r>
        <w:rPr>
          <w:rFonts w:ascii="Arial" w:cs="Arial" w:eastAsia="Arial" w:hAnsi="Arial"/>
          <w:sz w:val="20"/>
          <w:szCs w:val="20"/>
          <w:color w:val="auto"/>
        </w:rPr>
        <w:t>If the Corporation had not been named as a co-insured under this Joint Fidelity Bond Agreement, the Corporation would have maintained a single-insured fidelity bond in the amount of at least $750,000 as required under paragraph (d)(1) of Rule 17g-1. A premium of $4,403 was paid for the period May 31, 2015 through May 31, 2016.</w:t>
      </w:r>
    </w:p>
    <w:p>
      <w:pPr>
        <w:spacing w:after="0" w:line="78" w:lineRule="exact"/>
        <w:rPr>
          <w:sz w:val="24"/>
          <w:szCs w:val="24"/>
          <w:color w:val="auto"/>
        </w:rPr>
      </w:pPr>
    </w:p>
    <w:p>
      <w:pPr>
        <w:spacing w:after="0"/>
        <w:rPr>
          <w:sz w:val="20"/>
          <w:szCs w:val="20"/>
          <w:color w:val="auto"/>
        </w:rPr>
      </w:pPr>
      <w:r>
        <w:rPr>
          <w:rFonts w:ascii="Arial" w:cs="Arial" w:eastAsia="Arial" w:hAnsi="Arial"/>
          <w:sz w:val="20"/>
          <w:szCs w:val="20"/>
          <w:color w:val="auto"/>
        </w:rPr>
        <w:t>Please contact me at (212) 905-1000 if you have any questions.</w:t>
      </w:r>
    </w:p>
    <w:p>
      <w:pPr>
        <w:spacing w:after="0" w:line="243"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Aviv Efrat</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Chief Financial Officer and Treasurer</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PennantPark Floating Rate Capital Ltd.</w:t>
      </w:r>
    </w:p>
    <w:p>
      <w:pPr>
        <w:sectPr>
          <w:pgSz w:w="11900" w:h="16838" w:orient="portrait"/>
          <w:cols w:equalWidth="0" w:num="1">
            <w:col w:w="11320"/>
          </w:cols>
          <w:pgMar w:left="240" w:top="231"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undersigned, Thomas J. Friedmann, Secretary of PennantPark Floating Rate Capital Ltd., a Maryland corporation (the “Corporation”), does hereby certify that:</w:t>
      </w:r>
    </w:p>
    <w:p>
      <w:pPr>
        <w:spacing w:after="0" w:line="204" w:lineRule="exact"/>
        <w:rPr>
          <w:sz w:val="20"/>
          <w:szCs w:val="20"/>
          <w:color w:val="auto"/>
        </w:rPr>
      </w:pPr>
    </w:p>
    <w:p>
      <w:pPr>
        <w:ind w:left="1020" w:right="220" w:hanging="566"/>
        <w:spacing w:after="0" w:line="25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200" w:lineRule="exact"/>
        <w:rPr>
          <w:rFonts w:ascii="Arial" w:cs="Arial" w:eastAsia="Arial" w:hAnsi="Arial"/>
          <w:sz w:val="20"/>
          <w:szCs w:val="20"/>
          <w:color w:val="auto"/>
        </w:rPr>
      </w:pPr>
    </w:p>
    <w:p>
      <w:pPr>
        <w:spacing w:after="0" w:line="269" w:lineRule="exact"/>
        <w:rPr>
          <w:rFonts w:ascii="Arial" w:cs="Arial" w:eastAsia="Arial" w:hAnsi="Arial"/>
          <w:sz w:val="20"/>
          <w:szCs w:val="20"/>
          <w:color w:val="auto"/>
        </w:rPr>
      </w:pPr>
    </w:p>
    <w:p>
      <w:pPr>
        <w:ind w:left="1020" w:right="100" w:hanging="566"/>
        <w:spacing w:after="0" w:line="26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undersigned is the duly elected, qualified and acting Secretary of the Corporation, and has custody of the corporate records of the Corporation and is a proper officer to make this certification.</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ind w:left="1020" w:right="200" w:hanging="566"/>
        <w:spacing w:after="0" w:line="26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Attached hereto as Exhibit B is a certified copy of the resolutions approved by a majority of the directors who are not “interested persons” of the Corporation, approving the amount, type, form and coverage of the Bond.</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ind w:left="1020" w:hanging="566"/>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Premiums have been paid for the period May 31, 2015 to May 31, 2016.</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certificate to be executed this 10</w:t>
      </w:r>
      <w:r>
        <w:rPr>
          <w:rFonts w:ascii="Arial" w:cs="Arial" w:eastAsia="Arial" w:hAnsi="Arial"/>
          <w:sz w:val="16"/>
          <w:szCs w:val="16"/>
          <w:color w:val="auto"/>
        </w:rPr>
        <w:t>th</w:t>
      </w:r>
      <w:r>
        <w:rPr>
          <w:rFonts w:ascii="Arial" w:cs="Arial" w:eastAsia="Arial" w:hAnsi="Arial"/>
          <w:sz w:val="20"/>
          <w:szCs w:val="20"/>
          <w:color w:val="auto"/>
        </w:rPr>
        <w:t xml:space="preserve"> day of June, 2015.</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Thomas J. Friedmann</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265" w:right="239" w:bottom="1440" w:gutter="0" w:footer="0" w:header="0"/>
        </w:sectPr>
      </w:pPr>
    </w:p>
    <w:bookmarkStart w:id="2" w:name="page3"/>
    <w:bookmarkEnd w:id="2"/>
    <w:p>
      <w:pPr>
        <w:ind w:left="104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66215"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6215" cy="334645"/>
                    </a:xfrm>
                    <a:prstGeom prst="rect">
                      <a:avLst/>
                    </a:prstGeom>
                    <a:noFill/>
                  </pic:spPr>
                </pic:pic>
              </a:graphicData>
            </a:graphic>
          </wp:anchor>
        </w:drawing>
        <w:t>Exhibit 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INVESTMENT COMPANY BLANKET BOND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 Paul Fire and Marine Insurance Company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Minnesota 55102-1396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Underwriter)</w:t>
      </w:r>
    </w:p>
    <w:p>
      <w:pPr>
        <w:spacing w:after="0" w:line="71" w:lineRule="exact"/>
        <w:rPr>
          <w:sz w:val="20"/>
          <w:szCs w:val="20"/>
          <w:color w:val="auto"/>
        </w:rPr>
      </w:pPr>
    </w:p>
    <w:p>
      <w:pPr>
        <w:spacing w:after="0"/>
        <w:tabs>
          <w:tab w:leader="none" w:pos="7260" w:val="left"/>
          <w:tab w:leader="none" w:pos="8360" w:val="left"/>
        </w:tabs>
        <w:rPr>
          <w:sz w:val="20"/>
          <w:szCs w:val="20"/>
          <w:color w:val="auto"/>
        </w:rPr>
      </w:pPr>
      <w:r>
        <w:rPr>
          <w:rFonts w:ascii="Arial" w:cs="Arial" w:eastAsia="Arial" w:hAnsi="Arial"/>
          <w:sz w:val="19"/>
          <w:szCs w:val="19"/>
          <w:b w:val="1"/>
          <w:bCs w:val="1"/>
          <w:color w:val="auto"/>
        </w:rPr>
        <w:t>DECLARATIONS</w:t>
      </w:r>
      <w:r>
        <w:rPr>
          <w:sz w:val="20"/>
          <w:szCs w:val="20"/>
          <w:color w:val="auto"/>
        </w:rPr>
        <w:tab/>
      </w:r>
      <w:r>
        <w:rPr>
          <w:rFonts w:ascii="Arial" w:cs="Arial" w:eastAsia="Arial" w:hAnsi="Arial"/>
          <w:sz w:val="19"/>
          <w:szCs w:val="19"/>
          <w:b w:val="1"/>
          <w:bCs w:val="1"/>
          <w:color w:val="auto"/>
        </w:rPr>
        <w:t>BOND NO.</w:t>
      </w:r>
      <w:r>
        <w:rPr>
          <w:sz w:val="20"/>
          <w:szCs w:val="20"/>
          <w:color w:val="auto"/>
        </w:rPr>
        <w:tab/>
      </w:r>
      <w:r>
        <w:rPr>
          <w:rFonts w:ascii="Arial" w:cs="Arial" w:eastAsia="Arial" w:hAnsi="Arial"/>
          <w:sz w:val="17"/>
          <w:szCs w:val="17"/>
          <w:color w:val="auto"/>
        </w:rPr>
        <w:t>ZBN-41M30652-15-N2</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Name of Insured (herein called Insured):</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PennantPark Investment Corporation</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Principal Address:</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21"/>
          <w:szCs w:val="21"/>
          <w:color w:val="auto"/>
        </w:rPr>
        <w:t>590 Madison Avenue, 15th Floor</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ind w:left="1140" w:right="780" w:hanging="1133"/>
        <w:spacing w:after="0" w:line="328" w:lineRule="auto"/>
        <w:tabs>
          <w:tab w:leader="none" w:pos="112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Bond Period from 12:01 a.m. on 05/31/15 to 12:01 a.m. on 05/31/2016 the effective date of the termination or cancellation of the bond, standard time at the Principal Address as to each of said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Item 3.</w:t>
            </w:r>
          </w:p>
        </w:tc>
        <w:tc>
          <w:tcPr>
            <w:tcW w:w="6000" w:type="dxa"/>
            <w:vAlign w:val="bottom"/>
          </w:tcPr>
          <w:p>
            <w:pPr>
              <w:ind w:left="260"/>
              <w:spacing w:after="0"/>
              <w:rPr>
                <w:sz w:val="20"/>
                <w:szCs w:val="20"/>
                <w:color w:val="auto"/>
              </w:rPr>
            </w:pPr>
            <w:r>
              <w:rPr>
                <w:rFonts w:ascii="Arial" w:cs="Arial" w:eastAsia="Arial" w:hAnsi="Arial"/>
                <w:sz w:val="22"/>
                <w:szCs w:val="22"/>
                <w:color w:val="auto"/>
              </w:rPr>
              <w:t>Limit of Liability</w:t>
            </w:r>
          </w:p>
        </w:tc>
        <w:tc>
          <w:tcPr>
            <w:tcW w:w="3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5"/>
        </w:trPr>
        <w:tc>
          <w:tcPr>
            <w:tcW w:w="880" w:type="dxa"/>
            <w:vAlign w:val="bottom"/>
          </w:tcPr>
          <w:p>
            <w:pPr>
              <w:spacing w:after="0"/>
              <w:rPr>
                <w:sz w:val="23"/>
                <w:szCs w:val="23"/>
                <w:color w:val="auto"/>
              </w:rPr>
            </w:pPr>
          </w:p>
        </w:tc>
        <w:tc>
          <w:tcPr>
            <w:tcW w:w="6000" w:type="dxa"/>
            <w:vAlign w:val="bottom"/>
          </w:tcPr>
          <w:p>
            <w:pPr>
              <w:ind w:left="260"/>
              <w:spacing w:after="0"/>
              <w:rPr>
                <w:sz w:val="20"/>
                <w:szCs w:val="20"/>
                <w:color w:val="auto"/>
              </w:rPr>
            </w:pPr>
            <w:r>
              <w:rPr>
                <w:rFonts w:ascii="Arial" w:cs="Arial" w:eastAsia="Arial" w:hAnsi="Arial"/>
                <w:sz w:val="22"/>
                <w:szCs w:val="22"/>
                <w:color w:val="auto"/>
              </w:rPr>
              <w:t>Subject to Sections 9, 10, and 12 hereof:</w:t>
            </w:r>
          </w:p>
        </w:tc>
        <w:tc>
          <w:tcPr>
            <w:tcW w:w="3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13"/>
        </w:trPr>
        <w:tc>
          <w:tcPr>
            <w:tcW w:w="8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91"/>
              </w:rPr>
              <w:t>Deductible</w:t>
            </w:r>
          </w:p>
        </w:tc>
      </w:tr>
      <w:tr>
        <w:trPr>
          <w:trHeight w:val="230"/>
        </w:trPr>
        <w:tc>
          <w:tcPr>
            <w:tcW w:w="8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520" w:type="dxa"/>
            <w:vAlign w:val="bottom"/>
          </w:tcPr>
          <w:p>
            <w:pPr>
              <w:ind w:left="2040"/>
              <w:spacing w:after="0"/>
              <w:rPr>
                <w:sz w:val="20"/>
                <w:szCs w:val="20"/>
                <w:color w:val="auto"/>
              </w:rPr>
            </w:pPr>
            <w:r>
              <w:rPr>
                <w:rFonts w:ascii="Arial" w:cs="Arial" w:eastAsia="Arial" w:hAnsi="Arial"/>
                <w:sz w:val="18"/>
                <w:szCs w:val="18"/>
                <w:color w:val="auto"/>
              </w:rPr>
              <w:t>Limit of Liability</w:t>
            </w:r>
          </w:p>
        </w:tc>
        <w:tc>
          <w:tcPr>
            <w:tcW w:w="1020" w:type="dxa"/>
            <w:vAlign w:val="bottom"/>
          </w:tcPr>
          <w:p>
            <w:pPr>
              <w:ind w:left="320"/>
              <w:spacing w:after="0"/>
              <w:rPr>
                <w:sz w:val="20"/>
                <w:szCs w:val="20"/>
                <w:color w:val="auto"/>
              </w:rPr>
            </w:pPr>
            <w:r>
              <w:rPr>
                <w:rFonts w:ascii="Arial" w:cs="Arial" w:eastAsia="Arial" w:hAnsi="Arial"/>
                <w:sz w:val="18"/>
                <w:szCs w:val="18"/>
                <w:color w:val="auto"/>
              </w:rPr>
              <w:t>Amount</w:t>
            </w:r>
          </w:p>
        </w:tc>
      </w:tr>
      <w:tr>
        <w:trPr>
          <w:trHeight w:val="243"/>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A - FIDELITY</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gridSpan w:val="2"/>
          </w:tcPr>
          <w:p>
            <w:pPr>
              <w:spacing w:after="0"/>
              <w:rPr>
                <w:sz w:val="20"/>
                <w:szCs w:val="20"/>
                <w:color w:val="auto"/>
              </w:rPr>
            </w:pPr>
            <w:r>
              <w:rPr>
                <w:rFonts w:ascii="Arial" w:cs="Arial" w:eastAsia="Arial" w:hAnsi="Arial"/>
                <w:sz w:val="18"/>
                <w:szCs w:val="18"/>
                <w:color w:val="auto"/>
              </w:rPr>
              <w:t>Insuring Agreement B - AUDIT EXPENSE</w:t>
            </w:r>
          </w:p>
        </w:tc>
        <w:tc>
          <w:tcPr>
            <w:tcW w:w="3520" w:type="dxa"/>
            <w:vAlign w:val="bottom"/>
          </w:tcPr>
          <w:p>
            <w:pPr>
              <w:ind w:left="2040"/>
              <w:spacing w:after="0"/>
              <w:rPr>
                <w:sz w:val="20"/>
                <w:szCs w:val="20"/>
                <w:color w:val="auto"/>
              </w:rPr>
            </w:pPr>
            <w:r>
              <w:rPr>
                <w:rFonts w:ascii="Arial" w:cs="Arial" w:eastAsia="Arial" w:hAnsi="Arial"/>
                <w:sz w:val="21"/>
                <w:szCs w:val="21"/>
                <w:color w:val="auto"/>
              </w:rPr>
              <w:t>$50,000</w:t>
            </w:r>
          </w:p>
        </w:tc>
        <w:tc>
          <w:tcPr>
            <w:tcW w:w="1020" w:type="dxa"/>
            <w:vAlign w:val="bottom"/>
          </w:tcPr>
          <w:p>
            <w:pPr>
              <w:ind w:left="220"/>
              <w:spacing w:after="0"/>
              <w:rPr>
                <w:sz w:val="20"/>
                <w:szCs w:val="20"/>
                <w:color w:val="auto"/>
              </w:rPr>
            </w:pPr>
            <w:r>
              <w:rPr>
                <w:rFonts w:ascii="Arial" w:cs="Arial" w:eastAsia="Arial" w:hAnsi="Arial"/>
                <w:sz w:val="21"/>
                <w:szCs w:val="21"/>
                <w:color w:val="auto"/>
              </w:rPr>
              <w:t>$5,000</w:t>
            </w:r>
          </w:p>
        </w:tc>
      </w:tr>
      <w:tr>
        <w:trPr>
          <w:trHeight w:val="243"/>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C - PREMISES</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gridSpan w:val="2"/>
          </w:tcPr>
          <w:p>
            <w:pPr>
              <w:spacing w:after="0"/>
              <w:rPr>
                <w:sz w:val="20"/>
                <w:szCs w:val="20"/>
                <w:color w:val="auto"/>
              </w:rPr>
            </w:pPr>
            <w:r>
              <w:rPr>
                <w:rFonts w:ascii="Arial" w:cs="Arial" w:eastAsia="Arial" w:hAnsi="Arial"/>
                <w:sz w:val="18"/>
                <w:szCs w:val="18"/>
                <w:color w:val="auto"/>
              </w:rPr>
              <w:t>Insuring Agreement D - TRANSIT</w:t>
            </w:r>
          </w:p>
        </w:tc>
        <w:tc>
          <w:tcPr>
            <w:tcW w:w="3520" w:type="dxa"/>
            <w:vAlign w:val="bottom"/>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E - FORGERY OR ALTERATION</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gridSpan w:val="2"/>
          </w:tcPr>
          <w:p>
            <w:pPr>
              <w:spacing w:after="0"/>
              <w:rPr>
                <w:sz w:val="20"/>
                <w:szCs w:val="20"/>
                <w:color w:val="auto"/>
              </w:rPr>
            </w:pPr>
            <w:r>
              <w:rPr>
                <w:rFonts w:ascii="Arial" w:cs="Arial" w:eastAsia="Arial" w:hAnsi="Arial"/>
                <w:sz w:val="18"/>
                <w:szCs w:val="18"/>
                <w:color w:val="auto"/>
              </w:rPr>
              <w:t>Insuring Agreement F - SECURITIES</w:t>
            </w:r>
          </w:p>
        </w:tc>
        <w:tc>
          <w:tcPr>
            <w:tcW w:w="3520" w:type="dxa"/>
            <w:vAlign w:val="bottom"/>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G - COUNTERFEIT CURRENCY</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gridSpan w:val="2"/>
          </w:tcPr>
          <w:p>
            <w:pPr>
              <w:spacing w:after="0"/>
              <w:rPr>
                <w:sz w:val="20"/>
                <w:szCs w:val="20"/>
                <w:color w:val="auto"/>
              </w:rPr>
            </w:pPr>
            <w:r>
              <w:rPr>
                <w:rFonts w:ascii="Arial" w:cs="Arial" w:eastAsia="Arial" w:hAnsi="Arial"/>
                <w:sz w:val="18"/>
                <w:szCs w:val="18"/>
                <w:color w:val="auto"/>
              </w:rPr>
              <w:t>Insuring Agreement H - STOP PAYMENT</w:t>
            </w:r>
          </w:p>
        </w:tc>
        <w:tc>
          <w:tcPr>
            <w:tcW w:w="3520" w:type="dxa"/>
            <w:vAlign w:val="bottom"/>
          </w:tcPr>
          <w:p>
            <w:pPr>
              <w:ind w:left="2040"/>
              <w:spacing w:after="0"/>
              <w:rPr>
                <w:sz w:val="20"/>
                <w:szCs w:val="20"/>
                <w:color w:val="auto"/>
              </w:rPr>
            </w:pPr>
            <w:r>
              <w:rPr>
                <w:rFonts w:ascii="Arial" w:cs="Arial" w:eastAsia="Arial" w:hAnsi="Arial"/>
                <w:sz w:val="21"/>
                <w:szCs w:val="21"/>
                <w:color w:val="auto"/>
              </w:rPr>
              <w:t>$50,000</w:t>
            </w:r>
          </w:p>
        </w:tc>
        <w:tc>
          <w:tcPr>
            <w:tcW w:w="1020" w:type="dxa"/>
            <w:vAlign w:val="bottom"/>
          </w:tcPr>
          <w:p>
            <w:pPr>
              <w:ind w:left="220"/>
              <w:spacing w:after="0"/>
              <w:rPr>
                <w:sz w:val="20"/>
                <w:szCs w:val="20"/>
                <w:color w:val="auto"/>
              </w:rPr>
            </w:pPr>
            <w:r>
              <w:rPr>
                <w:rFonts w:ascii="Arial" w:cs="Arial" w:eastAsia="Arial" w:hAnsi="Arial"/>
                <w:sz w:val="21"/>
                <w:szCs w:val="21"/>
                <w:color w:val="auto"/>
              </w:rPr>
              <w:t>$5,000</w:t>
            </w:r>
          </w:p>
        </w:tc>
      </w:tr>
      <w:tr>
        <w:trPr>
          <w:trHeight w:val="243"/>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I - UNCOLLECTIBLE ITEMS OF DEPOSIT</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$5,000</w:t>
            </w:r>
          </w:p>
        </w:tc>
      </w:tr>
      <w:tr>
        <w:trPr>
          <w:trHeight w:val="351"/>
        </w:trPr>
        <w:tc>
          <w:tcPr>
            <w:tcW w:w="6880" w:type="dxa"/>
            <w:vAlign w:val="bottom"/>
            <w:gridSpan w:val="2"/>
          </w:tcPr>
          <w:p>
            <w:pPr>
              <w:ind w:left="120"/>
              <w:spacing w:after="0"/>
              <w:rPr>
                <w:sz w:val="20"/>
                <w:szCs w:val="20"/>
                <w:color w:val="auto"/>
              </w:rPr>
            </w:pPr>
            <w:r>
              <w:rPr>
                <w:rFonts w:ascii="Arial" w:cs="Arial" w:eastAsia="Arial" w:hAnsi="Arial"/>
                <w:sz w:val="22"/>
                <w:szCs w:val="22"/>
                <w:color w:val="auto"/>
              </w:rPr>
              <w:t>OPTIONAL COVERAGES ADDED BY RIDER:</w:t>
            </w:r>
          </w:p>
        </w:tc>
        <w:tc>
          <w:tcPr>
            <w:tcW w:w="3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6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Insuring Agreement J - Unauthorized Signatures</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$5,000</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jc w:val="both"/>
        <w:ind w:left="1140" w:right="20" w:hanging="1133"/>
        <w:spacing w:after="0" w:line="297" w:lineRule="auto"/>
        <w:tabs>
          <w:tab w:leader="none" w:pos="11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Offices or Premises Covered - 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N/A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ICB001 Rev. 7/04</w:t>
      </w:r>
    </w:p>
    <w:p>
      <w:pPr>
        <w:spacing w:after="0" w:line="2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402" w:right="2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9"/>
          <w:szCs w:val="19"/>
          <w:color w:val="auto"/>
        </w:rPr>
        <w:t>The liability of the Underwriter is subject to the terms of the following endorsements or riders attached hereto:</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Endorsements or Riders No. 1 through</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21"/>
          <w:szCs w:val="21"/>
          <w:color w:val="auto"/>
        </w:rPr>
        <w:t>ICB010 - Ed. 07-04, ICB012 - Ed. 07-04, ICB016 - Ed. 07-04,</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ICB026 - Ed. 07-04, ICB030 - Ed. 07-04, ICB057 - Ed. 08-13,</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21"/>
          <w:szCs w:val="21"/>
          <w:color w:val="auto"/>
        </w:rPr>
        <w:t>MEL4734 - Ed. 11-06, MEL7428 - Ed. 04-10, MEL9188 - Ed. 11-14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26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The Insured by the acceptance of this bond gives notice to the Underwriter terminating or canceling prior bonds or</w:t>
      </w:r>
    </w:p>
    <w:p>
      <w:pPr>
        <w:spacing w:after="0" w:line="33"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policy(ies) No.(s)</w:t>
      </w:r>
      <w:r>
        <w:rPr>
          <w:sz w:val="20"/>
          <w:szCs w:val="20"/>
          <w:color w:val="auto"/>
        </w:rPr>
        <w:tab/>
      </w:r>
      <w:r>
        <w:rPr>
          <w:rFonts w:ascii="Arial" w:cs="Arial" w:eastAsia="Arial" w:hAnsi="Arial"/>
          <w:sz w:val="22"/>
          <w:szCs w:val="22"/>
          <w:color w:val="auto"/>
        </w:rPr>
        <w:t>N/A</w:t>
      </w:r>
    </w:p>
    <w:p>
      <w:pPr>
        <w:spacing w:after="0"/>
        <w:rPr>
          <w:sz w:val="20"/>
          <w:szCs w:val="20"/>
          <w:color w:val="auto"/>
        </w:rPr>
      </w:pPr>
      <w:r>
        <w:rPr>
          <w:rFonts w:ascii="Arial" w:cs="Arial" w:eastAsia="Arial" w:hAnsi="Arial"/>
          <w:sz w:val="22"/>
          <w:szCs w:val="22"/>
          <w:color w:val="auto"/>
        </w:rPr>
        <w:t>such termination or cancellation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107315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620" w:space="520"/>
            <w:col w:w="9900"/>
          </w:cols>
          <w:pgMar w:left="240" w:top="267" w:right="619" w:bottom="1440" w:gutter="0" w:footer="0" w:header="0"/>
          <w:type w:val="continuous"/>
        </w:sectPr>
      </w:pPr>
    </w:p>
    <w:p>
      <w:pPr>
        <w:spacing w:after="0"/>
        <w:rPr>
          <w:sz w:val="20"/>
          <w:szCs w:val="20"/>
          <w:color w:val="auto"/>
        </w:rPr>
      </w:pPr>
      <w:r>
        <w:rPr>
          <w:rFonts w:ascii="Arial" w:cs="Arial" w:eastAsia="Arial" w:hAnsi="Arial"/>
          <w:sz w:val="12"/>
          <w:szCs w:val="12"/>
          <w:color w:val="auto"/>
        </w:rPr>
        <w:t>IN WITNESS WHEREOF, the Company has caused this bond to be signed by its President and Secretary and countersigned by a duly authorized representative of the Company.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40" w:type="dxa"/>
            <w:vAlign w:val="bottom"/>
          </w:tcPr>
          <w:p>
            <w:pPr>
              <w:spacing w:after="0"/>
              <w:rPr>
                <w:sz w:val="20"/>
                <w:szCs w:val="20"/>
                <w:color w:val="auto"/>
              </w:rPr>
            </w:pPr>
            <w:r>
              <w:rPr>
                <w:rFonts w:ascii="Arial" w:cs="Arial" w:eastAsia="Arial" w:hAnsi="Arial"/>
                <w:sz w:val="14"/>
                <w:szCs w:val="14"/>
                <w:b w:val="1"/>
                <w:bCs w:val="1"/>
                <w:color w:val="auto"/>
              </w:rPr>
              <w:t>Countersigned:</w:t>
            </w:r>
          </w:p>
        </w:tc>
        <w:tc>
          <w:tcPr>
            <w:tcW w:w="22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w w:val="98"/>
              </w:rPr>
              <w:t>ST. PAUL FIRE AND MARINE INSURANCE COMPANY</w:t>
            </w:r>
          </w:p>
        </w:tc>
      </w:tr>
      <w:tr>
        <w:trPr>
          <w:trHeight w:val="432"/>
        </w:trPr>
        <w:tc>
          <w:tcPr>
            <w:tcW w:w="2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265"/>
        </w:trPr>
        <w:tc>
          <w:tcPr>
            <w:tcW w:w="2740" w:type="dxa"/>
            <w:vAlign w:val="bottom"/>
          </w:tcPr>
          <w:p>
            <w:pPr>
              <w:spacing w:after="0"/>
              <w:rPr>
                <w:sz w:val="20"/>
                <w:szCs w:val="20"/>
                <w:color w:val="auto"/>
              </w:rPr>
            </w:pPr>
            <w:r>
              <w:rPr>
                <w:rFonts w:ascii="Arial" w:cs="Arial" w:eastAsia="Arial" w:hAnsi="Arial"/>
                <w:sz w:val="14"/>
                <w:szCs w:val="14"/>
                <w:color w:val="auto"/>
              </w:rPr>
              <w:t>Authorized Representative</w:t>
            </w:r>
          </w:p>
        </w:tc>
        <w:tc>
          <w:tcPr>
            <w:tcW w:w="6960" w:type="dxa"/>
            <w:vAlign w:val="bottom"/>
            <w:gridSpan w:val="2"/>
          </w:tcPr>
          <w:p>
            <w:pPr>
              <w:ind w:left="1180"/>
              <w:spacing w:after="0"/>
              <w:rPr>
                <w:sz w:val="20"/>
                <w:szCs w:val="20"/>
                <w:color w:val="auto"/>
              </w:rPr>
            </w:pPr>
            <w:r>
              <w:rPr>
                <w:rFonts w:ascii="Arial" w:cs="Arial" w:eastAsia="Arial" w:hAnsi="Arial"/>
                <w:sz w:val="14"/>
                <w:szCs w:val="14"/>
                <w:color w:val="auto"/>
              </w:rPr>
              <w:t>Countersigned At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-317500</wp:posOffset>
            </wp:positionV>
            <wp:extent cx="3447415"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47415" cy="3771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Countersignature Date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ICB001 Rev. 7/04</w:t>
      </w:r>
    </w:p>
    <w:p>
      <w:pPr>
        <w:spacing w:after="0" w:line="2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040"/>
          </w:cols>
          <w:pgMar w:left="240" w:top="267" w:right="61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BLANKET BOND</w:t>
      </w: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INSURING AGREEMENTS</w:t>
      </w:r>
    </w:p>
    <w:p>
      <w:pPr>
        <w:sectPr>
          <w:pgSz w:w="11900" w:h="16838" w:orient="portrait"/>
          <w:cols w:equalWidth="0" w:num="1">
            <w:col w:w="11420"/>
          </w:cols>
          <w:pgMar w:left="240" w:top="261" w:right="239" w:bottom="1440" w:gutter="0" w:footer="0" w:header="0"/>
        </w:sectPr>
      </w:pPr>
    </w:p>
    <w:p>
      <w:pPr>
        <w:spacing w:after="0" w:line="300"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FIDELITY</w:t>
      </w:r>
    </w:p>
    <w:p>
      <w:pPr>
        <w:spacing w:after="0" w:line="117" w:lineRule="exact"/>
        <w:rPr>
          <w:rFonts w:ascii="Arial" w:cs="Arial" w:eastAsia="Arial" w:hAnsi="Arial"/>
          <w:sz w:val="18"/>
          <w:szCs w:val="18"/>
          <w:color w:val="auto"/>
        </w:rPr>
      </w:pPr>
    </w:p>
    <w:p>
      <w:pPr>
        <w:jc w:val="both"/>
        <w:ind w:left="360"/>
        <w:spacing w:after="0" w:line="272" w:lineRule="auto"/>
        <w:rPr>
          <w:rFonts w:ascii="Arial" w:cs="Arial" w:eastAsia="Arial" w:hAnsi="Arial"/>
          <w:sz w:val="18"/>
          <w:szCs w:val="18"/>
          <w:color w:val="auto"/>
        </w:rPr>
      </w:pPr>
      <w:r>
        <w:rPr>
          <w:rFonts w:ascii="Arial" w:cs="Arial" w:eastAsia="Arial" w:hAnsi="Arial"/>
          <w:sz w:val="17"/>
          <w:szCs w:val="17"/>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69" w:lineRule="exact"/>
        <w:rPr>
          <w:rFonts w:ascii="Arial" w:cs="Arial" w:eastAsia="Arial" w:hAnsi="Arial"/>
          <w:sz w:val="18"/>
          <w:szCs w:val="18"/>
          <w:color w:val="auto"/>
        </w:rPr>
      </w:pPr>
    </w:p>
    <w:p>
      <w:pPr>
        <w:jc w:val="both"/>
        <w:ind w:left="360"/>
        <w:spacing w:after="0" w:line="264" w:lineRule="auto"/>
        <w:rPr>
          <w:rFonts w:ascii="Arial" w:cs="Arial" w:eastAsia="Arial" w:hAnsi="Arial"/>
          <w:sz w:val="18"/>
          <w:szCs w:val="18"/>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86" w:lineRule="exact"/>
        <w:rPr>
          <w:rFonts w:ascii="Arial" w:cs="Arial" w:eastAsia="Arial" w:hAnsi="Arial"/>
          <w:sz w:val="18"/>
          <w:szCs w:val="18"/>
          <w:color w:val="auto"/>
        </w:rPr>
      </w:pPr>
    </w:p>
    <w:p>
      <w:pPr>
        <w:ind w:left="740" w:hanging="367"/>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jc w:val="both"/>
        <w:ind w:left="740" w:hanging="367"/>
        <w:spacing w:after="0" w:line="297" w:lineRule="auto"/>
        <w:tabs>
          <w:tab w:leader="none" w:pos="7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63"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117" w:lineRule="exact"/>
        <w:rPr>
          <w:rFonts w:ascii="Arial" w:cs="Arial" w:eastAsia="Arial" w:hAnsi="Arial"/>
          <w:sz w:val="18"/>
          <w:szCs w:val="18"/>
          <w:color w:val="auto"/>
        </w:rPr>
      </w:pPr>
    </w:p>
    <w:p>
      <w:pPr>
        <w:jc w:val="both"/>
        <w:ind w:left="360"/>
        <w:spacing w:after="0" w:line="286" w:lineRule="auto"/>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 examinations required by any governmental regulatory authority to be conducted 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 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and the liability under this paragraph shall be in addition to the Limit of Liability stated in Insuring Agreement (A) in Item 3 of the Declarations.</w:t>
      </w:r>
    </w:p>
    <w:p>
      <w:pPr>
        <w:spacing w:after="0" w:line="87" w:lineRule="exact"/>
        <w:rPr>
          <w:sz w:val="20"/>
          <w:szCs w:val="20"/>
          <w:color w:val="auto"/>
        </w:rPr>
      </w:pPr>
    </w:p>
    <w:p>
      <w:pPr>
        <w:ind w:left="680" w:hanging="3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PREMISES</w:t>
      </w:r>
    </w:p>
    <w:p>
      <w:pPr>
        <w:spacing w:after="0" w:line="117" w:lineRule="exact"/>
        <w:rPr>
          <w:rFonts w:ascii="Arial" w:cs="Arial" w:eastAsia="Arial" w:hAnsi="Arial"/>
          <w:sz w:val="18"/>
          <w:szCs w:val="18"/>
          <w:color w:val="auto"/>
        </w:rPr>
      </w:pPr>
    </w:p>
    <w:p>
      <w:pPr>
        <w:jc w:val="both"/>
        <w:ind w:left="660" w:right="120"/>
        <w:spacing w:after="0" w:line="287" w:lineRule="auto"/>
        <w:rPr>
          <w:rFonts w:ascii="Arial" w:cs="Arial" w:eastAsia="Arial" w:hAnsi="Arial"/>
          <w:sz w:val="18"/>
          <w:szCs w:val="18"/>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Office and Equipment</w:t>
      </w:r>
    </w:p>
    <w:p>
      <w:pPr>
        <w:spacing w:after="0" w:line="131" w:lineRule="exact"/>
        <w:rPr>
          <w:sz w:val="20"/>
          <w:szCs w:val="20"/>
          <w:color w:val="auto"/>
        </w:rPr>
      </w:pPr>
    </w:p>
    <w:p>
      <w:pPr>
        <w:jc w:val="both"/>
        <w:ind w:left="1040" w:right="120" w:hanging="368"/>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93" w:lineRule="exact"/>
        <w:rPr>
          <w:rFonts w:ascii="Arial" w:cs="Arial" w:eastAsia="Arial" w:hAnsi="Arial"/>
          <w:sz w:val="18"/>
          <w:szCs w:val="18"/>
          <w:color w:val="auto"/>
        </w:rPr>
      </w:pPr>
    </w:p>
    <w:p>
      <w:pPr>
        <w:jc w:val="both"/>
        <w:ind w:left="1040" w:right="120" w:hanging="368"/>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 of 12</w:t>
      </w:r>
    </w:p>
    <w:p>
      <w:pPr>
        <w:sectPr>
          <w:pgSz w:w="11900" w:h="16838" w:orient="portrait"/>
          <w:cols w:equalWidth="0" w:num="2">
            <w:col w:w="5480" w:space="40"/>
            <w:col w:w="5900"/>
          </w:cols>
          <w:pgMar w:left="240" w:top="261" w:right="239" w:bottom="1440" w:gutter="0" w:footer="0" w:header="0"/>
          <w:type w:val="continuous"/>
        </w:sectPr>
      </w:pPr>
    </w:p>
    <w:bookmarkStart w:id="5" w:name="page6"/>
    <w:bookmarkEnd w:id="5"/>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TRANSIT</w:t>
      </w:r>
    </w:p>
    <w:p>
      <w:pPr>
        <w:spacing w:after="0" w:line="117" w:lineRule="exact"/>
        <w:rPr>
          <w:rFonts w:ascii="Arial" w:cs="Arial" w:eastAsia="Arial" w:hAnsi="Arial"/>
          <w:sz w:val="18"/>
          <w:szCs w:val="18"/>
          <w:color w:val="auto"/>
        </w:rPr>
      </w:pPr>
    </w:p>
    <w:p>
      <w:pPr>
        <w:jc w:val="both"/>
        <w:ind w:left="360"/>
        <w:spacing w:after="0" w:line="269" w:lineRule="auto"/>
        <w:rPr>
          <w:rFonts w:ascii="Arial" w:cs="Arial" w:eastAsia="Arial" w:hAnsi="Arial"/>
          <w:sz w:val="18"/>
          <w:szCs w:val="18"/>
          <w:color w:val="auto"/>
        </w:rPr>
      </w:pPr>
      <w:r>
        <w:rPr>
          <w:rFonts w:ascii="Arial" w:cs="Arial" w:eastAsia="Arial" w:hAnsi="Arial"/>
          <w:sz w:val="17"/>
          <w:szCs w:val="17"/>
          <w:color w:val="auto"/>
        </w:rPr>
        <w:t>Loss of Property (occurring with or without negligence or violence) 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85"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FORGERY OR ALTERATION</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Loss through Forgery or alteration of or on:</w:t>
      </w:r>
    </w:p>
    <w:p>
      <w:pPr>
        <w:spacing w:after="0" w:line="130" w:lineRule="exact"/>
        <w:rPr>
          <w:rFonts w:ascii="Arial" w:cs="Arial" w:eastAsia="Arial" w:hAnsi="Arial"/>
          <w:sz w:val="18"/>
          <w:szCs w:val="18"/>
          <w:color w:val="auto"/>
        </w:rPr>
      </w:pPr>
    </w:p>
    <w:p>
      <w:pPr>
        <w:jc w:val="both"/>
        <w:ind w:left="740" w:hanging="367"/>
        <w:spacing w:after="0" w:line="302" w:lineRule="auto"/>
        <w:tabs>
          <w:tab w:leader="none" w:pos="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bills of exchange, checks, drafts, acceptances, certificates of deposit, promissory notes, or other written promises, orders or directions to pay sums certain in money, due bills, money orders, warrants, orders upon public treasuries, letters of credit; or</w:t>
      </w:r>
    </w:p>
    <w:p>
      <w:pPr>
        <w:spacing w:after="0" w:line="59" w:lineRule="exact"/>
        <w:rPr>
          <w:rFonts w:ascii="Arial" w:cs="Arial" w:eastAsia="Arial" w:hAnsi="Arial"/>
          <w:sz w:val="16"/>
          <w:szCs w:val="16"/>
          <w:color w:val="auto"/>
        </w:rPr>
      </w:pPr>
    </w:p>
    <w:p>
      <w:pPr>
        <w:jc w:val="both"/>
        <w:ind w:left="740" w:hanging="367"/>
        <w:spacing w:after="0" w:line="257" w:lineRule="auto"/>
        <w:tabs>
          <w:tab w:leader="none" w:pos="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written instructions, advices or applications directed to the Insured, authorizing or acknowledging the transfer, payment, delivery or receipt of funds or Property, which instructions, advices or applications purport to have been signed or endorsed by any:</w:t>
      </w:r>
    </w:p>
    <w:p>
      <w:pPr>
        <w:spacing w:after="0" w:line="93" w:lineRule="exact"/>
        <w:rPr>
          <w:rFonts w:ascii="Arial" w:cs="Arial" w:eastAsia="Arial" w:hAnsi="Arial"/>
          <w:sz w:val="18"/>
          <w:szCs w:val="18"/>
          <w:color w:val="auto"/>
        </w:rPr>
      </w:pPr>
    </w:p>
    <w:p>
      <w:pPr>
        <w:ind w:left="1100" w:hanging="363"/>
        <w:spacing w:after="0"/>
        <w:tabs>
          <w:tab w:leader="none" w:pos="1100" w:val="left"/>
        </w:tabs>
        <w:numPr>
          <w:ilvl w:val="2"/>
          <w:numId w:val="9"/>
        </w:numPr>
        <w:rPr>
          <w:rFonts w:ascii="Arial" w:cs="Arial" w:eastAsia="Arial" w:hAnsi="Arial"/>
          <w:sz w:val="18"/>
          <w:szCs w:val="18"/>
          <w:color w:val="auto"/>
        </w:rPr>
      </w:pPr>
      <w:r>
        <w:rPr>
          <w:rFonts w:ascii="Arial" w:cs="Arial" w:eastAsia="Arial" w:hAnsi="Arial"/>
          <w:sz w:val="18"/>
          <w:szCs w:val="18"/>
          <w:color w:val="auto"/>
        </w:rPr>
        <w:t>customer of the Insured, or</w:t>
      </w:r>
    </w:p>
    <w:p>
      <w:pPr>
        <w:spacing w:after="0" w:line="130" w:lineRule="exact"/>
        <w:rPr>
          <w:rFonts w:ascii="Arial" w:cs="Arial" w:eastAsia="Arial" w:hAnsi="Arial"/>
          <w:sz w:val="18"/>
          <w:szCs w:val="18"/>
          <w:color w:val="auto"/>
        </w:rPr>
      </w:pPr>
    </w:p>
    <w:p>
      <w:pPr>
        <w:ind w:left="1100" w:right="20" w:hanging="363"/>
        <w:spacing w:after="0" w:line="308" w:lineRule="auto"/>
        <w:tabs>
          <w:tab w:leader="none" w:pos="110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shareholder or subscriber to shares, whether certificated or uncertificated, of any Investment Company, or</w:t>
      </w:r>
    </w:p>
    <w:p>
      <w:pPr>
        <w:spacing w:after="0" w:line="51" w:lineRule="exact"/>
        <w:rPr>
          <w:rFonts w:ascii="Arial" w:cs="Arial" w:eastAsia="Arial" w:hAnsi="Arial"/>
          <w:sz w:val="17"/>
          <w:szCs w:val="17"/>
          <w:color w:val="auto"/>
        </w:rPr>
      </w:pPr>
    </w:p>
    <w:p>
      <w:pPr>
        <w:ind w:left="1100" w:hanging="363"/>
        <w:spacing w:after="0"/>
        <w:tabs>
          <w:tab w:leader="none" w:pos="1100" w:val="left"/>
        </w:tabs>
        <w:numPr>
          <w:ilvl w:val="2"/>
          <w:numId w:val="9"/>
        </w:numPr>
        <w:rPr>
          <w:rFonts w:ascii="Arial" w:cs="Arial" w:eastAsia="Arial" w:hAnsi="Arial"/>
          <w:sz w:val="18"/>
          <w:szCs w:val="18"/>
          <w:color w:val="auto"/>
        </w:rPr>
      </w:pPr>
      <w:r>
        <w:rPr>
          <w:rFonts w:ascii="Arial" w:cs="Arial" w:eastAsia="Arial" w:hAnsi="Arial"/>
          <w:sz w:val="18"/>
          <w:szCs w:val="18"/>
          <w:color w:val="auto"/>
        </w:rPr>
        <w:t>financial or banking institution or stockbroker,</w:t>
      </w:r>
    </w:p>
    <w:p>
      <w:pPr>
        <w:spacing w:after="0" w:line="117" w:lineRule="exact"/>
        <w:rPr>
          <w:sz w:val="20"/>
          <w:szCs w:val="20"/>
          <w:color w:val="auto"/>
        </w:rPr>
      </w:pPr>
    </w:p>
    <w:p>
      <w:pPr>
        <w:jc w:val="both"/>
        <w:ind w:left="720"/>
        <w:spacing w:after="0" w:line="257" w:lineRule="auto"/>
        <w:rPr>
          <w:sz w:val="20"/>
          <w:szCs w:val="20"/>
          <w:color w:val="auto"/>
        </w:rPr>
      </w:pPr>
      <w:r>
        <w:rPr>
          <w:rFonts w:ascii="Arial" w:cs="Arial" w:eastAsia="Arial" w:hAnsi="Arial"/>
          <w:sz w:val="18"/>
          <w:szCs w:val="18"/>
          <w:color w:val="auto"/>
        </w:rPr>
        <w:t>but which instructions, advices or applications either bear the forged signature or endorsement or have been altered without the knowledge and consent of such customer, shareholder or subscriber to shares, or financial or banking institution or stockbroker; or</w:t>
      </w:r>
    </w:p>
    <w:p>
      <w:pPr>
        <w:spacing w:after="0" w:line="94" w:lineRule="exact"/>
        <w:rPr>
          <w:sz w:val="20"/>
          <w:szCs w:val="20"/>
          <w:color w:val="auto"/>
        </w:rPr>
      </w:pPr>
    </w:p>
    <w:p>
      <w:pPr>
        <w:jc w:val="both"/>
        <w:ind w:left="740" w:hanging="367"/>
        <w:spacing w:after="0" w:line="279"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withdrawal orders or receipts for the withdrawal of funds or Property, or receipts or certificates of deposit for Property and bearing the name of the Insured as issuer, or of another Investment Company for which the Insured acts as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Arial" w:cs="Arial" w:eastAsia="Arial" w:hAnsi="Arial"/>
          <w:sz w:val="17"/>
          <w:szCs w:val="17"/>
          <w:color w:val="auto"/>
        </w:rPr>
        <w:t>excluding, however, any loss covered under Insuring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-243205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ind w:left="680" w:right="20" w:hanging="8"/>
        <w:spacing w:after="0" w:line="261" w:lineRule="auto"/>
        <w:tabs>
          <w:tab w:leader="none" w:pos="9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hereof whether or not coverage for Insuring Agreement (F) is provided for in the Declarations of this bond.</w:t>
      </w:r>
    </w:p>
    <w:p>
      <w:pPr>
        <w:spacing w:after="0" w:line="7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76" w:lineRule="exact"/>
        <w:rPr>
          <w:sz w:val="20"/>
          <w:szCs w:val="20"/>
          <w:color w:val="auto"/>
        </w:rPr>
      </w:pPr>
    </w:p>
    <w:p>
      <w:pPr>
        <w:ind w:left="680" w:hanging="37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jc w:val="both"/>
        <w:ind w:left="660"/>
        <w:spacing w:after="0" w:line="273" w:lineRule="auto"/>
        <w:rPr>
          <w:rFonts w:ascii="Arial" w:cs="Arial" w:eastAsia="Arial" w:hAnsi="Arial"/>
          <w:sz w:val="18"/>
          <w:szCs w:val="18"/>
          <w:color w:val="auto"/>
        </w:rPr>
      </w:pPr>
      <w:r>
        <w:rPr>
          <w:rFonts w:ascii="Arial" w:cs="Arial" w:eastAsia="Arial" w:hAnsi="Arial"/>
          <w:sz w:val="17"/>
          <w:szCs w:val="17"/>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83" w:lineRule="exact"/>
        <w:rPr>
          <w:rFonts w:ascii="Arial" w:cs="Arial" w:eastAsia="Arial" w:hAnsi="Arial"/>
          <w:sz w:val="18"/>
          <w:szCs w:val="18"/>
          <w:color w:val="auto"/>
        </w:rPr>
      </w:pPr>
    </w:p>
    <w:p>
      <w:pPr>
        <w:jc w:val="both"/>
        <w:ind w:left="1040" w:hanging="368"/>
        <w:spacing w:after="0" w:line="290" w:lineRule="auto"/>
        <w:tabs>
          <w:tab w:leader="none" w:pos="10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whether for its own account or for the 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71" w:lineRule="exact"/>
        <w:rPr>
          <w:rFonts w:ascii="Arial" w:cs="Arial" w:eastAsia="Arial" w:hAnsi="Arial"/>
          <w:sz w:val="16"/>
          <w:szCs w:val="16"/>
          <w:color w:val="auto"/>
        </w:rPr>
      </w:pPr>
    </w:p>
    <w:p>
      <w:pPr>
        <w:ind w:left="1400" w:hanging="363"/>
        <w:spacing w:after="0"/>
        <w:tabs>
          <w:tab w:leader="none" w:pos="1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130" w:lineRule="exact"/>
        <w:rPr>
          <w:rFonts w:ascii="Arial" w:cs="Arial" w:eastAsia="Arial" w:hAnsi="Arial"/>
          <w:sz w:val="18"/>
          <w:szCs w:val="18"/>
          <w:color w:val="auto"/>
        </w:rPr>
      </w:pPr>
    </w:p>
    <w:p>
      <w:pPr>
        <w:jc w:val="both"/>
        <w:ind w:left="1400" w:hanging="363"/>
        <w:spacing w:after="0" w:line="279" w:lineRule="auto"/>
        <w:tabs>
          <w:tab w:leader="none" w:pos="1400" w:val="left"/>
        </w:tabs>
        <w:numPr>
          <w:ilvl w:val="2"/>
          <w:numId w:val="13"/>
        </w:numPr>
        <w:rPr>
          <w:rFonts w:ascii="Arial" w:cs="Arial" w:eastAsia="Arial" w:hAnsi="Arial"/>
          <w:sz w:val="17"/>
          <w:szCs w:val="17"/>
          <w:color w:val="auto"/>
        </w:rPr>
      </w:pPr>
      <w:r>
        <w:rPr>
          <w:rFonts w:ascii="Arial" w:cs="Arial" w:eastAsia="Arial" w:hAnsi="Arial"/>
          <w:sz w:val="17"/>
          <w:szCs w:val="17"/>
          <w:color w:val="auto"/>
        </w:rPr>
        <w:t>forged as to the signature of any maker, drawer, issuer, endorser, assignor, lessee, transfer agent or registrar, acceptor, surety or guarantor or as to the signature of any person signing in any other capacity, or</w:t>
      </w:r>
    </w:p>
    <w:p>
      <w:pPr>
        <w:spacing w:after="0" w:line="76" w:lineRule="exact"/>
        <w:rPr>
          <w:rFonts w:ascii="Arial" w:cs="Arial" w:eastAsia="Arial" w:hAnsi="Arial"/>
          <w:sz w:val="17"/>
          <w:szCs w:val="17"/>
          <w:color w:val="auto"/>
        </w:rPr>
      </w:pPr>
    </w:p>
    <w:p>
      <w:pPr>
        <w:ind w:left="1400" w:hanging="363"/>
        <w:spacing w:after="0"/>
        <w:tabs>
          <w:tab w:leader="none" w:pos="1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23" w:lineRule="exact"/>
        <w:rPr>
          <w:rFonts w:ascii="Arial" w:cs="Arial" w:eastAsia="Arial" w:hAnsi="Arial"/>
          <w:sz w:val="18"/>
          <w:szCs w:val="18"/>
          <w:color w:val="auto"/>
        </w:rPr>
      </w:pPr>
    </w:p>
    <w:p>
      <w:pPr>
        <w:jc w:val="both"/>
        <w:ind w:left="1040" w:hanging="368"/>
        <w:spacing w:after="0" w:line="253"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2 of 12</w:t>
      </w:r>
    </w:p>
    <w:p>
      <w:pPr>
        <w:sectPr>
          <w:pgSz w:w="11900" w:h="16838" w:orient="portrait"/>
          <w:cols w:equalWidth="0" w:num="2">
            <w:col w:w="5480" w:space="40"/>
            <w:col w:w="5780"/>
          </w:cols>
          <w:pgMar w:left="240" w:top="328" w:right="359" w:bottom="1440" w:gutter="0" w:footer="0" w:header="0"/>
        </w:sectPr>
      </w:pPr>
    </w:p>
    <w:bookmarkStart w:id="6" w:name="page7"/>
    <w:bookmarkEnd w:id="6"/>
    <w:p>
      <w:pPr>
        <w:jc w:val="both"/>
        <w:ind w:left="740"/>
        <w:spacing w:after="0" w:line="255" w:lineRule="auto"/>
        <w:rPr>
          <w:sz w:val="20"/>
          <w:szCs w:val="20"/>
          <w:color w:val="auto"/>
        </w:rPr>
      </w:pPr>
      <w:r>
        <w:rPr>
          <w:rFonts w:ascii="Arial" w:cs="Arial" w:eastAsia="Arial" w:hAnsi="Arial"/>
          <w:sz w:val="18"/>
          <w:szCs w:val="18"/>
          <w:color w:val="auto"/>
        </w:rPr>
        <w:t>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81" w:lineRule="exact"/>
        <w:rPr>
          <w:sz w:val="20"/>
          <w:szCs w:val="20"/>
          <w:color w:val="auto"/>
        </w:rPr>
      </w:pPr>
    </w:p>
    <w:p>
      <w:pPr>
        <w:jc w:val="both"/>
        <w:ind w:left="360"/>
        <w:spacing w:after="0" w:line="255" w:lineRule="auto"/>
        <w:rPr>
          <w:sz w:val="20"/>
          <w:szCs w:val="20"/>
          <w:color w:val="auto"/>
        </w:rPr>
      </w:pPr>
      <w:r>
        <w:rPr>
          <w:rFonts w:ascii="Arial" w:cs="Arial" w:eastAsia="Arial" w:hAnsi="Arial"/>
          <w:sz w:val="18"/>
          <w:szCs w:val="18"/>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 of such agreements with any necessary endorsement or assignment.</w:t>
      </w:r>
    </w:p>
    <w:p>
      <w:pPr>
        <w:spacing w:after="0" w:line="81" w:lineRule="exact"/>
        <w:rPr>
          <w:sz w:val="20"/>
          <w:szCs w:val="20"/>
          <w:color w:val="auto"/>
        </w:rPr>
      </w:pPr>
    </w:p>
    <w:p>
      <w:pPr>
        <w:jc w:val="both"/>
        <w:ind w:left="360"/>
        <w:spacing w:after="0" w:line="312" w:lineRule="auto"/>
        <w:rPr>
          <w:sz w:val="20"/>
          <w:szCs w:val="20"/>
          <w:color w:val="auto"/>
        </w:rPr>
      </w:pPr>
      <w:r>
        <w:rPr>
          <w:rFonts w:ascii="Arial" w:cs="Arial" w:eastAsia="Arial" w:hAnsi="Arial"/>
          <w:sz w:val="16"/>
          <w:szCs w:val="16"/>
          <w:color w:val="auto"/>
        </w:rPr>
        <w:t>The word “counterfeited” as used in this Insuring Agreement shall be deemed to mean any security, document or other written instrument which is intended to deceive and to be taken for an original.</w:t>
      </w:r>
    </w:p>
    <w:p>
      <w:pPr>
        <w:spacing w:after="0" w:line="39" w:lineRule="exact"/>
        <w:rPr>
          <w:sz w:val="20"/>
          <w:szCs w:val="20"/>
          <w:color w:val="auto"/>
        </w:rPr>
      </w:pPr>
    </w:p>
    <w:p>
      <w:pPr>
        <w:jc w:val="both"/>
        <w:ind w:left="360"/>
        <w:spacing w:after="0" w:line="277"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76"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COUNTERFEIT CURRENCY</w:t>
      </w:r>
    </w:p>
    <w:p>
      <w:pPr>
        <w:spacing w:after="0" w:line="117" w:lineRule="exact"/>
        <w:rPr>
          <w:rFonts w:ascii="Arial" w:cs="Arial" w:eastAsia="Arial" w:hAnsi="Arial"/>
          <w:sz w:val="18"/>
          <w:szCs w:val="18"/>
          <w:color w:val="auto"/>
        </w:rPr>
      </w:pPr>
    </w:p>
    <w:p>
      <w:pPr>
        <w:jc w:val="both"/>
        <w:ind w:left="360"/>
        <w:spacing w:after="0" w:line="297" w:lineRule="auto"/>
        <w:rPr>
          <w:rFonts w:ascii="Arial" w:cs="Arial" w:eastAsia="Arial" w:hAnsi="Arial"/>
          <w:sz w:val="18"/>
          <w:szCs w:val="18"/>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Canada statute for use as currency.</w:t>
      </w:r>
    </w:p>
    <w:p>
      <w:pPr>
        <w:spacing w:after="0" w:line="6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PAYMENT</w:t>
      </w:r>
    </w:p>
    <w:p>
      <w:pPr>
        <w:spacing w:after="0" w:line="117" w:lineRule="exact"/>
        <w:rPr>
          <w:rFonts w:ascii="Arial" w:cs="Arial" w:eastAsia="Arial" w:hAnsi="Arial"/>
          <w:sz w:val="18"/>
          <w:szCs w:val="18"/>
          <w:color w:val="auto"/>
        </w:rPr>
      </w:pPr>
    </w:p>
    <w:p>
      <w:pPr>
        <w:jc w:val="both"/>
        <w:ind w:left="360"/>
        <w:spacing w:after="0" w:line="264" w:lineRule="auto"/>
        <w:rPr>
          <w:rFonts w:ascii="Arial" w:cs="Arial" w:eastAsia="Arial" w:hAnsi="Arial"/>
          <w:sz w:val="18"/>
          <w:szCs w:val="18"/>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20" w:lineRule="exact"/>
        <w:rPr>
          <w:sz w:val="20"/>
          <w:szCs w:val="20"/>
          <w:color w:val="auto"/>
        </w:rPr>
      </w:pPr>
      <w:r>
        <w:rPr>
          <w:sz w:val="20"/>
          <w:szCs w:val="20"/>
          <w:color w:val="auto"/>
        </w:rPr>
        <w:br w:type="column"/>
      </w:r>
    </w:p>
    <w:p>
      <w:pPr>
        <w:jc w:val="both"/>
        <w:ind w:left="732"/>
        <w:spacing w:after="0" w:line="272" w:lineRule="auto"/>
        <w:rPr>
          <w:sz w:val="20"/>
          <w:szCs w:val="20"/>
          <w:color w:val="auto"/>
        </w:rPr>
      </w:pPr>
      <w:r>
        <w:rPr>
          <w:rFonts w:ascii="Arial" w:cs="Arial" w:eastAsia="Arial" w:hAnsi="Arial"/>
          <w:sz w:val="17"/>
          <w:szCs w:val="17"/>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-1103630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3" w:lineRule="exact"/>
        <w:rPr>
          <w:sz w:val="20"/>
          <w:szCs w:val="20"/>
          <w:color w:val="auto"/>
        </w:rPr>
      </w:pPr>
    </w:p>
    <w:p>
      <w:pPr>
        <w:jc w:val="both"/>
        <w:ind w:left="732"/>
        <w:spacing w:after="0" w:line="259" w:lineRule="auto"/>
        <w:rPr>
          <w:sz w:val="20"/>
          <w:szCs w:val="20"/>
          <w:color w:val="auto"/>
        </w:rPr>
      </w:pPr>
      <w:r>
        <w:rPr>
          <w:rFonts w:ascii="Arial" w:cs="Arial" w:eastAsia="Arial" w:hAnsi="Arial"/>
          <w:sz w:val="18"/>
          <w:szCs w:val="18"/>
          <w:color w:val="auto"/>
        </w:rPr>
        <w:t>For having refused to pay any check or draft made or drawn by any customer, shareholder or subscriber of the Insured or any Authorized Representative of such customer, shareholder or subscriber.</w:t>
      </w:r>
    </w:p>
    <w:p>
      <w:pPr>
        <w:spacing w:after="0" w:line="92" w:lineRule="exact"/>
        <w:rPr>
          <w:sz w:val="20"/>
          <w:szCs w:val="20"/>
          <w:color w:val="auto"/>
        </w:rPr>
      </w:pPr>
    </w:p>
    <w:p>
      <w:pPr>
        <w:ind w:left="372" w:hanging="372"/>
        <w:spacing w:after="0"/>
        <w:tabs>
          <w:tab w:leader="none" w:pos="3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117" w:lineRule="exact"/>
        <w:rPr>
          <w:rFonts w:ascii="Arial" w:cs="Arial" w:eastAsia="Arial" w:hAnsi="Arial"/>
          <w:sz w:val="18"/>
          <w:szCs w:val="18"/>
          <w:color w:val="auto"/>
        </w:rPr>
      </w:pPr>
    </w:p>
    <w:p>
      <w:pPr>
        <w:jc w:val="both"/>
        <w:ind w:left="352"/>
        <w:spacing w:after="0" w:line="253" w:lineRule="auto"/>
        <w:rPr>
          <w:rFonts w:ascii="Arial" w:cs="Arial" w:eastAsia="Arial" w:hAnsi="Arial"/>
          <w:sz w:val="18"/>
          <w:szCs w:val="18"/>
          <w:color w:val="auto"/>
        </w:rPr>
      </w:pPr>
      <w:r>
        <w:rPr>
          <w:rFonts w:ascii="Arial" w:cs="Arial" w:eastAsia="Arial" w:hAnsi="Arial"/>
          <w:sz w:val="18"/>
          <w:szCs w:val="18"/>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 loss resulting from an Item of Deposit processed through an Automated Clearing House which is reversed by the customer, shareholder or subscriber and deemed uncollectible by the Insured.</w:t>
      </w:r>
    </w:p>
    <w:p>
      <w:pPr>
        <w:spacing w:after="0" w:line="89" w:lineRule="exact"/>
        <w:rPr>
          <w:rFonts w:ascii="Arial" w:cs="Arial" w:eastAsia="Arial" w:hAnsi="Arial"/>
          <w:sz w:val="18"/>
          <w:szCs w:val="18"/>
          <w:color w:val="auto"/>
        </w:rPr>
      </w:pPr>
    </w:p>
    <w:p>
      <w:pPr>
        <w:ind w:left="352"/>
        <w:spacing w:after="0" w:line="277" w:lineRule="auto"/>
        <w:rPr>
          <w:rFonts w:ascii="Arial" w:cs="Arial" w:eastAsia="Arial" w:hAnsi="Arial"/>
          <w:sz w:val="18"/>
          <w:szCs w:val="18"/>
          <w:color w:val="auto"/>
        </w:rPr>
      </w:pPr>
      <w:r>
        <w:rPr>
          <w:rFonts w:ascii="Arial" w:cs="Arial" w:eastAsia="Arial" w:hAnsi="Arial"/>
          <w:sz w:val="18"/>
          <w:szCs w:val="18"/>
          <w:color w:val="auto"/>
        </w:rPr>
        <w:t>Loss includes dividends and interest accrued not to exceed 15% of the Uncollectible Items which are deposited.</w:t>
      </w:r>
    </w:p>
    <w:p>
      <w:pPr>
        <w:spacing w:after="0" w:line="62" w:lineRule="exact"/>
        <w:rPr>
          <w:rFonts w:ascii="Arial" w:cs="Arial" w:eastAsia="Arial" w:hAnsi="Arial"/>
          <w:sz w:val="18"/>
          <w:szCs w:val="18"/>
          <w:color w:val="auto"/>
        </w:rPr>
      </w:pPr>
    </w:p>
    <w:p>
      <w:pPr>
        <w:jc w:val="both"/>
        <w:ind w:left="352"/>
        <w:spacing w:after="0" w:line="272" w:lineRule="auto"/>
        <w:rPr>
          <w:rFonts w:ascii="Arial" w:cs="Arial" w:eastAsia="Arial" w:hAnsi="Arial"/>
          <w:sz w:val="18"/>
          <w:szCs w:val="18"/>
          <w:color w:val="auto"/>
        </w:rPr>
      </w:pPr>
      <w:r>
        <w:rPr>
          <w:rFonts w:ascii="Arial" w:cs="Arial" w:eastAsia="Arial" w:hAnsi="Arial"/>
          <w:sz w:val="17"/>
          <w:szCs w:val="17"/>
          <w:color w:val="auto"/>
        </w:rPr>
        <w:t>This Insuring Agreement applies to all Mutual Funds with “exchange privileges” if all Fund(s) in the exchange program are insured by the Underwriter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200"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GENERAL AGREEMENTS</w:t>
      </w:r>
    </w:p>
    <w:p>
      <w:pPr>
        <w:sectPr>
          <w:pgSz w:w="11900" w:h="16838" w:orient="portrait"/>
          <w:cols w:equalWidth="0" w:num="1">
            <w:col w:w="11300"/>
          </w:cols>
          <w:pgMar w:left="240" w:top="328" w:right="359" w:bottom="1440" w:gutter="0" w:footer="0" w:header="0"/>
          <w:type w:val="continuous"/>
        </w:sectPr>
      </w:pPr>
    </w:p>
    <w:p>
      <w:pPr>
        <w:spacing w:after="0" w:line="312" w:lineRule="exact"/>
        <w:rPr>
          <w:sz w:val="20"/>
          <w:szCs w:val="20"/>
          <w:color w:val="auto"/>
        </w:rPr>
      </w:pPr>
    </w:p>
    <w:p>
      <w:pPr>
        <w:ind w:left="380" w:right="20" w:hanging="372"/>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OFFICES OR EMPLOYEES -CONSOLIDATION OR MERGER - NOTICE</w:t>
      </w:r>
    </w:p>
    <w:p>
      <w:pPr>
        <w:spacing w:after="0" w:line="75" w:lineRule="exact"/>
        <w:rPr>
          <w:rFonts w:ascii="Arial" w:cs="Arial" w:eastAsia="Arial" w:hAnsi="Arial"/>
          <w:sz w:val="18"/>
          <w:szCs w:val="18"/>
          <w:color w:val="auto"/>
        </w:rPr>
      </w:pPr>
    </w:p>
    <w:p>
      <w:pPr>
        <w:jc w:val="both"/>
        <w:ind w:left="740" w:hanging="367"/>
        <w:spacing w:after="0" w:line="276" w:lineRule="auto"/>
        <w:tabs>
          <w:tab w:leader="none" w:pos="7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the Insured shall, while this bond is in force, establish any additional office or offices, such offices shall be automatically covered hereunder from the dates of their establishment, respectively. No notice to the Underwriter of an increase during any premium period in the number of offices or</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both"/>
        <w:ind w:left="368"/>
        <w:spacing w:after="0" w:line="264" w:lineRule="auto"/>
        <w:rPr>
          <w:sz w:val="20"/>
          <w:szCs w:val="20"/>
          <w:color w:val="auto"/>
        </w:rPr>
      </w:pPr>
      <w:r>
        <w:rPr>
          <w:rFonts w:ascii="Arial" w:cs="Arial" w:eastAsia="Arial" w:hAnsi="Arial"/>
          <w:sz w:val="18"/>
          <w:szCs w:val="18"/>
          <w:color w:val="auto"/>
        </w:rPr>
        <w:t>in the number of Employees at any of the offices covered hereunder need be given and no additional premium need be paid for the remainder of such premium period.</w:t>
      </w:r>
    </w:p>
    <w:p>
      <w:pPr>
        <w:spacing w:after="0" w:line="87" w:lineRule="exact"/>
        <w:rPr>
          <w:sz w:val="20"/>
          <w:szCs w:val="20"/>
          <w:color w:val="auto"/>
        </w:rPr>
      </w:pPr>
    </w:p>
    <w:p>
      <w:pPr>
        <w:jc w:val="both"/>
        <w:ind w:left="368" w:hanging="368"/>
        <w:spacing w:after="0" w:line="259" w:lineRule="auto"/>
        <w:tabs>
          <w:tab w:leader="none" w:pos="3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 Investment Company, named as Insured herein, shall, while this bond is in force, merge or consolidate with, or purchase the assets of another institution, coverage for such acquisition shall apply automatically</w:t>
      </w:r>
    </w:p>
    <w:p>
      <w:pPr>
        <w:spacing w:after="0" w:line="214" w:lineRule="exact"/>
        <w:rPr>
          <w:sz w:val="20"/>
          <w:szCs w:val="20"/>
          <w:color w:val="auto"/>
        </w:rPr>
      </w:pPr>
    </w:p>
    <w:p>
      <w:pPr>
        <w:sectPr>
          <w:pgSz w:w="11900" w:h="16838" w:orient="portrait"/>
          <w:cols w:equalWidth="0" w:num="2">
            <w:col w:w="5480" w:space="712"/>
            <w:col w:w="5108"/>
          </w:cols>
          <w:pgMar w:left="240" w:top="328" w:right="35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3 of 12</w:t>
            </w:r>
          </w:p>
        </w:tc>
      </w:tr>
    </w:tbl>
    <w:p>
      <w:pPr>
        <w:ind w:left="220" w:hanging="212"/>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7" w:name="page8"/>
    <w:bookmarkEnd w:id="7"/>
    <w:p>
      <w:pPr>
        <w:jc w:val="both"/>
        <w:ind w:left="740"/>
        <w:spacing w:after="0" w:line="259" w:lineRule="auto"/>
        <w:rPr>
          <w:sz w:val="20"/>
          <w:szCs w:val="20"/>
          <w:color w:val="auto"/>
        </w:rPr>
      </w:pPr>
      <w:r>
        <w:rPr>
          <w:rFonts w:ascii="Arial" w:cs="Arial" w:eastAsia="Arial" w:hAnsi="Arial"/>
          <w:sz w:val="18"/>
          <w:szCs w:val="18"/>
          <w:color w:val="auto"/>
        </w:rPr>
        <w:t>from the date of acquisition. The Insured shall notify the Underwriter of such acquisition within 60 days of said date, and an additional premium shall be computed only if such acquisition involves additional offices or employees.</w:t>
      </w:r>
    </w:p>
    <w:p>
      <w:pPr>
        <w:spacing w:after="0" w:line="92"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WARRANTY</w:t>
      </w:r>
    </w:p>
    <w:p>
      <w:pPr>
        <w:spacing w:after="0" w:line="117" w:lineRule="exact"/>
        <w:rPr>
          <w:rFonts w:ascii="Arial" w:cs="Arial" w:eastAsia="Arial" w:hAnsi="Arial"/>
          <w:sz w:val="18"/>
          <w:szCs w:val="18"/>
          <w:color w:val="auto"/>
        </w:rPr>
      </w:pPr>
    </w:p>
    <w:p>
      <w:pPr>
        <w:jc w:val="both"/>
        <w:ind w:left="360"/>
        <w:spacing w:after="0" w:line="259" w:lineRule="auto"/>
        <w:rPr>
          <w:rFonts w:ascii="Arial" w:cs="Arial" w:eastAsia="Arial" w:hAnsi="Arial"/>
          <w:sz w:val="18"/>
          <w:szCs w:val="18"/>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92"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COURT COSTS AND ATTORNEYS’ FEES</w:t>
      </w:r>
    </w:p>
    <w:p>
      <w:pPr>
        <w:spacing w:after="0" w:line="117" w:lineRule="exact"/>
        <w:rPr>
          <w:rFonts w:ascii="Arial" w:cs="Arial" w:eastAsia="Arial" w:hAnsi="Arial"/>
          <w:sz w:val="18"/>
          <w:szCs w:val="18"/>
          <w:color w:val="auto"/>
        </w:rPr>
      </w:pPr>
    </w:p>
    <w:p>
      <w:pPr>
        <w:ind w:left="360"/>
        <w:spacing w:after="0" w:line="277" w:lineRule="auto"/>
        <w:rPr>
          <w:rFonts w:ascii="Arial" w:cs="Arial" w:eastAsia="Arial" w:hAnsi="Arial"/>
          <w:sz w:val="18"/>
          <w:szCs w:val="18"/>
          <w:color w:val="auto"/>
        </w:rPr>
      </w:pPr>
      <w:r>
        <w:rPr>
          <w:rFonts w:ascii="Arial" w:cs="Arial" w:eastAsia="Arial" w:hAnsi="Arial"/>
          <w:sz w:val="18"/>
          <w:szCs w:val="18"/>
          <w:color w:val="auto"/>
        </w:rPr>
        <w:t>(Applicable to all Insuring Agreements or Coverages now or hereafter forming part of this bond)</w:t>
      </w:r>
    </w:p>
    <w:p>
      <w:pPr>
        <w:spacing w:after="0" w:line="62" w:lineRule="exact"/>
        <w:rPr>
          <w:rFonts w:ascii="Arial" w:cs="Arial" w:eastAsia="Arial" w:hAnsi="Arial"/>
          <w:sz w:val="18"/>
          <w:szCs w:val="18"/>
          <w:color w:val="auto"/>
        </w:rPr>
      </w:pPr>
    </w:p>
    <w:p>
      <w:pPr>
        <w:jc w:val="both"/>
        <w:ind w:left="360"/>
        <w:spacing w:after="0" w:line="270" w:lineRule="auto"/>
        <w:rPr>
          <w:rFonts w:ascii="Arial" w:cs="Arial" w:eastAsia="Arial" w:hAnsi="Arial"/>
          <w:sz w:val="18"/>
          <w:szCs w:val="18"/>
          <w:color w:val="auto"/>
        </w:rPr>
      </w:pPr>
      <w:r>
        <w:rPr>
          <w:rFonts w:ascii="Arial" w:cs="Arial" w:eastAsia="Arial" w:hAnsi="Arial"/>
          <w:sz w:val="17"/>
          <w:szCs w:val="17"/>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83" w:lineRule="exact"/>
        <w:rPr>
          <w:rFonts w:ascii="Arial" w:cs="Arial" w:eastAsia="Arial" w:hAnsi="Arial"/>
          <w:sz w:val="18"/>
          <w:szCs w:val="18"/>
          <w:color w:val="auto"/>
        </w:rPr>
      </w:pPr>
    </w:p>
    <w:p>
      <w:pPr>
        <w:ind w:left="740" w:right="2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Employee admits to being guilty of any dishonest or fraudulent act(s), including Larceny or Embezzlement; or</w:t>
      </w:r>
    </w:p>
    <w:p>
      <w:pPr>
        <w:spacing w:after="0" w:line="75" w:lineRule="exact"/>
        <w:rPr>
          <w:rFonts w:ascii="Arial" w:cs="Arial" w:eastAsia="Arial" w:hAnsi="Arial"/>
          <w:sz w:val="18"/>
          <w:szCs w:val="18"/>
          <w:color w:val="auto"/>
        </w:rPr>
      </w:pPr>
    </w:p>
    <w:p>
      <w:pPr>
        <w:ind w:left="740" w:right="2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Employee is adjudicated to be guilty of any dishonest or fraudulent act(s), including Larceny or Embezzlement;</w:t>
      </w:r>
    </w:p>
    <w:p>
      <w:pPr>
        <w:spacing w:after="0" w:line="75" w:lineRule="exact"/>
        <w:rPr>
          <w:rFonts w:ascii="Arial" w:cs="Arial" w:eastAsia="Arial" w:hAnsi="Arial"/>
          <w:sz w:val="18"/>
          <w:szCs w:val="18"/>
          <w:color w:val="auto"/>
        </w:rPr>
      </w:pPr>
    </w:p>
    <w:p>
      <w:pPr>
        <w:ind w:left="74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absence of (1) or (2) above an arbitration panel agrees, after a review of an</w:t>
      </w:r>
    </w:p>
    <w:p>
      <w:pPr>
        <w:spacing w:after="0" w:line="20" w:lineRule="exact"/>
        <w:rPr>
          <w:sz w:val="20"/>
          <w:szCs w:val="20"/>
          <w:color w:val="auto"/>
        </w:rPr>
      </w:pPr>
      <w:r>
        <w:rPr>
          <w:sz w:val="20"/>
          <w:szCs w:val="20"/>
          <w:color w:val="auto"/>
        </w:rPr>
        <w:br w:type="column"/>
      </w:r>
    </w:p>
    <w:p>
      <w:pPr>
        <w:ind w:left="732"/>
        <w:spacing w:after="0" w:line="308" w:lineRule="auto"/>
        <w:rPr>
          <w:sz w:val="20"/>
          <w:szCs w:val="20"/>
          <w:color w:val="auto"/>
        </w:rPr>
      </w:pPr>
      <w:r>
        <w:rPr>
          <w:rFonts w:ascii="Arial" w:cs="Arial" w:eastAsia="Arial" w:hAnsi="Arial"/>
          <w:sz w:val="17"/>
          <w:szCs w:val="17"/>
          <w:color w:val="auto"/>
        </w:rPr>
        <w:t>agreed statement of facts, that an Employee would be found guilty of dishonesty if such Employee were prosecuted.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-437515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jc w:val="both"/>
        <w:ind w:left="352"/>
        <w:spacing w:after="0" w:line="270" w:lineRule="auto"/>
        <w:rPr>
          <w:sz w:val="20"/>
          <w:szCs w:val="20"/>
          <w:color w:val="auto"/>
        </w:rPr>
      </w:pPr>
      <w:r>
        <w:rPr>
          <w:rFonts w:ascii="Arial" w:cs="Arial" w:eastAsia="Arial" w:hAnsi="Arial"/>
          <w:sz w:val="17"/>
          <w:szCs w:val="17"/>
          <w:color w:val="auto"/>
        </w:rPr>
        <w:t>The Insured shall promptly give notice to the Underwriter of any such suit or legal proceedings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74" w:lineRule="exact"/>
        <w:rPr>
          <w:sz w:val="20"/>
          <w:szCs w:val="20"/>
          <w:color w:val="auto"/>
        </w:rPr>
      </w:pPr>
    </w:p>
    <w:p>
      <w:pPr>
        <w:jc w:val="both"/>
        <w:ind w:left="352"/>
        <w:spacing w:after="0" w:line="270"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Deductible Amount is applicable, or both, the liability of 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87" w:lineRule="exact"/>
        <w:rPr>
          <w:sz w:val="20"/>
          <w:szCs w:val="20"/>
          <w:color w:val="auto"/>
        </w:rPr>
      </w:pPr>
    </w:p>
    <w:p>
      <w:pPr>
        <w:ind w:left="372" w:hanging="372"/>
        <w:spacing w:after="0"/>
        <w:tabs>
          <w:tab w:leader="none" w:pos="3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117" w:lineRule="exact"/>
        <w:rPr>
          <w:rFonts w:ascii="Arial" w:cs="Arial" w:eastAsia="Arial" w:hAnsi="Arial"/>
          <w:sz w:val="18"/>
          <w:szCs w:val="18"/>
          <w:color w:val="auto"/>
        </w:rPr>
      </w:pPr>
    </w:p>
    <w:p>
      <w:pPr>
        <w:jc w:val="both"/>
        <w:ind w:left="352"/>
        <w:spacing w:after="0" w:line="272" w:lineRule="auto"/>
        <w:rPr>
          <w:rFonts w:ascii="Arial" w:cs="Arial" w:eastAsia="Arial" w:hAnsi="Arial"/>
          <w:sz w:val="18"/>
          <w:szCs w:val="18"/>
          <w:color w:val="auto"/>
        </w:rPr>
      </w:pPr>
      <w:r>
        <w:rPr>
          <w:rFonts w:ascii="Arial" w:cs="Arial" w:eastAsia="Arial" w:hAnsi="Arial"/>
          <w:sz w:val="17"/>
          <w:szCs w:val="17"/>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693"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11" w:lineRule="exact"/>
        <w:rPr>
          <w:sz w:val="20"/>
          <w:szCs w:val="20"/>
          <w:color w:val="auto"/>
        </w:rPr>
      </w:pPr>
    </w:p>
    <w:p>
      <w:pPr>
        <w:jc w:val="center"/>
        <w:ind w:left="2600" w:right="2480"/>
        <w:spacing w:after="0" w:line="243" w:lineRule="auto"/>
        <w:rPr>
          <w:sz w:val="20"/>
          <w:szCs w:val="20"/>
          <w:color w:val="auto"/>
        </w:rPr>
      </w:pPr>
      <w:r>
        <w:rPr>
          <w:rFonts w:ascii="Arial" w:cs="Arial" w:eastAsia="Arial" w:hAnsi="Arial"/>
          <w:sz w:val="22"/>
          <w:szCs w:val="22"/>
          <w:b w:val="1"/>
          <w:bCs w:val="1"/>
          <w:color w:val="auto"/>
        </w:rPr>
        <w:t>THE FOREGOING INSURING AGREEMENTS AND GENERAL AGREEMENTS ARE SUBJECT TO THE FOLLOWING CONDITIONS AND LIMITATIONS:</w:t>
      </w:r>
    </w:p>
    <w:p>
      <w:pPr>
        <w:sectPr>
          <w:pgSz w:w="11900" w:h="16838" w:orient="portrait"/>
          <w:cols w:equalWidth="0" w:num="1">
            <w:col w:w="11300"/>
          </w:cols>
          <w:pgMar w:left="240" w:top="328" w:right="359" w:bottom="1440" w:gutter="0" w:footer="0" w:header="0"/>
          <w:type w:val="continuous"/>
        </w:sectPr>
      </w:pPr>
    </w:p>
    <w:p>
      <w:pPr>
        <w:spacing w:after="0" w:line="2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terms, as used in this bond have the respective meanings stated in this Section:</w:t>
      </w:r>
    </w:p>
    <w:p>
      <w:pPr>
        <w:spacing w:after="0" w:line="76"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130" w:lineRule="exact"/>
        <w:rPr>
          <w:rFonts w:ascii="Arial" w:cs="Arial" w:eastAsia="Arial" w:hAnsi="Arial"/>
          <w:sz w:val="18"/>
          <w:szCs w:val="18"/>
          <w:color w:val="auto"/>
        </w:rPr>
      </w:pPr>
    </w:p>
    <w:p>
      <w:pPr>
        <w:ind w:left="740" w:hanging="367"/>
        <w:spacing w:after="0"/>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4 of 12</w:t>
            </w:r>
          </w:p>
        </w:tc>
      </w:tr>
    </w:tbl>
    <w:p>
      <w:pPr>
        <w:ind w:left="220" w:hanging="212"/>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both"/>
        <w:ind w:left="368" w:hanging="368"/>
        <w:spacing w:after="0" w:line="259" w:lineRule="auto"/>
        <w:tabs>
          <w:tab w:leader="none" w:pos="3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the officers or employees of any predecessor of the Insured whose principal assets are acquired by the Insured by consolidation or merger with, or purchase of assets or capital stock of, such predecessor, and</w:t>
      </w:r>
    </w:p>
    <w:p>
      <w:pPr>
        <w:sectPr>
          <w:pgSz w:w="11900" w:h="16838" w:orient="portrait"/>
          <w:cols w:equalWidth="0" w:num="2">
            <w:col w:w="6040" w:space="152"/>
            <w:col w:w="5108"/>
          </w:cols>
          <w:pgMar w:left="240" w:top="328" w:right="359" w:bottom="1440" w:gutter="0" w:footer="0" w:header="0"/>
          <w:type w:val="continuous"/>
        </w:sectPr>
      </w:pPr>
    </w:p>
    <w:bookmarkStart w:id="8" w:name="page9"/>
    <w:bookmarkEnd w:id="8"/>
    <w:p>
      <w:pPr>
        <w:jc w:val="both"/>
        <w:ind w:left="740" w:hanging="36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attorneys retained by the Insured to perform legal services for the Insured and the employees of such attorneys while such attorneys or employees of such attorneys are performing such services for the Insured, and</w:t>
      </w:r>
    </w:p>
    <w:p>
      <w:pPr>
        <w:spacing w:after="0" w:line="92" w:lineRule="exact"/>
        <w:rPr>
          <w:rFonts w:ascii="Arial" w:cs="Arial" w:eastAsia="Arial" w:hAnsi="Arial"/>
          <w:sz w:val="18"/>
          <w:szCs w:val="18"/>
          <w:color w:val="auto"/>
        </w:rPr>
      </w:pPr>
    </w:p>
    <w:p>
      <w:pPr>
        <w:ind w:left="740" w:right="20" w:hanging="36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75" w:lineRule="exact"/>
        <w:rPr>
          <w:rFonts w:ascii="Arial" w:cs="Arial" w:eastAsia="Arial" w:hAnsi="Arial"/>
          <w:sz w:val="18"/>
          <w:szCs w:val="18"/>
          <w:color w:val="auto"/>
        </w:rPr>
      </w:pPr>
    </w:p>
    <w:p>
      <w:pPr>
        <w:jc w:val="both"/>
        <w:ind w:left="740" w:hanging="367"/>
        <w:spacing w:after="0" w:line="290"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71" w:lineRule="exact"/>
        <w:rPr>
          <w:rFonts w:ascii="Arial" w:cs="Arial" w:eastAsia="Arial" w:hAnsi="Arial"/>
          <w:sz w:val="16"/>
          <w:szCs w:val="16"/>
          <w:color w:val="auto"/>
        </w:rPr>
      </w:pPr>
    </w:p>
    <w:p>
      <w:pPr>
        <w:jc w:val="both"/>
        <w:ind w:left="740" w:hanging="36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92" w:lineRule="exact"/>
        <w:rPr>
          <w:rFonts w:ascii="Arial" w:cs="Arial" w:eastAsia="Arial" w:hAnsi="Arial"/>
          <w:sz w:val="18"/>
          <w:szCs w:val="18"/>
          <w:color w:val="auto"/>
        </w:rPr>
      </w:pPr>
    </w:p>
    <w:p>
      <w:pPr>
        <w:jc w:val="both"/>
        <w:ind w:left="740" w:hanging="367"/>
        <w:spacing w:after="0" w:line="255"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pacing w:after="0" w:line="94" w:lineRule="exact"/>
        <w:rPr>
          <w:rFonts w:ascii="Arial" w:cs="Arial" w:eastAsia="Arial" w:hAnsi="Arial"/>
          <w:sz w:val="18"/>
          <w:szCs w:val="18"/>
          <w:color w:val="auto"/>
        </w:rPr>
      </w:pPr>
    </w:p>
    <w:p>
      <w:pPr>
        <w:ind w:left="740" w:hanging="36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75" w:lineRule="exact"/>
        <w:rPr>
          <w:rFonts w:ascii="Arial" w:cs="Arial" w:eastAsia="Arial" w:hAnsi="Arial"/>
          <w:sz w:val="18"/>
          <w:szCs w:val="18"/>
          <w:color w:val="auto"/>
        </w:rPr>
      </w:pP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3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transfer agent or shareholder accounting record-keeper, or</w:t>
      </w:r>
    </w:p>
    <w:p>
      <w:pPr>
        <w:spacing w:after="0" w:line="113" w:lineRule="exact"/>
        <w:rPr>
          <w:rFonts w:ascii="Arial" w:cs="Arial" w:eastAsia="Arial" w:hAnsi="Arial"/>
          <w:sz w:val="16"/>
          <w:szCs w:val="16"/>
          <w:color w:val="auto"/>
        </w:rPr>
      </w:pPr>
    </w:p>
    <w:p>
      <w:pPr>
        <w:ind w:left="1100" w:right="20" w:hanging="363"/>
        <w:spacing w:after="0" w:line="277"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62" w:lineRule="exact"/>
        <w:rPr>
          <w:sz w:val="20"/>
          <w:szCs w:val="20"/>
          <w:color w:val="auto"/>
        </w:rPr>
      </w:pPr>
    </w:p>
    <w:p>
      <w:pPr>
        <w:jc w:val="both"/>
        <w:ind w:left="360"/>
        <w:spacing w:after="0" w:line="297"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w:t>
      </w:r>
    </w:p>
    <w:p>
      <w:pPr>
        <w:spacing w:after="0" w:line="20" w:lineRule="exact"/>
        <w:rPr>
          <w:sz w:val="20"/>
          <w:szCs w:val="20"/>
          <w:color w:val="auto"/>
        </w:rPr>
      </w:pPr>
      <w:r>
        <w:rPr>
          <w:sz w:val="20"/>
          <w:szCs w:val="20"/>
          <w:color w:val="auto"/>
        </w:rPr>
        <w:br w:type="column"/>
      </w:r>
    </w:p>
    <w:p>
      <w:pPr>
        <w:jc w:val="both"/>
        <w:ind w:left="352"/>
        <w:spacing w:after="0" w:line="291" w:lineRule="auto"/>
        <w:rPr>
          <w:sz w:val="20"/>
          <w:szCs w:val="20"/>
          <w:color w:val="auto"/>
        </w:rPr>
      </w:pPr>
      <w:r>
        <w:rPr>
          <w:rFonts w:ascii="Arial" w:cs="Arial" w:eastAsia="Arial" w:hAnsi="Arial"/>
          <w:sz w:val="16"/>
          <w:szCs w:val="16"/>
          <w:color w:val="auto"/>
        </w:rPr>
        <w:t>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advisor, underwriter or administrator of such Investment Company, and which is not a bank, shall be included within the definition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-1110615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 w:lineRule="exact"/>
        <w:rPr>
          <w:sz w:val="20"/>
          <w:szCs w:val="20"/>
          <w:color w:val="auto"/>
        </w:rPr>
      </w:pPr>
    </w:p>
    <w:p>
      <w:pPr>
        <w:jc w:val="both"/>
        <w:ind w:left="352"/>
        <w:spacing w:after="0" w:line="257" w:lineRule="auto"/>
        <w:rPr>
          <w:sz w:val="20"/>
          <w:szCs w:val="20"/>
          <w:color w:val="auto"/>
        </w:rPr>
      </w:pPr>
      <w:r>
        <w:rPr>
          <w:rFonts w:ascii="Arial" w:cs="Arial" w:eastAsia="Arial" w:hAnsi="Arial"/>
          <w:sz w:val="18"/>
          <w:szCs w:val="18"/>
          <w:color w:val="auto"/>
        </w:rPr>
        <w:t>Each employer of temporary personnel or processors as set forth in sub-sections (6) and (7) of Section 1(a) and their partners, officers and employees shall collectively be deemed to be one person for all the purposes of this bond, excepting, however, the last paragraph of Section 13.</w:t>
      </w:r>
    </w:p>
    <w:p>
      <w:pPr>
        <w:spacing w:after="0" w:line="80" w:lineRule="exact"/>
        <w:rPr>
          <w:sz w:val="20"/>
          <w:szCs w:val="20"/>
          <w:color w:val="auto"/>
        </w:rPr>
      </w:pPr>
    </w:p>
    <w:p>
      <w:pPr>
        <w:jc w:val="both"/>
        <w:ind w:left="352"/>
        <w:spacing w:after="0" w:line="277" w:lineRule="auto"/>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76" w:lineRule="exact"/>
        <w:rPr>
          <w:sz w:val="20"/>
          <w:szCs w:val="20"/>
          <w:color w:val="auto"/>
        </w:rPr>
      </w:pPr>
    </w:p>
    <w:p>
      <w:pPr>
        <w:jc w:val="both"/>
        <w:ind w:left="372" w:hanging="372"/>
        <w:spacing w:after="0" w:line="284" w:lineRule="auto"/>
        <w:tabs>
          <w:tab w:leader="none" w:pos="3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 condition at the time of the Insured’s consolidation or merger with, or purchase of the principal assets of, such predecessor or which are held by the Insured for any purpose or in any capacity and whether so held gratuitously or not and whether or not the Insured is liable therefor.</w:t>
      </w:r>
    </w:p>
    <w:p>
      <w:pPr>
        <w:spacing w:after="0" w:line="83" w:lineRule="exact"/>
        <w:rPr>
          <w:rFonts w:ascii="Arial" w:cs="Arial" w:eastAsia="Arial" w:hAnsi="Arial"/>
          <w:sz w:val="16"/>
          <w:szCs w:val="16"/>
          <w:color w:val="auto"/>
        </w:rPr>
      </w:pPr>
    </w:p>
    <w:p>
      <w:pPr>
        <w:ind w:left="372" w:hanging="372"/>
        <w:spacing w:after="0" w:line="277" w:lineRule="auto"/>
        <w:tabs>
          <w:tab w:leader="none" w:pos="3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“Forgery” means the signing of the name of another with intent to deceive; it does not</w:t>
      </w:r>
    </w:p>
    <w:p>
      <w:pPr>
        <w:spacing w:after="0" w:line="739"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5 of 12</w:t>
            </w:r>
          </w:p>
        </w:tc>
      </w:tr>
    </w:tbl>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9" w:name="page10"/>
    <w:bookmarkEnd w:id="9"/>
    <w:p>
      <w:pPr>
        <w:ind w:lef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the signing of one’s own name with or without authority, in any capacity, for any purpose.</w:t>
      </w:r>
    </w:p>
    <w:p>
      <w:pPr>
        <w:spacing w:after="0" w:line="76" w:lineRule="exact"/>
        <w:rPr>
          <w:sz w:val="20"/>
          <w:szCs w:val="20"/>
          <w:color w:val="auto"/>
        </w:rPr>
      </w:pPr>
    </w:p>
    <w:p>
      <w:pPr>
        <w:jc w:val="both"/>
        <w:ind w:left="380" w:hanging="372"/>
        <w:spacing w:after="0" w:line="26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“Larceny and Embezzlement” as it applies to any named Insured means those acts as set forth in Section 37 of the Investment Company Act of 1940.</w:t>
      </w:r>
    </w:p>
    <w:p>
      <w:pPr>
        <w:spacing w:after="0" w:line="86"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“Items of Deposit” means any one or more checks and drafts. Items of Deposit shall not be deemed uncollectible until the Insured’s collection procedures have failed.</w:t>
      </w:r>
    </w:p>
    <w:p>
      <w:pPr>
        <w:spacing w:after="0" w:line="7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EXCLUSIONS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BOND, DOES NOT COVER:</w:t>
      </w:r>
    </w:p>
    <w:p>
      <w:pPr>
        <w:spacing w:after="0" w:line="131" w:lineRule="exact"/>
        <w:rPr>
          <w:sz w:val="20"/>
          <w:szCs w:val="20"/>
          <w:color w:val="auto"/>
        </w:rPr>
      </w:pPr>
    </w:p>
    <w:p>
      <w:pPr>
        <w:jc w:val="both"/>
        <w:ind w:left="740" w:hanging="367"/>
        <w:spacing w:after="0" w:line="26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86" w:lineRule="exact"/>
        <w:rPr>
          <w:rFonts w:ascii="Arial" w:cs="Arial" w:eastAsia="Arial" w:hAnsi="Arial"/>
          <w:sz w:val="18"/>
          <w:szCs w:val="18"/>
          <w:color w:val="auto"/>
        </w:rPr>
      </w:pPr>
    </w:p>
    <w:p>
      <w:pPr>
        <w:jc w:val="both"/>
        <w:ind w:left="740" w:hanging="367"/>
        <w:spacing w:after="0" w:line="271"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84" w:lineRule="exact"/>
        <w:rPr>
          <w:rFonts w:ascii="Arial" w:cs="Arial" w:eastAsia="Arial" w:hAnsi="Arial"/>
          <w:sz w:val="17"/>
          <w:szCs w:val="17"/>
          <w:color w:val="auto"/>
        </w:rPr>
      </w:pPr>
    </w:p>
    <w:p>
      <w:pPr>
        <w:jc w:val="both"/>
        <w:ind w:left="740" w:hanging="367"/>
        <w:spacing w:after="0" w:line="279"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76" w:lineRule="exact"/>
        <w:rPr>
          <w:rFonts w:ascii="Arial" w:cs="Arial" w:eastAsia="Arial" w:hAnsi="Arial"/>
          <w:sz w:val="17"/>
          <w:szCs w:val="17"/>
          <w:color w:val="auto"/>
        </w:rPr>
      </w:pPr>
    </w:p>
    <w:p>
      <w:pPr>
        <w:jc w:val="both"/>
        <w:ind w:left="740" w:hanging="367"/>
        <w:spacing w:after="0" w:line="291"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72" w:lineRule="exact"/>
        <w:rPr>
          <w:rFonts w:ascii="Arial" w:cs="Arial" w:eastAsia="Arial" w:hAnsi="Arial"/>
          <w:sz w:val="16"/>
          <w:szCs w:val="16"/>
          <w:color w:val="auto"/>
        </w:rPr>
      </w:pPr>
    </w:p>
    <w:p>
      <w:pPr>
        <w:jc w:val="both"/>
        <w:ind w:left="740" w:hanging="367"/>
        <w:spacing w:after="0" w:line="25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w:t>
      </w:r>
    </w:p>
    <w:p>
      <w:pPr>
        <w:spacing w:after="0" w:line="20" w:lineRule="exact"/>
        <w:rPr>
          <w:sz w:val="20"/>
          <w:szCs w:val="20"/>
          <w:color w:val="auto"/>
        </w:rPr>
      </w:pPr>
      <w:r>
        <w:rPr>
          <w:sz w:val="20"/>
          <w:szCs w:val="20"/>
          <w:color w:val="auto"/>
        </w:rPr>
        <w:br w:type="column"/>
      </w:r>
    </w:p>
    <w:p>
      <w:pPr>
        <w:ind w:left="368"/>
        <w:spacing w:after="0" w:line="308" w:lineRule="auto"/>
        <w:rPr>
          <w:sz w:val="20"/>
          <w:szCs w:val="20"/>
          <w:color w:val="auto"/>
        </w:rPr>
      </w:pPr>
      <w:r>
        <w:rPr>
          <w:rFonts w:ascii="Arial" w:cs="Arial" w:eastAsia="Arial" w:hAnsi="Arial"/>
          <w:sz w:val="17"/>
          <w:szCs w:val="17"/>
          <w:color w:val="auto"/>
        </w:rPr>
        <w:t>faith or through trick, artifice fraud or false pretenses, unless such loss is covered under Insuring Agreement (A), (E) or (F).</w:t>
      </w:r>
    </w:p>
    <w:p>
      <w:pPr>
        <w:spacing w:after="0" w:line="52" w:lineRule="exact"/>
        <w:rPr>
          <w:sz w:val="20"/>
          <w:szCs w:val="20"/>
          <w:color w:val="auto"/>
        </w:rPr>
      </w:pPr>
    </w:p>
    <w:p>
      <w:pPr>
        <w:ind w:left="368" w:hanging="368"/>
        <w:spacing w:after="0" w:line="277" w:lineRule="auto"/>
        <w:tabs>
          <w:tab w:leader="none" w:pos="3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75" w:lineRule="exact"/>
        <w:rPr>
          <w:rFonts w:ascii="Arial" w:cs="Arial" w:eastAsia="Arial" w:hAnsi="Arial"/>
          <w:sz w:val="18"/>
          <w:szCs w:val="18"/>
          <w:color w:val="auto"/>
        </w:rPr>
      </w:pPr>
    </w:p>
    <w:p>
      <w:pPr>
        <w:jc w:val="both"/>
        <w:ind w:left="728" w:hanging="363"/>
        <w:spacing w:after="0" w:line="259" w:lineRule="auto"/>
        <w:tabs>
          <w:tab w:leader="none" w:pos="7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of law regulating (a) the issuance, purchase or sale of securities, (b) securities transactions upon Security Exchanges or over the counter market, (c) Investment Companies, or (d) Investment Advisors, or</w:t>
      </w:r>
    </w:p>
    <w:p>
      <w:pPr>
        <w:spacing w:after="0" w:line="92" w:lineRule="exact"/>
        <w:rPr>
          <w:rFonts w:ascii="Arial" w:cs="Arial" w:eastAsia="Arial" w:hAnsi="Arial"/>
          <w:sz w:val="18"/>
          <w:szCs w:val="18"/>
          <w:color w:val="auto"/>
        </w:rPr>
      </w:pPr>
    </w:p>
    <w:p>
      <w:pPr>
        <w:ind w:left="728" w:hanging="363"/>
        <w:spacing w:after="0"/>
        <w:tabs>
          <w:tab w:leader="none" w:pos="728" w:val="left"/>
        </w:tabs>
        <w:numPr>
          <w:ilvl w:val="1"/>
          <w:numId w:val="29"/>
        </w:numPr>
        <w:rPr>
          <w:rFonts w:ascii="Arial" w:cs="Arial" w:eastAsia="Arial" w:hAnsi="Arial"/>
          <w:sz w:val="17"/>
          <w:szCs w:val="17"/>
          <w:color w:val="auto"/>
        </w:rPr>
      </w:pPr>
      <w:r>
        <w:rPr>
          <w:rFonts w:ascii="Arial" w:cs="Arial" w:eastAsia="Arial" w:hAnsi="Arial"/>
          <w:sz w:val="17"/>
          <w:szCs w:val="17"/>
          <w:color w:val="auto"/>
        </w:rPr>
        <w:t>of any rule or regulation made pursuant to any such law.</w:t>
      </w:r>
    </w:p>
    <w:p>
      <w:pPr>
        <w:spacing w:after="0" w:line="129" w:lineRule="exact"/>
        <w:rPr>
          <w:sz w:val="20"/>
          <w:szCs w:val="20"/>
          <w:color w:val="auto"/>
        </w:rPr>
      </w:pPr>
    </w:p>
    <w:p>
      <w:pPr>
        <w:ind w:left="348"/>
        <w:spacing w:after="0" w:line="342" w:lineRule="auto"/>
        <w:rPr>
          <w:sz w:val="20"/>
          <w:szCs w:val="20"/>
          <w:color w:val="auto"/>
        </w:rPr>
      </w:pPr>
      <w:r>
        <w:rPr>
          <w:rFonts w:ascii="Arial" w:cs="Arial" w:eastAsia="Arial" w:hAnsi="Arial"/>
          <w:sz w:val="16"/>
          <w:szCs w:val="16"/>
          <w:color w:val="auto"/>
        </w:rPr>
        <w:t>unless such loss, in the absence of such laws, rules or regulations, would be covered under Insuring Agreements (A) or (E).</w:t>
      </w:r>
    </w:p>
    <w:p>
      <w:pPr>
        <w:spacing w:after="0" w:line="29" w:lineRule="exact"/>
        <w:rPr>
          <w:sz w:val="20"/>
          <w:szCs w:val="20"/>
          <w:color w:val="auto"/>
        </w:rPr>
      </w:pPr>
    </w:p>
    <w:p>
      <w:pPr>
        <w:jc w:val="both"/>
        <w:ind w:left="368" w:hanging="368"/>
        <w:spacing w:after="0" w:line="274" w:lineRule="auto"/>
        <w:tabs>
          <w:tab w:leader="none" w:pos="3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Property or loss of privileges through the misplacement or loss of Property as set forth in Insuring Agreement (C) or</w:t>
      </w:r>
    </w:p>
    <w:p>
      <w:pPr>
        <w:jc w:val="both"/>
        <w:ind w:left="368" w:hanging="3"/>
        <w:spacing w:after="0" w:line="265" w:lineRule="auto"/>
        <w:tabs>
          <w:tab w:leader="none" w:pos="687" w:val="left"/>
        </w:tabs>
        <w:numPr>
          <w:ilvl w:val="1"/>
          <w:numId w:val="30"/>
        </w:numPr>
        <w:rPr>
          <w:rFonts w:ascii="Arial" w:cs="Arial" w:eastAsia="Arial" w:hAnsi="Arial"/>
          <w:sz w:val="17"/>
          <w:szCs w:val="17"/>
          <w:color w:val="auto"/>
        </w:rPr>
      </w:pPr>
      <w:r>
        <w:rPr>
          <w:rFonts w:ascii="Arial" w:cs="Arial" w:eastAsia="Arial" w:hAnsi="Arial"/>
          <w:sz w:val="17"/>
          <w:szCs w:val="17"/>
          <w:color w:val="auto"/>
        </w:rPr>
        <w:t>while the Property is in the custody of any armored motor vehicle company, unless such loss shall be in excess of the amount recovered or received by the Insured under (a) the Insured’s contract with said armored motor vehicle company,</w:t>
      </w:r>
    </w:p>
    <w:p>
      <w:pPr>
        <w:jc w:val="both"/>
        <w:ind w:left="368"/>
        <w:spacing w:after="0" w:line="292" w:lineRule="auto"/>
        <w:rPr>
          <w:rFonts w:ascii="Arial" w:cs="Arial" w:eastAsia="Arial" w:hAnsi="Arial"/>
          <w:sz w:val="17"/>
          <w:szCs w:val="17"/>
          <w:color w:val="auto"/>
        </w:rPr>
      </w:pPr>
      <w:r>
        <w:rPr>
          <w:rFonts w:ascii="Arial" w:cs="Arial" w:eastAsia="Arial" w:hAnsi="Arial"/>
          <w:sz w:val="16"/>
          <w:szCs w:val="16"/>
          <w:color w:val="auto"/>
        </w:rPr>
        <w:t>(b)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68" w:lineRule="exact"/>
        <w:rPr>
          <w:rFonts w:ascii="Arial" w:cs="Arial" w:eastAsia="Arial" w:hAnsi="Arial"/>
          <w:sz w:val="17"/>
          <w:szCs w:val="17"/>
          <w:color w:val="auto"/>
        </w:rPr>
      </w:pPr>
    </w:p>
    <w:p>
      <w:pPr>
        <w:jc w:val="both"/>
        <w:ind w:left="368" w:hanging="368"/>
        <w:spacing w:after="0" w:line="288" w:lineRule="auto"/>
        <w:tabs>
          <w:tab w:leader="none" w:pos="3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because of a loss covered under this bond, except as included under Insuring Agreement</w:t>
      </w:r>
    </w:p>
    <w:p>
      <w:pPr>
        <w:spacing w:after="0"/>
        <w:tabs>
          <w:tab w:leader="none" w:pos="0" w:val="left"/>
        </w:tabs>
        <w:numPr>
          <w:ilvl w:val="1"/>
          <w:numId w:val="31"/>
        </w:numPr>
        <w:rPr>
          <w:rFonts w:ascii="Arial" w:cs="Arial" w:eastAsia="Arial" w:hAnsi="Arial"/>
          <w:sz w:val="18"/>
          <w:szCs w:val="18"/>
          <w:color w:val="auto"/>
        </w:rPr>
      </w:pPr>
    </w:p>
    <w:p>
      <w:pPr>
        <w:spacing w:after="0" w:line="116" w:lineRule="exact"/>
        <w:rPr>
          <w:rFonts w:ascii="Arial" w:cs="Arial" w:eastAsia="Arial" w:hAnsi="Arial"/>
          <w:sz w:val="18"/>
          <w:szCs w:val="18"/>
          <w:color w:val="auto"/>
        </w:rPr>
      </w:pPr>
    </w:p>
    <w:p>
      <w:pPr>
        <w:jc w:val="both"/>
        <w:ind w:left="368" w:right="20" w:hanging="368"/>
        <w:spacing w:after="0" w:line="264" w:lineRule="auto"/>
        <w:tabs>
          <w:tab w:leader="none" w:pos="3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 direct compensatory damages arising from a loss covered under this bond.</w:t>
      </w:r>
    </w:p>
    <w:p>
      <w:pPr>
        <w:spacing w:after="0" w:line="86" w:lineRule="exact"/>
        <w:rPr>
          <w:rFonts w:ascii="Arial" w:cs="Arial" w:eastAsia="Arial" w:hAnsi="Arial"/>
          <w:sz w:val="18"/>
          <w:szCs w:val="18"/>
          <w:color w:val="auto"/>
        </w:rPr>
      </w:pPr>
    </w:p>
    <w:p>
      <w:pPr>
        <w:ind w:left="368" w:right="20" w:hanging="368"/>
        <w:spacing w:after="0" w:line="277" w:lineRule="auto"/>
        <w:tabs>
          <w:tab w:leader="none" w:pos="3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76" w:lineRule="exact"/>
        <w:rPr>
          <w:sz w:val="20"/>
          <w:szCs w:val="20"/>
          <w:color w:val="auto"/>
        </w:rPr>
      </w:pPr>
    </w:p>
    <w:p>
      <w:pPr>
        <w:jc w:val="both"/>
        <w:ind w:left="728" w:right="20" w:hanging="363"/>
        <w:spacing w:after="0" w:line="302" w:lineRule="auto"/>
        <w:tabs>
          <w:tab w:leader="none" w:pos="7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584" w:lineRule="exact"/>
        <w:rPr>
          <w:sz w:val="20"/>
          <w:szCs w:val="20"/>
          <w:color w:val="auto"/>
        </w:rPr>
      </w:pPr>
    </w:p>
    <w:p>
      <w:pPr>
        <w:sectPr>
          <w:pgSz w:w="11900" w:h="16838" w:orient="portrait"/>
          <w:cols w:equalWidth="0" w:num="2">
            <w:col w:w="5480" w:space="712"/>
            <w:col w:w="5108"/>
          </w:cols>
          <w:pgMar w:left="240" w:top="328" w:right="35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6 of 12</w:t>
            </w:r>
          </w:p>
        </w:tc>
      </w:tr>
    </w:tbl>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0" w:name="page11"/>
    <w:bookmarkEnd w:id="10"/>
    <w:p>
      <w:pPr>
        <w:ind w:left="1100" w:right="20" w:hanging="363"/>
        <w:spacing w:after="0" w:line="308" w:lineRule="auto"/>
        <w:tabs>
          <w:tab w:leader="none" w:pos="11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to do damage to the premises or Property of the Insured, except when covered under Insuring Agreement (A).</w:t>
      </w:r>
    </w:p>
    <w:p>
      <w:pPr>
        <w:spacing w:after="0" w:line="51"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92" w:lineRule="exact"/>
        <w:rPr>
          <w:rFonts w:ascii="Arial" w:cs="Arial" w:eastAsia="Arial" w:hAnsi="Arial"/>
          <w:sz w:val="18"/>
          <w:szCs w:val="18"/>
          <w:color w:val="auto"/>
        </w:rPr>
      </w:pPr>
    </w:p>
    <w:p>
      <w:pPr>
        <w:jc w:val="both"/>
        <w:ind w:left="740" w:hanging="367"/>
        <w:spacing w:after="0" w:line="290"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loss resulting from payments made or withdrawals from the account of a customer of the Insured, shareholder or subscriber to shares involving funds erroneously credited to such account, unless such payments are made to or withdrawn by such depositors or representative of such person, who is within the premises of the drawee bank of the Insured or within the office of the Insured at the time of such payment or withdrawal or unless such payment is covered under Insuring Agreement (A).</w:t>
      </w:r>
    </w:p>
    <w:p>
      <w:pPr>
        <w:spacing w:after="0" w:line="71" w:lineRule="exact"/>
        <w:rPr>
          <w:rFonts w:ascii="Arial" w:cs="Arial" w:eastAsia="Arial" w:hAnsi="Arial"/>
          <w:sz w:val="16"/>
          <w:szCs w:val="16"/>
          <w:color w:val="auto"/>
        </w:rPr>
      </w:pPr>
    </w:p>
    <w:p>
      <w:pPr>
        <w:jc w:val="both"/>
        <w:ind w:left="740" w:hanging="367"/>
        <w:spacing w:after="0" w:line="302"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ASSIGNMENT OF RIGHTS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bond does not afford coverage in favor of any Employers of temporary personnel or of processors as set forth in sub-sections (6) and (7) 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6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LOSS - NOTICE - PROOF - LEGAL PROCEEDINGS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bond is for the use and benefit only of the Insured named in the Declarations and 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jc w:val="both"/>
        <w:ind w:left="300"/>
        <w:spacing w:after="0" w:line="284" w:lineRule="auto"/>
        <w:rPr>
          <w:sz w:val="20"/>
          <w:szCs w:val="20"/>
          <w:color w:val="auto"/>
        </w:rPr>
      </w:pPr>
      <w:r>
        <w:rPr>
          <w:rFonts w:ascii="Arial" w:cs="Arial" w:eastAsia="Arial" w:hAnsi="Arial"/>
          <w:sz w:val="16"/>
          <w:szCs w:val="16"/>
          <w:color w:val="auto"/>
        </w:rPr>
        <w:t>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proceedings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-3160395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Discovery occurs when the Insured:</w:t>
      </w:r>
    </w:p>
    <w:p>
      <w:pPr>
        <w:spacing w:after="0" w:line="131" w:lineRule="exact"/>
        <w:rPr>
          <w:sz w:val="20"/>
          <w:szCs w:val="20"/>
          <w:color w:val="auto"/>
        </w:rPr>
      </w:pPr>
    </w:p>
    <w:p>
      <w:pPr>
        <w:ind w:left="1040" w:hanging="368"/>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130" w:lineRule="exact"/>
        <w:rPr>
          <w:rFonts w:ascii="Arial" w:cs="Arial" w:eastAsia="Arial" w:hAnsi="Arial"/>
          <w:sz w:val="18"/>
          <w:szCs w:val="18"/>
          <w:color w:val="auto"/>
        </w:rPr>
      </w:pPr>
    </w:p>
    <w:p>
      <w:pPr>
        <w:jc w:val="both"/>
        <w:ind w:left="1040" w:hanging="368"/>
        <w:spacing w:after="0" w:line="34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receives written notice of an actual or potential claim by a third party which alleges that the Insured is liable under circumstances,</w:t>
      </w:r>
    </w:p>
    <w:p>
      <w:pPr>
        <w:spacing w:after="0" w:line="16" w:lineRule="exact"/>
        <w:rPr>
          <w:sz w:val="20"/>
          <w:szCs w:val="20"/>
          <w:color w:val="auto"/>
        </w:rPr>
      </w:pPr>
    </w:p>
    <w:p>
      <w:pPr>
        <w:jc w:val="both"/>
        <w:ind w:left="300"/>
        <w:spacing w:after="0" w:line="264" w:lineRule="auto"/>
        <w:rPr>
          <w:sz w:val="20"/>
          <w:szCs w:val="20"/>
          <w:color w:val="auto"/>
        </w:rPr>
      </w:pPr>
      <w:r>
        <w:rPr>
          <w:rFonts w:ascii="Arial" w:cs="Arial" w:eastAsia="Arial" w:hAnsi="Arial"/>
          <w:sz w:val="18"/>
          <w:szCs w:val="18"/>
          <w:color w:val="auto"/>
        </w:rPr>
        <w:t>which would cause a reasonable person to assume that a loss covered by the bond has been or will be incurred even though the exact amount or details of loss may not be then known.</w:t>
      </w:r>
    </w:p>
    <w:p>
      <w:pPr>
        <w:spacing w:after="0" w:line="73"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VALUATION OF PROPERTY</w:t>
      </w:r>
    </w:p>
    <w:p>
      <w:pPr>
        <w:spacing w:after="0" w:line="117"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7 of 12</w:t>
      </w:r>
    </w:p>
    <w:p>
      <w:pPr>
        <w:sectPr>
          <w:pgSz w:w="11900" w:h="16838" w:orient="portrait"/>
          <w:cols w:equalWidth="0" w:num="2">
            <w:col w:w="5480" w:space="40"/>
            <w:col w:w="5780"/>
          </w:cols>
          <w:pgMar w:left="240" w:top="328" w:right="35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color w:val="auto"/>
        </w:rPr>
        <w:t>rights, or other securities, the production of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VALUATION OF PREMISES AND FURNISHINGS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LOST SECURITIES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Underwriter shall make payment to the Insured for any loss of securities, the Insured shall thereupon assign to the Underwriter all of the Insured’s rights, title and interest in and to said securities.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indemnify the Underwriter against all loss or expense that the Underwriter may sustain because of the issuance of such Lost Instrument Bond or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-552450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SALVAGE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9. NON-REDUCTION AND NON-ACCUMULATION OF LIABILITY AND TOTAL LIABILITY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or premiums which shall be payable or paid, the liability of the Underwriter under this bond with respect to all loss resulting from:</w:t>
      </w:r>
    </w:p>
    <w:p>
      <w:pPr>
        <w:spacing w:after="0" w:line="83" w:lineRule="exact"/>
        <w:rPr>
          <w:sz w:val="20"/>
          <w:szCs w:val="20"/>
          <w:color w:val="auto"/>
        </w:rPr>
      </w:pPr>
    </w:p>
    <w:p>
      <w:pPr>
        <w:jc w:val="both"/>
        <w:ind w:left="740" w:hanging="368"/>
        <w:spacing w:after="0" w:line="264"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86"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one unintentional or negligent act on the part of any other person resulting in damage to or destruction or misplacement of Property, shall be deemed to be one loss, or</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8 of 12</w:t>
            </w:r>
          </w:p>
        </w:tc>
      </w:tr>
    </w:tbl>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2" w:name="page13"/>
    <w:bookmarkEnd w:id="12"/>
    <w:p>
      <w:pPr>
        <w:ind w:left="740" w:right="20" w:hanging="367"/>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any one person shall be deemed to be one loss, or</w:t>
      </w:r>
    </w:p>
    <w:p>
      <w:pPr>
        <w:spacing w:after="0" w:line="35" w:lineRule="exact"/>
        <w:rPr>
          <w:rFonts w:ascii="Arial" w:cs="Arial" w:eastAsia="Arial" w:hAnsi="Arial"/>
          <w:sz w:val="18"/>
          <w:szCs w:val="18"/>
          <w:color w:val="auto"/>
        </w:rPr>
      </w:pPr>
    </w:p>
    <w:p>
      <w:pPr>
        <w:jc w:val="both"/>
        <w:ind w:left="740" w:hanging="367"/>
        <w:spacing w:after="0" w:line="253"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62" w:lineRule="exact"/>
        <w:rPr>
          <w:rFonts w:ascii="Arial" w:cs="Arial" w:eastAsia="Arial" w:hAnsi="Arial"/>
          <w:sz w:val="18"/>
          <w:szCs w:val="18"/>
          <w:color w:val="auto"/>
        </w:rPr>
      </w:pPr>
    </w:p>
    <w:p>
      <w:pPr>
        <w:ind w:left="740" w:hanging="367"/>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one casualty or event other than those specified in (a), (b),</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(c) or (d) preceding, shall be deemed to be one loss, and</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w:t>
        <w:tab/>
        <w:t>LIMIT OF LIABILITY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of discovery has not expired at the time any such loss thereunder is discovered, the total liability of the Underwriter under this bond and under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OTHER INSURANCE</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5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DEDUCTIBLE</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-1795145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Insured will bear, in addition to the Deductible Amount, premiums on Lost Instrument Bonds as set forth in Section 7.</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TERMINATION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53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9 of 12</w:t>
            </w:r>
          </w:p>
        </w:tc>
      </w:tr>
    </w:tbl>
    <w:p>
      <w:pPr>
        <w:ind w:left="220" w:hanging="212"/>
        <w:spacing w:after="0"/>
        <w:tabs>
          <w:tab w:leader="none" w:pos="220" w:val="left"/>
        </w:tabs>
        <w:numPr>
          <w:ilvl w:val="0"/>
          <w:numId w:val="42"/>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3" w:name="page14"/>
    <w:bookmarkEnd w:id="13"/>
    <w:p>
      <w:pPr>
        <w:jc w:val="both"/>
        <w:spacing w:after="0" w:line="286" w:lineRule="auto"/>
        <w:rPr>
          <w:sz w:val="20"/>
          <w:szCs w:val="20"/>
          <w:color w:val="auto"/>
        </w:rPr>
      </w:pPr>
      <w:r>
        <w:rPr>
          <w:rFonts w:ascii="Arial" w:cs="Arial" w:eastAsia="Arial" w:hAnsi="Arial"/>
          <w:sz w:val="17"/>
          <w:szCs w:val="17"/>
          <w:color w:val="auto"/>
        </w:rPr>
        <w:t>The Underwriter shall refund the unearned premium computed at short rates in accordance with the standard short rate cancellation tables if terminated by the Insured or pro rata if terminated for any other reason.</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Bond shall terminate:</w:t>
      </w:r>
    </w:p>
    <w:p>
      <w:pPr>
        <w:spacing w:after="0" w:line="131" w:lineRule="exact"/>
        <w:rPr>
          <w:sz w:val="20"/>
          <w:szCs w:val="20"/>
          <w:color w:val="auto"/>
        </w:rPr>
      </w:pPr>
    </w:p>
    <w:p>
      <w:pPr>
        <w:jc w:val="both"/>
        <w:ind w:left="740" w:hanging="367"/>
        <w:spacing w:after="0" w:line="273"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83"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 Securities and Exchange Commission of a written notice from the Underwriter of its desire to terminate this bond as to such Employee, or</w:t>
      </w:r>
    </w:p>
    <w:p>
      <w:pPr>
        <w:spacing w:after="0" w:line="92" w:lineRule="exact"/>
        <w:rPr>
          <w:rFonts w:ascii="Arial" w:cs="Arial" w:eastAsia="Arial" w:hAnsi="Arial"/>
          <w:sz w:val="18"/>
          <w:szCs w:val="18"/>
          <w:color w:val="auto"/>
        </w:rPr>
      </w:pPr>
    </w:p>
    <w:p>
      <w:pPr>
        <w:jc w:val="both"/>
        <w:ind w:left="740" w:hanging="367"/>
        <w:spacing w:after="0" w:line="271"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7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RIGHTS AFTER TERMINATION OR CANCELLATION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any time prior to the termination or cancellation of this bond as an entirety, whether by the Insured or the Underwriter, the Insured may give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receipt of such notice from the Insured, the Underwriter shall give its written consent thereto; provided, however, that such additional period of time shall terminate immediately:</w:t>
      </w:r>
    </w:p>
    <w:p>
      <w:pPr>
        <w:spacing w:after="0" w:line="87" w:lineRule="exact"/>
        <w:rPr>
          <w:sz w:val="20"/>
          <w:szCs w:val="20"/>
          <w:color w:val="auto"/>
        </w:rPr>
      </w:pPr>
    </w:p>
    <w:p>
      <w:pPr>
        <w:jc w:val="both"/>
        <w:ind w:left="740" w:hanging="367"/>
        <w:spacing w:after="0" w:line="25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20" w:lineRule="exact"/>
        <w:rPr>
          <w:sz w:val="20"/>
          <w:szCs w:val="20"/>
          <w:color w:val="auto"/>
        </w:rPr>
      </w:pPr>
      <w:r>
        <w:rPr>
          <w:sz w:val="20"/>
          <w:szCs w:val="20"/>
          <w:color w:val="auto"/>
        </w:rPr>
        <w:br w:type="column"/>
      </w:r>
    </w:p>
    <w:p>
      <w:pPr>
        <w:jc w:val="both"/>
        <w:ind w:left="740" w:hanging="368"/>
        <w:spacing w:after="0" w:line="273"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upon takeover of the Insured’s business by any State or Federal official or agency, or by any receiver or liquidator, acting or appointed for this purpose without the necessity of the Underwriter giving notice of such termination. In the event that such additional period of time is terminated, as provided above, the Underwriter shall refund any unearned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-965835</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right to purchase such additional period for the discovery of loss may not be exercised by any State or Federal official or agency, or by a receiver or liquidator, acting or appointed to take over the Insured’s business for the operation or for the liquidation thereof or for any purpose.</w:t>
      </w:r>
    </w:p>
    <w:p>
      <w:pPr>
        <w:spacing w:after="0" w:line="4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color w:val="auto"/>
        </w:rPr>
        <w:t>CENTRAL HANDLING OF SECURITIES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included in the system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effected by the making of appropriate entries on the books and records of such Corporations shall be deemed to be Property.</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or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the said Exchanges or Corporations on a contract basis.</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w:t>
      </w:r>
    </w:p>
    <w:p>
      <w:pPr>
        <w:spacing w:after="0" w:line="568"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ICB005 Ed. 7-04</w:t>
            </w:r>
          </w:p>
        </w:tc>
        <w:tc>
          <w:tcPr>
            <w:tcW w:w="2720" w:type="dxa"/>
            <w:vAlign w:val="bottom"/>
          </w:tcPr>
          <w:p>
            <w:pPr>
              <w:ind w:left="2120"/>
              <w:spacing w:after="0"/>
              <w:rPr>
                <w:sz w:val="20"/>
                <w:szCs w:val="20"/>
                <w:color w:val="auto"/>
              </w:rPr>
            </w:pPr>
            <w:r>
              <w:rPr>
                <w:rFonts w:ascii="Arial" w:cs="Arial" w:eastAsia="Arial" w:hAnsi="Arial"/>
                <w:sz w:val="18"/>
                <w:szCs w:val="18"/>
                <w:color w:val="auto"/>
                <w:w w:val="89"/>
              </w:rPr>
              <w:t>10 of 12</w:t>
            </w:r>
          </w:p>
        </w:tc>
      </w:tr>
    </w:tbl>
    <w:p>
      <w:pPr>
        <w:ind w:left="220" w:hanging="212"/>
        <w:spacing w:after="0"/>
        <w:tabs>
          <w:tab w:leader="none" w:pos="220" w:val="left"/>
        </w:tabs>
        <w:numPr>
          <w:ilvl w:val="0"/>
          <w:numId w:val="4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only for the Insured’s share of such excess loss(es), but in no event for more than the Limit of Liability applicable hereunder.</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all such interests and that the Insured’s share of such excess loss(es) shall be the amount of the Insured’s interest in such Property in excess of the amount(s) so apportioned to the Insured by such Corporations.</w:t>
      </w: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the Underwriter the rights provided for herein.</w:t>
      </w:r>
    </w:p>
    <w:p>
      <w:pPr>
        <w:spacing w:after="0" w:line="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color w:val="auto"/>
        </w:rPr>
        <w:t>ADDITIONAL COMPANIES INCLUDED AS INSURED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more than one corporation, co-partnership or person or any combination of them be included as the Insured herein:</w:t>
      </w:r>
    </w:p>
    <w:p>
      <w:pPr>
        <w:spacing w:after="0" w:line="76" w:lineRule="exact"/>
        <w:rPr>
          <w:sz w:val="20"/>
          <w:szCs w:val="20"/>
          <w:color w:val="auto"/>
        </w:rPr>
      </w:pPr>
    </w:p>
    <w:p>
      <w:pPr>
        <w:jc w:val="both"/>
        <w:ind w:left="740" w:hanging="367"/>
        <w:spacing w:after="0" w:line="279" w:lineRule="auto"/>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76"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one first named herein shall be deemed authorized to make, adjust and receive and enforce payment of all claims hereunder and shall be deemed to be the agent of the others for such purposes and for the giving or</w:t>
      </w:r>
    </w:p>
    <w:p>
      <w:pPr>
        <w:spacing w:after="0" w:line="20" w:lineRule="exact"/>
        <w:rPr>
          <w:sz w:val="20"/>
          <w:szCs w:val="20"/>
          <w:color w:val="auto"/>
        </w:rPr>
      </w:pPr>
      <w:r>
        <w:rPr>
          <w:sz w:val="20"/>
          <w:szCs w:val="20"/>
          <w:color w:val="auto"/>
        </w:rPr>
        <w:br w:type="column"/>
      </w:r>
    </w:p>
    <w:p>
      <w:pPr>
        <w:jc w:val="both"/>
        <w:ind w:left="740"/>
        <w:spacing w:after="0" w:line="255" w:lineRule="auto"/>
        <w:rPr>
          <w:sz w:val="20"/>
          <w:szCs w:val="20"/>
          <w:color w:val="auto"/>
        </w:rPr>
      </w:pPr>
      <w:r>
        <w:rPr>
          <w:rFonts w:ascii="Arial" w:cs="Arial" w:eastAsia="Arial" w:hAnsi="Arial"/>
          <w:sz w:val="18"/>
          <w:szCs w:val="18"/>
          <w:color w:val="auto"/>
        </w:rPr>
        <w:t>receiving of any notice required or permitted to be given by the terms 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-956945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jc w:val="both"/>
        <w:ind w:left="740" w:right="20" w:hanging="368"/>
        <w:spacing w:after="0" w:line="264"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Underwriter shall not be responsible for the proper application of any payment made hereunder to said first named Insured;</w:t>
      </w:r>
    </w:p>
    <w:p>
      <w:pPr>
        <w:spacing w:after="0" w:line="86"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of supervisory Employee of any Insured shall for the purposes of Section 4 and Section 13 of this bond constitute knowledge or discovery by all the Insured; and</w:t>
      </w:r>
    </w:p>
    <w:p>
      <w:pPr>
        <w:spacing w:after="0" w:line="92"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7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color w:val="auto"/>
        </w:rPr>
        <w:t>NOTICE AND CHANGE OF CONTROL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Insured obtaining knowledge of a transfer of its outstanding voting securities which results in a change in control (as set forth in Section 2(a) (9) of the Investment Company Act of 1940) of the Insured, the Insured shall within thirty (30) days of such knowledge give written notice to the Underwriter setting forth:</w:t>
      </w:r>
    </w:p>
    <w:p>
      <w:pPr>
        <w:spacing w:after="0" w:line="94" w:lineRule="exact"/>
        <w:rPr>
          <w:sz w:val="20"/>
          <w:szCs w:val="20"/>
          <w:color w:val="auto"/>
        </w:rPr>
      </w:pPr>
    </w:p>
    <w:p>
      <w:pPr>
        <w:jc w:val="both"/>
        <w:ind w:left="740" w:hanging="368"/>
        <w:spacing w:after="0" w:line="264"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86" w:lineRule="exact"/>
        <w:rPr>
          <w:rFonts w:ascii="Arial" w:cs="Arial" w:eastAsia="Arial" w:hAnsi="Arial"/>
          <w:sz w:val="18"/>
          <w:szCs w:val="18"/>
          <w:color w:val="auto"/>
        </w:rPr>
      </w:pPr>
    </w:p>
    <w:p>
      <w:pPr>
        <w:jc w:val="both"/>
        <w:ind w:left="740" w:hanging="368"/>
        <w:spacing w:after="0" w:line="264"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number of voting securities owned by the transferors and the transferees (or the beneficial owners), both immediately before and after the transfer, and</w:t>
      </w:r>
    </w:p>
    <w:p>
      <w:pPr>
        <w:spacing w:after="0" w:line="86"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section, control means the power to exercise a controlling influence over the management or policies of the Insured.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Failing to give the required notice shall result in termination of coverage of this bond, effective upon the date of stock transfer for any loss in which any transferee is concerned or implicated.</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ICB005 Ed. 7-04</w:t>
            </w:r>
          </w:p>
        </w:tc>
        <w:tc>
          <w:tcPr>
            <w:tcW w:w="2720" w:type="dxa"/>
            <w:vAlign w:val="bottom"/>
          </w:tcPr>
          <w:p>
            <w:pPr>
              <w:ind w:left="2120"/>
              <w:spacing w:after="0"/>
              <w:rPr>
                <w:sz w:val="20"/>
                <w:szCs w:val="20"/>
                <w:color w:val="auto"/>
              </w:rPr>
            </w:pPr>
            <w:r>
              <w:rPr>
                <w:rFonts w:ascii="Arial" w:cs="Arial" w:eastAsia="Arial" w:hAnsi="Arial"/>
                <w:sz w:val="18"/>
                <w:szCs w:val="18"/>
                <w:color w:val="auto"/>
                <w:w w:val="89"/>
              </w:rPr>
              <w:t>11 of 12</w:t>
            </w:r>
          </w:p>
        </w:tc>
      </w:tr>
    </w:tbl>
    <w:p>
      <w:pPr>
        <w:ind w:left="220" w:hanging="212"/>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5" w:name="page16"/>
    <w:bookmarkEnd w:id="15"/>
    <w:p>
      <w:pPr>
        <w:spacing w:after="0"/>
        <w:tabs>
          <w:tab w:leader="none" w:pos="120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color w:val="auto"/>
        </w:rPr>
        <w:t>CHANGE OR MODIFICATION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jc w:val="both"/>
        <w:ind w:left="340"/>
        <w:spacing w:after="0" w:line="255" w:lineRule="auto"/>
        <w:rPr>
          <w:sz w:val="20"/>
          <w:szCs w:val="20"/>
          <w:color w:val="auto"/>
        </w:rPr>
      </w:pPr>
      <w:r>
        <w:rPr>
          <w:rFonts w:ascii="Arial" w:cs="Arial" w:eastAsia="Arial" w:hAnsi="Arial"/>
          <w:sz w:val="18"/>
          <w:szCs w:val="18"/>
          <w:color w:val="auto"/>
        </w:rPr>
        <w:t>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 effective date of any change or modification which would adversely affect the rights of such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-1096645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12 of 12</w:t>
      </w:r>
    </w:p>
    <w:p>
      <w:pPr>
        <w:sectPr>
          <w:pgSz w:w="11900" w:h="16838" w:orient="portrait"/>
          <w:cols w:equalWidth="0" w:num="2">
            <w:col w:w="5480" w:space="0"/>
            <w:col w:w="5820"/>
          </w:cols>
          <w:pgMar w:left="240" w:top="328" w:right="359" w:bottom="1440" w:gutter="0" w:footer="0" w:header="0"/>
        </w:sectPr>
      </w:pPr>
    </w:p>
    <w:bookmarkStart w:id="16" w:name="page17"/>
    <w:bookmarkEnd w:id="16"/>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Borders>
              <w:top w:val="single" w:sz="8" w:color="auto"/>
              <w:right w:val="single" w:sz="8" w:color="auto"/>
            </w:tcBorders>
          </w:tcPr>
          <w:p>
            <w:pPr>
              <w:jc w:val="center"/>
              <w:ind w:left="67"/>
              <w:spacing w:after="0" w:line="121" w:lineRule="exact"/>
              <w:rPr>
                <w:sz w:val="20"/>
                <w:szCs w:val="20"/>
                <w:color w:val="auto"/>
              </w:rPr>
            </w:pPr>
            <w:r>
              <w:rPr>
                <w:rFonts w:ascii="Arial" w:cs="Arial" w:eastAsia="Arial" w:hAnsi="Arial"/>
                <w:sz w:val="13"/>
                <w:szCs w:val="13"/>
                <w:color w:val="auto"/>
                <w:w w:val="92"/>
              </w:rPr>
              <w:t>ATTACHED TO AND FORMING PART OF</w:t>
            </w:r>
          </w:p>
        </w:tc>
        <w:tc>
          <w:tcPr>
            <w:tcW w:w="2180" w:type="dxa"/>
            <w:vAlign w:val="bottom"/>
            <w:tcBorders>
              <w:top w:val="single" w:sz="8" w:color="auto"/>
              <w:right w:val="single" w:sz="8" w:color="auto"/>
            </w:tcBorders>
          </w:tcPr>
          <w:p>
            <w:pPr>
              <w:jc w:val="center"/>
              <w:ind w:left="3"/>
              <w:spacing w:after="0" w:line="121" w:lineRule="exact"/>
              <w:rPr>
                <w:sz w:val="20"/>
                <w:szCs w:val="20"/>
                <w:color w:val="auto"/>
              </w:rPr>
            </w:pPr>
            <w:r>
              <w:rPr>
                <w:rFonts w:ascii="Arial" w:cs="Arial" w:eastAsia="Arial" w:hAnsi="Arial"/>
                <w:sz w:val="13"/>
                <w:szCs w:val="13"/>
                <w:color w:val="auto"/>
                <w:w w:val="93"/>
              </w:rPr>
              <w:t>DATE ENDORSEMENT</w:t>
            </w:r>
          </w:p>
        </w:tc>
        <w:tc>
          <w:tcPr>
            <w:tcW w:w="6120" w:type="dxa"/>
            <w:vAlign w:val="bottom"/>
            <w:tcBorders>
              <w:top w:val="single" w:sz="8" w:color="auto"/>
            </w:tcBorders>
          </w:tcPr>
          <w:p>
            <w:pPr>
              <w:ind w:left="8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35"/>
        </w:trPr>
        <w:tc>
          <w:tcPr>
            <w:tcW w:w="3120" w:type="dxa"/>
            <w:vAlign w:val="bottom"/>
            <w:tcBorders>
              <w:right w:val="single" w:sz="8" w:color="auto"/>
            </w:tcBorders>
          </w:tcPr>
          <w:p>
            <w:pPr>
              <w:jc w:val="center"/>
              <w:ind w:left="67"/>
              <w:spacing w:after="0" w:line="135" w:lineRule="exact"/>
              <w:rPr>
                <w:sz w:val="20"/>
                <w:szCs w:val="20"/>
                <w:color w:val="auto"/>
              </w:rPr>
            </w:pPr>
            <w:r>
              <w:rPr>
                <w:rFonts w:ascii="Arial" w:cs="Arial" w:eastAsia="Arial" w:hAnsi="Arial"/>
                <w:sz w:val="13"/>
                <w:szCs w:val="13"/>
                <w:color w:val="auto"/>
                <w:w w:val="93"/>
              </w:rPr>
              <w:t>BOND OR POLICY NO.</w:t>
            </w:r>
          </w:p>
        </w:tc>
        <w:tc>
          <w:tcPr>
            <w:tcW w:w="2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OR RIDER EXECUTED</w:t>
            </w:r>
          </w:p>
        </w:tc>
        <w:tc>
          <w:tcPr>
            <w:tcW w:w="6120" w:type="dxa"/>
            <w:vAlign w:val="bottom"/>
          </w:tcPr>
          <w:p>
            <w:pPr>
              <w:ind w:left="1880"/>
              <w:spacing w:after="0" w:line="135" w:lineRule="exact"/>
              <w:rPr>
                <w:sz w:val="20"/>
                <w:szCs w:val="20"/>
                <w:color w:val="auto"/>
              </w:rPr>
            </w:pPr>
            <w:r>
              <w:rPr>
                <w:rFonts w:ascii="Arial" w:cs="Arial" w:eastAsia="Arial" w:hAnsi="Arial"/>
                <w:sz w:val="13"/>
                <w:szCs w:val="13"/>
                <w:color w:val="auto"/>
              </w:rPr>
              <w:t>12:01 A.M. STANDARD TIME AS</w:t>
            </w:r>
          </w:p>
        </w:tc>
      </w:tr>
      <w:tr>
        <w:trPr>
          <w:trHeight w:val="149"/>
        </w:trPr>
        <w:tc>
          <w:tcPr>
            <w:tcW w:w="312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6120" w:type="dxa"/>
            <w:vAlign w:val="bottom"/>
          </w:tcPr>
          <w:p>
            <w:pPr>
              <w:ind w:left="1880"/>
              <w:spacing w:after="0"/>
              <w:rPr>
                <w:sz w:val="20"/>
                <w:szCs w:val="20"/>
                <w:color w:val="auto"/>
              </w:rPr>
            </w:pPr>
            <w:r>
              <w:rPr>
                <w:rFonts w:ascii="Arial" w:cs="Arial" w:eastAsia="Arial" w:hAnsi="Arial"/>
                <w:sz w:val="13"/>
                <w:szCs w:val="13"/>
                <w:color w:val="auto"/>
              </w:rPr>
              <w:t>SPECIFIED IN THE BOND OR POLICY</w:t>
            </w:r>
          </w:p>
        </w:tc>
      </w:tr>
      <w:tr>
        <w:trPr>
          <w:trHeight w:val="264"/>
        </w:trPr>
        <w:tc>
          <w:tcPr>
            <w:tcW w:w="3120" w:type="dxa"/>
            <w:vAlign w:val="bottom"/>
            <w:tcBorders>
              <w:right w:val="single" w:sz="8" w:color="auto"/>
            </w:tcBorders>
          </w:tcPr>
          <w:p>
            <w:pPr>
              <w:ind w:left="160"/>
              <w:spacing w:after="0"/>
              <w:rPr>
                <w:sz w:val="20"/>
                <w:szCs w:val="20"/>
                <w:color w:val="auto"/>
              </w:rPr>
            </w:pPr>
            <w:r>
              <w:rPr>
                <w:rFonts w:ascii="Arial" w:cs="Arial" w:eastAsia="Arial" w:hAnsi="Arial"/>
                <w:sz w:val="21"/>
                <w:szCs w:val="21"/>
                <w:color w:val="auto"/>
              </w:rPr>
              <w:t>ZBN-41M30652-15-N2</w:t>
            </w:r>
          </w:p>
        </w:tc>
        <w:tc>
          <w:tcPr>
            <w:tcW w:w="218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90"/>
              </w:rPr>
              <w:t>05/27/15</w:t>
            </w:r>
          </w:p>
        </w:tc>
        <w:tc>
          <w:tcPr>
            <w:tcW w:w="6120" w:type="dxa"/>
            <w:vAlign w:val="bottom"/>
          </w:tcPr>
          <w:p>
            <w:pPr>
              <w:jc w:val="right"/>
              <w:ind w:right="5127"/>
              <w:spacing w:after="0"/>
              <w:rPr>
                <w:sz w:val="20"/>
                <w:szCs w:val="20"/>
                <w:color w:val="auto"/>
              </w:rPr>
            </w:pPr>
            <w:r>
              <w:rPr>
                <w:rFonts w:ascii="Arial" w:cs="Arial" w:eastAsia="Arial" w:hAnsi="Arial"/>
                <w:sz w:val="21"/>
                <w:szCs w:val="21"/>
                <w:color w:val="auto"/>
              </w:rPr>
              <w:t>05/31/15</w:t>
            </w:r>
          </w:p>
        </w:tc>
      </w:tr>
      <w:tr>
        <w:trPr>
          <w:trHeight w:val="127"/>
        </w:trPr>
        <w:tc>
          <w:tcPr>
            <w:tcW w:w="312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r>
      <w:tr>
        <w:trPr>
          <w:trHeight w:val="154"/>
        </w:trPr>
        <w:tc>
          <w:tcPr>
            <w:tcW w:w="312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2180" w:type="dxa"/>
            <w:vAlign w:val="bottom"/>
          </w:tcPr>
          <w:p>
            <w:pPr>
              <w:spacing w:after="0"/>
              <w:rPr>
                <w:sz w:val="13"/>
                <w:szCs w:val="13"/>
                <w:color w:val="auto"/>
              </w:rPr>
            </w:pPr>
          </w:p>
        </w:tc>
        <w:tc>
          <w:tcPr>
            <w:tcW w:w="6120" w:type="dxa"/>
            <w:vAlign w:val="bottom"/>
          </w:tcPr>
          <w:p>
            <w:pPr>
              <w:spacing w:after="0"/>
              <w:rPr>
                <w:sz w:val="13"/>
                <w:szCs w:val="13"/>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Named Insured Endorsement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and after the time this rider becomes effective the Insured under the attached bond 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PennantPark Floating Rate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first named Insured shall act for itself and for each and all of the Insured for all the purposes of the attached bond.</w:t>
      </w:r>
    </w:p>
    <w:p>
      <w:pPr>
        <w:spacing w:after="0" w:line="25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Knowledge possessed or discovery made by any Insured or by any partner or officer thereof shall for all the purposes of the attached bond constitute knowledge or discovery by all the Insured.</w:t>
      </w:r>
    </w:p>
    <w:p>
      <w:pPr>
        <w:spacing w:after="0" w:line="197"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prior to the termination of the attached bond in its entirety, the attached bond is terminated as to any Insured, there shall be no liability for any loss sustained by such Insured unless discovered before the time such termination as to such Insured becomes effective.</w:t>
      </w:r>
    </w:p>
    <w:p>
      <w:pPr>
        <w:spacing w:after="0" w:line="197"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liability of the Underwriter for loss or losses sustained by any or all of the Insured shall not exceed the amount for which the Underwriter would be liable had all such loss or losses been sustained by any one of the Insured. Payment by the Underwriter to the first named Insured of loss sustained by any Insured shall fully release the Underwriter on account of such loss.</w:t>
      </w:r>
    </w:p>
    <w:p>
      <w:pPr>
        <w:spacing w:after="0" w:line="208"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the attached bond, then the Insured next named shall thereafter be considered as the first named Insured for all the purposes of the attached bond.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280" w:val="left"/>
          <w:tab w:leader="none" w:pos="10840" w:val="left"/>
          <w:tab w:leader="none" w:pos="11320" w:val="left"/>
        </w:tabs>
        <w:rPr>
          <w:sz w:val="20"/>
          <w:szCs w:val="20"/>
          <w:color w:val="auto"/>
        </w:rPr>
      </w:pPr>
      <w:r>
        <w:rPr>
          <w:rFonts w:ascii="Arial" w:cs="Arial" w:eastAsia="Arial" w:hAnsi="Arial"/>
          <w:sz w:val="18"/>
          <w:szCs w:val="18"/>
          <w:color w:val="auto"/>
        </w:rPr>
        <w:t>ICB010 Ed. 7-04</w:t>
      </w:r>
      <w:r>
        <w:rPr>
          <w:sz w:val="20"/>
          <w:szCs w:val="20"/>
          <w:color w:val="auto"/>
        </w:rPr>
        <w:tab/>
      </w:r>
      <w:r>
        <w:rPr>
          <w:rFonts w:ascii="Arial" w:cs="Arial" w:eastAsia="Arial" w:hAnsi="Arial"/>
          <w:sz w:val="18"/>
          <w:szCs w:val="18"/>
          <w:color w:val="auto"/>
        </w:rPr>
        <w:t>Page</w:t>
        <w:tab/>
        <w:t>1 of</w:t>
      </w:r>
      <w:r>
        <w:rPr>
          <w:sz w:val="20"/>
          <w:szCs w:val="20"/>
          <w:color w:val="auto"/>
        </w:rPr>
        <w:tab/>
      </w:r>
      <w:r>
        <w:rPr>
          <w:rFonts w:ascii="Arial" w:cs="Arial" w:eastAsia="Arial" w:hAnsi="Arial"/>
          <w:sz w:val="14"/>
          <w:szCs w:val="14"/>
          <w:color w:val="auto"/>
        </w:rPr>
        <w:t>1</w:t>
      </w:r>
    </w:p>
    <w:p>
      <w:pPr>
        <w:spacing w:after="0" w:line="23"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17" w:name="page18"/>
    <w:bookmarkEnd w:id="17"/>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Borders>
              <w:top w:val="single" w:sz="8" w:color="auto"/>
              <w:right w:val="single" w:sz="8" w:color="auto"/>
            </w:tcBorders>
          </w:tcPr>
          <w:p>
            <w:pPr>
              <w:ind w:left="100"/>
              <w:spacing w:after="0" w:line="121" w:lineRule="exact"/>
              <w:rPr>
                <w:sz w:val="20"/>
                <w:szCs w:val="20"/>
                <w:color w:val="auto"/>
              </w:rPr>
            </w:pPr>
            <w:r>
              <w:rPr>
                <w:rFonts w:ascii="Arial" w:cs="Arial" w:eastAsia="Arial" w:hAnsi="Arial"/>
                <w:sz w:val="13"/>
                <w:szCs w:val="13"/>
                <w:color w:val="auto"/>
                <w:w w:val="95"/>
              </w:rPr>
              <w:t>ATTACHED TO AND FORMING PART OF BOND OR</w:t>
            </w:r>
          </w:p>
        </w:tc>
        <w:tc>
          <w:tcPr>
            <w:tcW w:w="2180" w:type="dxa"/>
            <w:vAlign w:val="bottom"/>
            <w:tcBorders>
              <w:top w:val="single" w:sz="8" w:color="auto"/>
              <w:right w:val="single" w:sz="8" w:color="auto"/>
            </w:tcBorders>
          </w:tcPr>
          <w:p>
            <w:pPr>
              <w:jc w:val="center"/>
              <w:ind w:left="23"/>
              <w:spacing w:after="0" w:line="121" w:lineRule="exact"/>
              <w:rPr>
                <w:sz w:val="20"/>
                <w:szCs w:val="20"/>
                <w:color w:val="auto"/>
              </w:rPr>
            </w:pPr>
            <w:r>
              <w:rPr>
                <w:rFonts w:ascii="Arial" w:cs="Arial" w:eastAsia="Arial" w:hAnsi="Arial"/>
                <w:sz w:val="13"/>
                <w:szCs w:val="13"/>
                <w:color w:val="auto"/>
                <w:w w:val="91"/>
              </w:rPr>
              <w:t>DATE ENDORSEMENT</w:t>
            </w:r>
          </w:p>
        </w:tc>
        <w:tc>
          <w:tcPr>
            <w:tcW w:w="6120" w:type="dxa"/>
            <w:vAlign w:val="bottom"/>
            <w:tcBorders>
              <w:top w:val="single" w:sz="8" w:color="auto"/>
            </w:tcBorders>
          </w:tcPr>
          <w:p>
            <w:pPr>
              <w:ind w:left="10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49"/>
        </w:trPr>
        <w:tc>
          <w:tcPr>
            <w:tcW w:w="3120" w:type="dxa"/>
            <w:vAlign w:val="bottom"/>
            <w:tcBorders>
              <w:right w:val="single" w:sz="8" w:color="auto"/>
            </w:tcBorders>
          </w:tcPr>
          <w:p>
            <w:pPr>
              <w:ind w:left="1260"/>
              <w:spacing w:after="0"/>
              <w:rPr>
                <w:sz w:val="20"/>
                <w:szCs w:val="20"/>
                <w:color w:val="auto"/>
              </w:rPr>
            </w:pPr>
            <w:r>
              <w:rPr>
                <w:rFonts w:ascii="Arial" w:cs="Arial" w:eastAsia="Arial" w:hAnsi="Arial"/>
                <w:sz w:val="13"/>
                <w:szCs w:val="13"/>
                <w:color w:val="auto"/>
              </w:rPr>
              <w:t>POLICY NO.</w:t>
            </w:r>
          </w:p>
        </w:tc>
        <w:tc>
          <w:tcPr>
            <w:tcW w:w="2180" w:type="dxa"/>
            <w:vAlign w:val="bottom"/>
            <w:tcBorders>
              <w:right w:val="single" w:sz="8" w:color="auto"/>
            </w:tcBorders>
          </w:tcPr>
          <w:p>
            <w:pPr>
              <w:jc w:val="center"/>
              <w:ind w:left="23"/>
              <w:spacing w:after="0"/>
              <w:rPr>
                <w:sz w:val="20"/>
                <w:szCs w:val="20"/>
                <w:color w:val="auto"/>
              </w:rPr>
            </w:pPr>
            <w:r>
              <w:rPr>
                <w:rFonts w:ascii="Arial" w:cs="Arial" w:eastAsia="Arial" w:hAnsi="Arial"/>
                <w:sz w:val="13"/>
                <w:szCs w:val="13"/>
                <w:color w:val="auto"/>
                <w:w w:val="92"/>
              </w:rPr>
              <w:t>OR RIDER EXECUTED</w:t>
            </w:r>
          </w:p>
        </w:tc>
        <w:tc>
          <w:tcPr>
            <w:tcW w:w="6120" w:type="dxa"/>
            <w:vAlign w:val="bottom"/>
          </w:tcPr>
          <w:p>
            <w:pPr>
              <w:ind w:left="2360"/>
              <w:spacing w:after="0"/>
              <w:rPr>
                <w:sz w:val="20"/>
                <w:szCs w:val="20"/>
                <w:color w:val="auto"/>
              </w:rPr>
            </w:pPr>
            <w:r>
              <w:rPr>
                <w:rFonts w:ascii="Arial" w:cs="Arial" w:eastAsia="Arial" w:hAnsi="Arial"/>
                <w:sz w:val="13"/>
                <w:szCs w:val="13"/>
                <w:color w:val="auto"/>
              </w:rPr>
              <w:t>12:01 A.M. STANDARD TIME AS</w:t>
            </w:r>
          </w:p>
        </w:tc>
      </w:tr>
      <w:tr>
        <w:trPr>
          <w:trHeight w:val="136"/>
        </w:trPr>
        <w:tc>
          <w:tcPr>
            <w:tcW w:w="312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6120" w:type="dxa"/>
            <w:vAlign w:val="bottom"/>
          </w:tcPr>
          <w:p>
            <w:pPr>
              <w:ind w:left="2360"/>
              <w:spacing w:after="0" w:line="136" w:lineRule="exact"/>
              <w:rPr>
                <w:sz w:val="20"/>
                <w:szCs w:val="20"/>
                <w:color w:val="auto"/>
              </w:rPr>
            </w:pPr>
            <w:r>
              <w:rPr>
                <w:rFonts w:ascii="Arial" w:cs="Arial" w:eastAsia="Arial" w:hAnsi="Arial"/>
                <w:sz w:val="13"/>
                <w:szCs w:val="13"/>
                <w:color w:val="auto"/>
              </w:rPr>
              <w:t>SPECIFIED IN THE BOND OR POLICY</w:t>
            </w:r>
          </w:p>
        </w:tc>
      </w:tr>
      <w:tr>
        <w:trPr>
          <w:trHeight w:val="264"/>
        </w:trPr>
        <w:tc>
          <w:tcPr>
            <w:tcW w:w="3120" w:type="dxa"/>
            <w:vAlign w:val="bottom"/>
            <w:tcBorders>
              <w:right w:val="single" w:sz="8" w:color="auto"/>
            </w:tcBorders>
          </w:tcPr>
          <w:p>
            <w:pPr>
              <w:ind w:left="260"/>
              <w:spacing w:after="0"/>
              <w:rPr>
                <w:sz w:val="20"/>
                <w:szCs w:val="20"/>
                <w:color w:val="auto"/>
              </w:rPr>
            </w:pPr>
            <w:r>
              <w:rPr>
                <w:rFonts w:ascii="Arial" w:cs="Arial" w:eastAsia="Arial" w:hAnsi="Arial"/>
                <w:sz w:val="21"/>
                <w:szCs w:val="21"/>
                <w:color w:val="auto"/>
              </w:rPr>
              <w:t>ZBN-41M30652-15-N2</w:t>
            </w:r>
          </w:p>
        </w:tc>
        <w:tc>
          <w:tcPr>
            <w:tcW w:w="218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90"/>
              </w:rPr>
              <w:t>05/27/15</w:t>
            </w:r>
          </w:p>
        </w:tc>
        <w:tc>
          <w:tcPr>
            <w:tcW w:w="6120" w:type="dxa"/>
            <w:vAlign w:val="bottom"/>
          </w:tcPr>
          <w:p>
            <w:pPr>
              <w:jc w:val="right"/>
              <w:ind w:right="5107"/>
              <w:spacing w:after="0"/>
              <w:rPr>
                <w:sz w:val="20"/>
                <w:szCs w:val="20"/>
                <w:color w:val="auto"/>
              </w:rPr>
            </w:pPr>
            <w:r>
              <w:rPr>
                <w:rFonts w:ascii="Arial" w:cs="Arial" w:eastAsia="Arial" w:hAnsi="Arial"/>
                <w:sz w:val="21"/>
                <w:szCs w:val="21"/>
                <w:color w:val="auto"/>
              </w:rPr>
              <w:t>05/31/15</w:t>
            </w:r>
          </w:p>
        </w:tc>
      </w:tr>
      <w:tr>
        <w:trPr>
          <w:trHeight w:val="127"/>
        </w:trPr>
        <w:tc>
          <w:tcPr>
            <w:tcW w:w="312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r>
      <w:tr>
        <w:trPr>
          <w:trHeight w:val="154"/>
        </w:trPr>
        <w:tc>
          <w:tcPr>
            <w:tcW w:w="312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2180" w:type="dxa"/>
            <w:vAlign w:val="bottom"/>
          </w:tcPr>
          <w:p>
            <w:pPr>
              <w:spacing w:after="0"/>
              <w:rPr>
                <w:sz w:val="13"/>
                <w:szCs w:val="13"/>
                <w:color w:val="auto"/>
              </w:rPr>
            </w:pPr>
          </w:p>
        </w:tc>
        <w:tc>
          <w:tcPr>
            <w:tcW w:w="6120" w:type="dxa"/>
            <w:vAlign w:val="bottom"/>
          </w:tcPr>
          <w:p>
            <w:pPr>
              <w:spacing w:after="0"/>
              <w:rPr>
                <w:sz w:val="13"/>
                <w:szCs w:val="13"/>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UNAUTHORIZED SIGNATURES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attached bond is amended by inserting an additional Insuring Agreement as follows:</w:t>
      </w:r>
    </w:p>
    <w:p>
      <w:pPr>
        <w:spacing w:after="0" w:line="22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INSURING AGREEMENT </w:t>
      </w:r>
      <w:r>
        <w:rPr>
          <w:rFonts w:ascii="Arial" w:cs="Arial" w:eastAsia="Arial" w:hAnsi="Arial"/>
          <w:sz w:val="20"/>
          <w:szCs w:val="20"/>
          <w:color w:val="auto"/>
        </w:rPr>
        <w:t>J</w:t>
      </w:r>
      <w:r>
        <w:rPr>
          <w:rFonts w:ascii="Arial" w:cs="Arial" w:eastAsia="Arial" w:hAnsi="Arial"/>
          <w:sz w:val="18"/>
          <w:szCs w:val="18"/>
          <w:b w:val="1"/>
          <w:bCs w:val="1"/>
          <w:color w:val="auto"/>
        </w:rPr>
        <w:t xml:space="preserve"> UNAUTHORIZED SIGNATURE</w:t>
      </w:r>
    </w:p>
    <w:p>
      <w:pPr>
        <w:spacing w:after="0" w:line="25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draft, made or drawn on a customer’s account which bears the signature or endorsement of one other than a person whose name and signature is on the application on file with the Insured as a signatory on such account.</w:t>
      </w:r>
    </w:p>
    <w:p>
      <w:pPr>
        <w:spacing w:after="0" w:line="208"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It shall be a condition precedent to the Insured’s right of recovery under this Rider that the Insured shall have on file signatures of all persons who are authorized signatories on such account.</w:t>
      </w:r>
    </w:p>
    <w:p>
      <w:pPr>
        <w:spacing w:after="0" w:line="198"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total liability of the Underwriter under Insuring Agreement </w:t>
      </w:r>
      <w:r>
        <w:rPr>
          <w:rFonts w:ascii="Arial" w:cs="Arial" w:eastAsia="Arial" w:hAnsi="Arial"/>
          <w:sz w:val="20"/>
          <w:szCs w:val="20"/>
          <w:color w:val="auto"/>
        </w:rPr>
        <w:t>J</w:t>
      </w:r>
      <w:r>
        <w:rPr>
          <w:rFonts w:ascii="Arial" w:cs="Arial" w:eastAsia="Arial" w:hAnsi="Arial"/>
          <w:sz w:val="18"/>
          <w:szCs w:val="18"/>
          <w:color w:val="auto"/>
        </w:rPr>
        <w:t xml:space="preserve"> is limited to the sum of</w:t>
      </w:r>
    </w:p>
    <w:p>
      <w:pPr>
        <w:spacing w:after="0" w:line="30" w:lineRule="exact"/>
        <w:rPr>
          <w:sz w:val="20"/>
          <w:szCs w:val="20"/>
          <w:color w:val="auto"/>
        </w:rPr>
      </w:pPr>
    </w:p>
    <w:p>
      <w:pPr>
        <w:ind w:left="2280"/>
        <w:spacing w:after="0"/>
        <w:tabs>
          <w:tab w:leader="none" w:pos="7700" w:val="left"/>
          <w:tab w:leader="none" w:pos="9960" w:val="left"/>
        </w:tabs>
        <w:rPr>
          <w:sz w:val="20"/>
          <w:szCs w:val="20"/>
          <w:color w:val="auto"/>
        </w:rPr>
      </w:pPr>
      <w:r>
        <w:rPr>
          <w:rFonts w:ascii="Arial" w:cs="Arial" w:eastAsia="Arial" w:hAnsi="Arial"/>
          <w:sz w:val="21"/>
          <w:szCs w:val="21"/>
          <w:color w:val="auto"/>
        </w:rPr>
        <w:t>Fifty Thousand</w:t>
      </w:r>
      <w:r>
        <w:rPr>
          <w:sz w:val="20"/>
          <w:szCs w:val="20"/>
          <w:color w:val="auto"/>
        </w:rPr>
        <w:tab/>
      </w:r>
      <w:r>
        <w:rPr>
          <w:rFonts w:ascii="Arial" w:cs="Arial" w:eastAsia="Arial" w:hAnsi="Arial"/>
          <w:sz w:val="18"/>
          <w:szCs w:val="18"/>
          <w:color w:val="auto"/>
        </w:rPr>
        <w:t>Dollars ($50,000</w:t>
      </w:r>
      <w:r>
        <w:rPr>
          <w:sz w:val="20"/>
          <w:szCs w:val="20"/>
          <w:color w:val="auto"/>
        </w:rPr>
        <w:tab/>
      </w:r>
      <w:r>
        <w:rPr>
          <w:rFonts w:ascii="Arial" w:cs="Arial" w:eastAsia="Arial" w:hAnsi="Arial"/>
          <w:sz w:val="18"/>
          <w:szCs w:val="18"/>
          <w:color w:val="auto"/>
        </w:rPr>
        <w:t>), it</w:t>
      </w:r>
    </w:p>
    <w:p>
      <w:pPr>
        <w:ind w:left="460"/>
        <w:spacing w:after="0" w:line="259" w:lineRule="auto"/>
        <w:rPr>
          <w:sz w:val="20"/>
          <w:szCs w:val="20"/>
          <w:color w:val="auto"/>
        </w:rPr>
      </w:pPr>
      <w:r>
        <w:rPr>
          <w:rFonts w:ascii="Arial" w:cs="Arial" w:eastAsia="Arial" w:hAnsi="Arial"/>
          <w:sz w:val="18"/>
          <w:szCs w:val="18"/>
          <w:color w:val="auto"/>
        </w:rPr>
        <w:t>being understood, however, that such liability shall be part of and not in addition to the Limit of Liability stated in Item 3 of the Declarations of the attached bond or amendment thereof.</w:t>
      </w:r>
    </w:p>
    <w:p>
      <w:pPr>
        <w:spacing w:after="0" w:line="21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coverage afforded under this Rider, the Deductible Amount shall be</w:t>
      </w:r>
    </w:p>
    <w:p>
      <w:pPr>
        <w:spacing w:after="0" w:line="23" w:lineRule="exact"/>
        <w:rPr>
          <w:sz w:val="20"/>
          <w:szCs w:val="20"/>
          <w:color w:val="auto"/>
        </w:rPr>
      </w:pPr>
    </w:p>
    <w:p>
      <w:pPr>
        <w:ind w:left="2300"/>
        <w:spacing w:after="0"/>
        <w:tabs>
          <w:tab w:leader="none" w:pos="7720" w:val="left"/>
          <w:tab w:leader="none" w:pos="9480" w:val="left"/>
        </w:tabs>
        <w:rPr>
          <w:sz w:val="20"/>
          <w:szCs w:val="20"/>
          <w:color w:val="auto"/>
        </w:rPr>
      </w:pPr>
      <w:r>
        <w:rPr>
          <w:rFonts w:ascii="Arial" w:cs="Arial" w:eastAsia="Arial" w:hAnsi="Arial"/>
          <w:sz w:val="21"/>
          <w:szCs w:val="21"/>
          <w:color w:val="auto"/>
        </w:rPr>
        <w:t>Five Thousand</w:t>
      </w:r>
      <w:r>
        <w:rPr>
          <w:sz w:val="20"/>
          <w:szCs w:val="20"/>
          <w:color w:val="auto"/>
        </w:rPr>
        <w:tab/>
      </w:r>
      <w:r>
        <w:rPr>
          <w:rFonts w:ascii="Arial" w:cs="Arial" w:eastAsia="Arial" w:hAnsi="Arial"/>
          <w:sz w:val="21"/>
          <w:szCs w:val="21"/>
          <w:color w:val="auto"/>
        </w:rPr>
        <w:t>Dollars ($5,000</w:t>
      </w:r>
      <w:r>
        <w:rPr>
          <w:sz w:val="20"/>
          <w:szCs w:val="20"/>
          <w:color w:val="auto"/>
        </w:rPr>
        <w:tab/>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ICB012 Ed. 7-04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2004 The Travelers Indemnity Company. All rights reserved.</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Borders>
              <w:top w:val="single" w:sz="8" w:color="auto"/>
              <w:right w:val="single" w:sz="8" w:color="auto"/>
            </w:tcBorders>
          </w:tcPr>
          <w:p>
            <w:pPr>
              <w:jc w:val="center"/>
              <w:spacing w:after="0" w:line="121" w:lineRule="exact"/>
              <w:rPr>
                <w:sz w:val="20"/>
                <w:szCs w:val="20"/>
                <w:color w:val="auto"/>
              </w:rPr>
            </w:pPr>
            <w:r>
              <w:rPr>
                <w:rFonts w:ascii="Arial" w:cs="Arial" w:eastAsia="Arial" w:hAnsi="Arial"/>
                <w:sz w:val="13"/>
                <w:szCs w:val="13"/>
                <w:color w:val="auto"/>
                <w:w w:val="92"/>
              </w:rPr>
              <w:t>ATTACHED TO AND FORMING PART OF</w:t>
            </w:r>
          </w:p>
        </w:tc>
        <w:tc>
          <w:tcPr>
            <w:tcW w:w="2180" w:type="dxa"/>
            <w:vAlign w:val="bottom"/>
            <w:tcBorders>
              <w:top w:val="single" w:sz="8" w:color="auto"/>
              <w:right w:val="single" w:sz="8" w:color="auto"/>
            </w:tcBorders>
          </w:tcPr>
          <w:p>
            <w:pPr>
              <w:jc w:val="center"/>
              <w:ind w:left="23"/>
              <w:spacing w:after="0" w:line="121" w:lineRule="exact"/>
              <w:rPr>
                <w:sz w:val="20"/>
                <w:szCs w:val="20"/>
                <w:color w:val="auto"/>
              </w:rPr>
            </w:pPr>
            <w:r>
              <w:rPr>
                <w:rFonts w:ascii="Arial" w:cs="Arial" w:eastAsia="Arial" w:hAnsi="Arial"/>
                <w:sz w:val="13"/>
                <w:szCs w:val="13"/>
                <w:color w:val="auto"/>
                <w:w w:val="91"/>
              </w:rPr>
              <w:t>DATE ENDORSEMENT</w:t>
            </w:r>
          </w:p>
        </w:tc>
        <w:tc>
          <w:tcPr>
            <w:tcW w:w="6120" w:type="dxa"/>
            <w:vAlign w:val="bottom"/>
            <w:tcBorders>
              <w:top w:val="single" w:sz="8" w:color="auto"/>
            </w:tcBorders>
          </w:tcPr>
          <w:p>
            <w:pPr>
              <w:ind w:left="10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35"/>
        </w:trPr>
        <w:tc>
          <w:tcPr>
            <w:tcW w:w="3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BOND OR POLICY NO.</w:t>
            </w:r>
          </w:p>
        </w:tc>
        <w:tc>
          <w:tcPr>
            <w:tcW w:w="2180" w:type="dxa"/>
            <w:vAlign w:val="bottom"/>
            <w:tcBorders>
              <w:right w:val="single" w:sz="8" w:color="auto"/>
            </w:tcBorders>
          </w:tcPr>
          <w:p>
            <w:pPr>
              <w:jc w:val="center"/>
              <w:ind w:left="23"/>
              <w:spacing w:after="0" w:line="135" w:lineRule="exact"/>
              <w:rPr>
                <w:sz w:val="20"/>
                <w:szCs w:val="20"/>
                <w:color w:val="auto"/>
              </w:rPr>
            </w:pPr>
            <w:r>
              <w:rPr>
                <w:rFonts w:ascii="Arial" w:cs="Arial" w:eastAsia="Arial" w:hAnsi="Arial"/>
                <w:sz w:val="13"/>
                <w:szCs w:val="13"/>
                <w:color w:val="auto"/>
                <w:w w:val="92"/>
              </w:rPr>
              <w:t>OR RIDER EXECUTED</w:t>
            </w:r>
          </w:p>
        </w:tc>
        <w:tc>
          <w:tcPr>
            <w:tcW w:w="6120" w:type="dxa"/>
            <w:vAlign w:val="bottom"/>
          </w:tcPr>
          <w:p>
            <w:pPr>
              <w:ind w:left="2360"/>
              <w:spacing w:after="0" w:line="135" w:lineRule="exact"/>
              <w:rPr>
                <w:sz w:val="20"/>
                <w:szCs w:val="20"/>
                <w:color w:val="auto"/>
              </w:rPr>
            </w:pPr>
            <w:r>
              <w:rPr>
                <w:rFonts w:ascii="Arial" w:cs="Arial" w:eastAsia="Arial" w:hAnsi="Arial"/>
                <w:sz w:val="13"/>
                <w:szCs w:val="13"/>
                <w:color w:val="auto"/>
              </w:rPr>
              <w:t>12:01 A.M. STANDARD TIME AS</w:t>
            </w:r>
          </w:p>
        </w:tc>
      </w:tr>
      <w:tr>
        <w:trPr>
          <w:trHeight w:val="160"/>
        </w:trPr>
        <w:tc>
          <w:tcPr>
            <w:tcW w:w="3120" w:type="dxa"/>
            <w:vAlign w:val="bottom"/>
            <w:tcBorders>
              <w:right w:val="single" w:sz="8" w:color="auto"/>
            </w:tcBorders>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6120" w:type="dxa"/>
            <w:vAlign w:val="bottom"/>
          </w:tcPr>
          <w:p>
            <w:pPr>
              <w:ind w:left="2360"/>
              <w:spacing w:after="0"/>
              <w:rPr>
                <w:sz w:val="20"/>
                <w:szCs w:val="20"/>
                <w:color w:val="auto"/>
              </w:rPr>
            </w:pPr>
            <w:r>
              <w:rPr>
                <w:rFonts w:ascii="Arial" w:cs="Arial" w:eastAsia="Arial" w:hAnsi="Arial"/>
                <w:sz w:val="13"/>
                <w:szCs w:val="13"/>
                <w:color w:val="auto"/>
              </w:rPr>
              <w:t>SPECIFIED IN THE BOND OR POLICY</w:t>
            </w:r>
          </w:p>
        </w:tc>
      </w:tr>
      <w:tr>
        <w:trPr>
          <w:trHeight w:val="375"/>
        </w:trPr>
        <w:tc>
          <w:tcPr>
            <w:tcW w:w="312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ZBN-41M30652-15-N2</w:t>
            </w:r>
          </w:p>
        </w:tc>
        <w:tc>
          <w:tcPr>
            <w:tcW w:w="218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90"/>
              </w:rPr>
              <w:t>05/27/15</w:t>
            </w:r>
          </w:p>
        </w:tc>
        <w:tc>
          <w:tcPr>
            <w:tcW w:w="6120" w:type="dxa"/>
            <w:vAlign w:val="bottom"/>
          </w:tcPr>
          <w:p>
            <w:pPr>
              <w:jc w:val="right"/>
              <w:ind w:right="5107"/>
              <w:spacing w:after="0"/>
              <w:rPr>
                <w:sz w:val="20"/>
                <w:szCs w:val="20"/>
                <w:color w:val="auto"/>
              </w:rPr>
            </w:pPr>
            <w:r>
              <w:rPr>
                <w:rFonts w:ascii="Arial" w:cs="Arial" w:eastAsia="Arial" w:hAnsi="Arial"/>
                <w:sz w:val="21"/>
                <w:szCs w:val="21"/>
                <w:color w:val="auto"/>
              </w:rPr>
              <w:t>05/31/15</w:t>
            </w:r>
          </w:p>
        </w:tc>
      </w:tr>
      <w:tr>
        <w:trPr>
          <w:trHeight w:val="127"/>
        </w:trPr>
        <w:tc>
          <w:tcPr>
            <w:tcW w:w="312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r>
      <w:tr>
        <w:trPr>
          <w:trHeight w:val="154"/>
        </w:trPr>
        <w:tc>
          <w:tcPr>
            <w:tcW w:w="312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2180" w:type="dxa"/>
            <w:vAlign w:val="bottom"/>
          </w:tcPr>
          <w:p>
            <w:pPr>
              <w:spacing w:after="0"/>
              <w:rPr>
                <w:sz w:val="13"/>
                <w:szCs w:val="13"/>
                <w:color w:val="auto"/>
              </w:rPr>
            </w:pPr>
          </w:p>
        </w:tc>
        <w:tc>
          <w:tcPr>
            <w:tcW w:w="6120" w:type="dxa"/>
            <w:vAlign w:val="bottom"/>
          </w:tcPr>
          <w:p>
            <w:pPr>
              <w:spacing w:after="0"/>
              <w:rPr>
                <w:sz w:val="13"/>
                <w:szCs w:val="13"/>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 OF INVESTMENT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1, Definitions, under General Agreements is amended to include the following paragraph:</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Investment Company means an investment company registered under the Investment Company Act of 1940 and as listed under the names of Insureds on the Declarations.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ICB016 Ed. 7-04</w:t>
      </w:r>
    </w:p>
    <w:p>
      <w:pPr>
        <w:spacing w:after="0" w:line="23"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19" w:name="page20"/>
    <w:bookmarkEnd w:id="19"/>
    <w:p>
      <w:pPr>
        <w:jc w:val="center"/>
        <w:ind w:right="-19"/>
        <w:spacing w:after="0"/>
        <w:tabs>
          <w:tab w:leader="none" w:pos="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80" w:type="dxa"/>
            <w:vAlign w:val="bottom"/>
            <w:tcBorders>
              <w:top w:val="single" w:sz="8" w:color="auto"/>
              <w:right w:val="single" w:sz="8" w:color="auto"/>
            </w:tcBorders>
          </w:tcPr>
          <w:p>
            <w:pPr>
              <w:ind w:left="260"/>
              <w:spacing w:after="0" w:line="121" w:lineRule="exact"/>
              <w:rPr>
                <w:sz w:val="20"/>
                <w:szCs w:val="20"/>
                <w:color w:val="auto"/>
              </w:rPr>
            </w:pPr>
            <w:r>
              <w:rPr>
                <w:rFonts w:ascii="Arial" w:cs="Arial" w:eastAsia="Arial" w:hAnsi="Arial"/>
                <w:sz w:val="13"/>
                <w:szCs w:val="13"/>
                <w:color w:val="auto"/>
              </w:rPr>
              <w:t>ATTACHED TO AND FORMING PART OF</w:t>
            </w:r>
          </w:p>
        </w:tc>
        <w:tc>
          <w:tcPr>
            <w:tcW w:w="1720" w:type="dxa"/>
            <w:vAlign w:val="bottom"/>
            <w:tcBorders>
              <w:top w:val="single" w:sz="8" w:color="auto"/>
              <w:right w:val="single" w:sz="8" w:color="auto"/>
            </w:tcBorders>
          </w:tcPr>
          <w:p>
            <w:pPr>
              <w:ind w:left="180"/>
              <w:spacing w:after="0" w:line="121" w:lineRule="exact"/>
              <w:rPr>
                <w:sz w:val="20"/>
                <w:szCs w:val="20"/>
                <w:color w:val="auto"/>
              </w:rPr>
            </w:pPr>
            <w:r>
              <w:rPr>
                <w:rFonts w:ascii="Arial" w:cs="Arial" w:eastAsia="Arial" w:hAnsi="Arial"/>
                <w:sz w:val="13"/>
                <w:szCs w:val="13"/>
                <w:color w:val="auto"/>
              </w:rPr>
              <w:t>DATE ENDORSEMENT</w:t>
            </w:r>
          </w:p>
        </w:tc>
        <w:tc>
          <w:tcPr>
            <w:tcW w:w="6820" w:type="dxa"/>
            <w:vAlign w:val="bottom"/>
            <w:tcBorders>
              <w:top w:val="single" w:sz="8" w:color="auto"/>
            </w:tcBorders>
          </w:tcPr>
          <w:p>
            <w:pPr>
              <w:ind w:left="10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49"/>
        </w:trPr>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BOND OR POLICY NO.</w:t>
            </w:r>
          </w:p>
        </w:tc>
        <w:tc>
          <w:tcPr>
            <w:tcW w:w="172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OR RIDER EXECUTED</w:t>
            </w:r>
          </w:p>
        </w:tc>
        <w:tc>
          <w:tcPr>
            <w:tcW w:w="6820" w:type="dxa"/>
            <w:vAlign w:val="bottom"/>
          </w:tcPr>
          <w:p>
            <w:pPr>
              <w:ind w:left="4300"/>
              <w:spacing w:after="0"/>
              <w:rPr>
                <w:sz w:val="20"/>
                <w:szCs w:val="20"/>
                <w:color w:val="auto"/>
              </w:rPr>
            </w:pPr>
            <w:r>
              <w:rPr>
                <w:rFonts w:ascii="Arial" w:cs="Arial" w:eastAsia="Arial" w:hAnsi="Arial"/>
                <w:sz w:val="13"/>
                <w:szCs w:val="13"/>
                <w:color w:val="auto"/>
              </w:rPr>
              <w:t>12:01 A.M. STANDARD TIME AS</w:t>
            </w:r>
          </w:p>
        </w:tc>
      </w:tr>
      <w:tr>
        <w:trPr>
          <w:trHeight w:val="136"/>
        </w:trPr>
        <w:tc>
          <w:tcPr>
            <w:tcW w:w="288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6820" w:type="dxa"/>
            <w:vAlign w:val="bottom"/>
          </w:tcPr>
          <w:p>
            <w:pPr>
              <w:ind w:left="4300"/>
              <w:spacing w:after="0" w:line="136" w:lineRule="exact"/>
              <w:rPr>
                <w:sz w:val="20"/>
                <w:szCs w:val="20"/>
                <w:color w:val="auto"/>
              </w:rPr>
            </w:pPr>
            <w:r>
              <w:rPr>
                <w:rFonts w:ascii="Arial" w:cs="Arial" w:eastAsia="Arial" w:hAnsi="Arial"/>
                <w:sz w:val="13"/>
                <w:szCs w:val="13"/>
                <w:color w:val="auto"/>
              </w:rPr>
              <w:t>SPECIFIED IN THE BOND OR POLICY</w:t>
            </w:r>
          </w:p>
        </w:tc>
      </w:tr>
      <w:tr>
        <w:trPr>
          <w:trHeight w:val="264"/>
        </w:trPr>
        <w:tc>
          <w:tcPr>
            <w:tcW w:w="2880" w:type="dxa"/>
            <w:vAlign w:val="bottom"/>
            <w:tcBorders>
              <w:right w:val="single" w:sz="8" w:color="auto"/>
            </w:tcBorders>
          </w:tcPr>
          <w:p>
            <w:pPr>
              <w:ind w:left="220"/>
              <w:spacing w:after="0"/>
              <w:rPr>
                <w:sz w:val="20"/>
                <w:szCs w:val="20"/>
                <w:color w:val="auto"/>
              </w:rPr>
            </w:pPr>
            <w:r>
              <w:rPr>
                <w:rFonts w:ascii="Arial" w:cs="Arial" w:eastAsia="Arial" w:hAnsi="Arial"/>
                <w:sz w:val="21"/>
                <w:szCs w:val="21"/>
                <w:color w:val="auto"/>
              </w:rPr>
              <w:t>ZBN-41M30652-15-N2</w:t>
            </w:r>
          </w:p>
        </w:tc>
        <w:tc>
          <w:tcPr>
            <w:tcW w:w="1720" w:type="dxa"/>
            <w:vAlign w:val="bottom"/>
            <w:tcBorders>
              <w:right w:val="single" w:sz="8" w:color="auto"/>
            </w:tcBorders>
          </w:tcPr>
          <w:p>
            <w:pPr>
              <w:jc w:val="right"/>
              <w:ind w:right="383"/>
              <w:spacing w:after="0"/>
              <w:rPr>
                <w:sz w:val="20"/>
                <w:szCs w:val="20"/>
                <w:color w:val="auto"/>
              </w:rPr>
            </w:pPr>
            <w:r>
              <w:rPr>
                <w:rFonts w:ascii="Arial" w:cs="Arial" w:eastAsia="Arial" w:hAnsi="Arial"/>
                <w:sz w:val="21"/>
                <w:szCs w:val="21"/>
                <w:color w:val="auto"/>
              </w:rPr>
              <w:t>05/27/15</w:t>
            </w:r>
          </w:p>
        </w:tc>
        <w:tc>
          <w:tcPr>
            <w:tcW w:w="6820" w:type="dxa"/>
            <w:vAlign w:val="bottom"/>
          </w:tcPr>
          <w:p>
            <w:pPr>
              <w:jc w:val="right"/>
              <w:ind w:right="5807"/>
              <w:spacing w:after="0"/>
              <w:rPr>
                <w:sz w:val="20"/>
                <w:szCs w:val="20"/>
                <w:color w:val="auto"/>
              </w:rPr>
            </w:pPr>
            <w:r>
              <w:rPr>
                <w:rFonts w:ascii="Arial" w:cs="Arial" w:eastAsia="Arial" w:hAnsi="Arial"/>
                <w:sz w:val="21"/>
                <w:szCs w:val="21"/>
                <w:color w:val="auto"/>
              </w:rPr>
              <w:t>05/31/15</w:t>
            </w:r>
          </w:p>
        </w:tc>
      </w:tr>
      <w:tr>
        <w:trPr>
          <w:trHeight w:val="87"/>
        </w:trPr>
        <w:tc>
          <w:tcPr>
            <w:tcW w:w="288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tcBorders>
          </w:tcPr>
          <w:p>
            <w:pPr>
              <w:spacing w:after="0"/>
              <w:rPr>
                <w:sz w:val="7"/>
                <w:szCs w:val="7"/>
                <w:color w:val="auto"/>
              </w:rPr>
            </w:pPr>
          </w:p>
        </w:tc>
      </w:tr>
      <w:tr>
        <w:trPr>
          <w:trHeight w:val="154"/>
        </w:trPr>
        <w:tc>
          <w:tcPr>
            <w:tcW w:w="288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1720" w:type="dxa"/>
            <w:vAlign w:val="bottom"/>
          </w:tcPr>
          <w:p>
            <w:pPr>
              <w:spacing w:after="0"/>
              <w:rPr>
                <w:sz w:val="13"/>
                <w:szCs w:val="13"/>
                <w:color w:val="auto"/>
              </w:rPr>
            </w:pPr>
          </w:p>
        </w:tc>
        <w:tc>
          <w:tcPr>
            <w:tcW w:w="6820" w:type="dxa"/>
            <w:vAlign w:val="bottom"/>
          </w:tcPr>
          <w:p>
            <w:pPr>
              <w:spacing w:after="0"/>
              <w:rPr>
                <w:sz w:val="13"/>
                <w:szCs w:val="13"/>
                <w:color w:val="auto"/>
              </w:rPr>
            </w:pPr>
          </w:p>
        </w:tc>
      </w:tr>
    </w:tbl>
    <w:p>
      <w:pPr>
        <w:spacing w:after="0" w:line="42" w:lineRule="exact"/>
        <w:rPr>
          <w:sz w:val="20"/>
          <w:szCs w:val="20"/>
          <w:color w:val="auto"/>
        </w:rPr>
      </w:pPr>
    </w:p>
    <w:p>
      <w:pPr>
        <w:ind w:left="16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 EXCLUSIONS (N) &amp; (O)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2, Exclusions, under General Agreements, is amended to include the following sub-sections:</w:t>
      </w:r>
    </w:p>
    <w:p>
      <w:pPr>
        <w:spacing w:after="0" w:line="252" w:lineRule="exact"/>
        <w:rPr>
          <w:rFonts w:ascii="Arial" w:cs="Arial" w:eastAsia="Arial" w:hAnsi="Arial"/>
          <w:sz w:val="18"/>
          <w:szCs w:val="18"/>
          <w:color w:val="auto"/>
        </w:rPr>
      </w:pPr>
    </w:p>
    <w:p>
      <w:pPr>
        <w:ind w:left="900" w:right="20" w:hanging="446"/>
        <w:spacing w:after="0" w:line="342"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loss from the use of credit, debit, charge, access, convenience, identification, cash management or other cards, whether such cards were issued or purport to have been issued by the Insured or by anyone else, unless such loss is otherwise covered under Insuring Agreement A.</w:t>
      </w:r>
    </w:p>
    <w:p>
      <w:pPr>
        <w:spacing w:after="0" w:line="150" w:lineRule="exact"/>
        <w:rPr>
          <w:rFonts w:ascii="Arial" w:cs="Arial" w:eastAsia="Arial" w:hAnsi="Arial"/>
          <w:sz w:val="16"/>
          <w:szCs w:val="16"/>
          <w:color w:val="auto"/>
        </w:rPr>
      </w:pPr>
    </w:p>
    <w:p>
      <w:pPr>
        <w:jc w:val="both"/>
        <w:ind w:left="90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underwriter shall not be liable under the attached bond for 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57785</wp:posOffset>
            </wp:positionV>
            <wp:extent cx="32931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79"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ICB026 Ed. 7-04</w:t>
      </w:r>
    </w:p>
    <w:p>
      <w:pPr>
        <w:spacing w:after="0" w:line="23"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Borders>
              <w:top w:val="single" w:sz="8" w:color="auto"/>
              <w:right w:val="single" w:sz="8" w:color="auto"/>
            </w:tcBorders>
          </w:tcPr>
          <w:p>
            <w:pPr>
              <w:jc w:val="center"/>
              <w:ind w:left="67"/>
              <w:spacing w:after="0" w:line="121" w:lineRule="exact"/>
              <w:rPr>
                <w:sz w:val="20"/>
                <w:szCs w:val="20"/>
                <w:color w:val="auto"/>
              </w:rPr>
            </w:pPr>
            <w:r>
              <w:rPr>
                <w:rFonts w:ascii="Arial" w:cs="Arial" w:eastAsia="Arial" w:hAnsi="Arial"/>
                <w:sz w:val="13"/>
                <w:szCs w:val="13"/>
                <w:color w:val="auto"/>
                <w:w w:val="92"/>
              </w:rPr>
              <w:t>ATTACHED TO AND FORMING PART OF BOND OR</w:t>
            </w:r>
          </w:p>
        </w:tc>
        <w:tc>
          <w:tcPr>
            <w:tcW w:w="1940" w:type="dxa"/>
            <w:vAlign w:val="bottom"/>
            <w:tcBorders>
              <w:top w:val="single" w:sz="8" w:color="auto"/>
              <w:right w:val="single" w:sz="8" w:color="auto"/>
            </w:tcBorders>
          </w:tcPr>
          <w:p>
            <w:pPr>
              <w:jc w:val="center"/>
              <w:ind w:left="3"/>
              <w:spacing w:after="0" w:line="121" w:lineRule="exact"/>
              <w:rPr>
                <w:sz w:val="20"/>
                <w:szCs w:val="20"/>
                <w:color w:val="auto"/>
              </w:rPr>
            </w:pPr>
            <w:r>
              <w:rPr>
                <w:rFonts w:ascii="Arial" w:cs="Arial" w:eastAsia="Arial" w:hAnsi="Arial"/>
                <w:sz w:val="13"/>
                <w:szCs w:val="13"/>
                <w:color w:val="auto"/>
                <w:w w:val="93"/>
              </w:rPr>
              <w:t>DATE ENDORSEMENT</w:t>
            </w:r>
          </w:p>
        </w:tc>
        <w:tc>
          <w:tcPr>
            <w:tcW w:w="6360" w:type="dxa"/>
            <w:vAlign w:val="bottom"/>
            <w:tcBorders>
              <w:top w:val="single" w:sz="8" w:color="auto"/>
            </w:tcBorders>
          </w:tcPr>
          <w:p>
            <w:pPr>
              <w:ind w:left="10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35"/>
        </w:trPr>
        <w:tc>
          <w:tcPr>
            <w:tcW w:w="3120" w:type="dxa"/>
            <w:vAlign w:val="bottom"/>
            <w:tcBorders>
              <w:right w:val="single" w:sz="8" w:color="auto"/>
            </w:tcBorders>
          </w:tcPr>
          <w:p>
            <w:pPr>
              <w:jc w:val="center"/>
              <w:ind w:left="67"/>
              <w:spacing w:after="0" w:line="135" w:lineRule="exact"/>
              <w:rPr>
                <w:sz w:val="20"/>
                <w:szCs w:val="20"/>
                <w:color w:val="auto"/>
              </w:rPr>
            </w:pPr>
            <w:r>
              <w:rPr>
                <w:rFonts w:ascii="Arial" w:cs="Arial" w:eastAsia="Arial" w:hAnsi="Arial"/>
                <w:sz w:val="13"/>
                <w:szCs w:val="13"/>
                <w:color w:val="auto"/>
                <w:w w:val="94"/>
              </w:rPr>
              <w:t>POLICY NO.</w:t>
            </w:r>
          </w:p>
        </w:tc>
        <w:tc>
          <w:tcPr>
            <w:tcW w:w="1940" w:type="dxa"/>
            <w:vAlign w:val="bottom"/>
            <w:tcBorders>
              <w:right w:val="single" w:sz="8" w:color="auto"/>
            </w:tcBorders>
          </w:tcPr>
          <w:p>
            <w:pPr>
              <w:jc w:val="center"/>
              <w:ind w:left="23"/>
              <w:spacing w:after="0" w:line="135" w:lineRule="exact"/>
              <w:rPr>
                <w:sz w:val="20"/>
                <w:szCs w:val="20"/>
                <w:color w:val="auto"/>
              </w:rPr>
            </w:pPr>
            <w:r>
              <w:rPr>
                <w:rFonts w:ascii="Arial" w:cs="Arial" w:eastAsia="Arial" w:hAnsi="Arial"/>
                <w:sz w:val="13"/>
                <w:szCs w:val="13"/>
                <w:color w:val="auto"/>
                <w:w w:val="92"/>
              </w:rPr>
              <w:t>OR RIDER EXECUTED</w:t>
            </w:r>
          </w:p>
        </w:tc>
        <w:tc>
          <w:tcPr>
            <w:tcW w:w="6360" w:type="dxa"/>
            <w:vAlign w:val="bottom"/>
          </w:tcPr>
          <w:p>
            <w:pPr>
              <w:ind w:left="1880"/>
              <w:spacing w:after="0" w:line="135" w:lineRule="exact"/>
              <w:rPr>
                <w:sz w:val="20"/>
                <w:szCs w:val="20"/>
                <w:color w:val="auto"/>
              </w:rPr>
            </w:pPr>
            <w:r>
              <w:rPr>
                <w:rFonts w:ascii="Arial" w:cs="Arial" w:eastAsia="Arial" w:hAnsi="Arial"/>
                <w:sz w:val="13"/>
                <w:szCs w:val="13"/>
                <w:color w:val="auto"/>
              </w:rPr>
              <w:t>12:01 A.M. STANDARD TIME AS</w:t>
            </w:r>
          </w:p>
        </w:tc>
      </w:tr>
      <w:tr>
        <w:trPr>
          <w:trHeight w:val="149"/>
        </w:trPr>
        <w:tc>
          <w:tcPr>
            <w:tcW w:w="31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6360" w:type="dxa"/>
            <w:vAlign w:val="bottom"/>
          </w:tcPr>
          <w:p>
            <w:pPr>
              <w:ind w:left="1880"/>
              <w:spacing w:after="0"/>
              <w:rPr>
                <w:sz w:val="20"/>
                <w:szCs w:val="20"/>
                <w:color w:val="auto"/>
              </w:rPr>
            </w:pPr>
            <w:r>
              <w:rPr>
                <w:rFonts w:ascii="Arial" w:cs="Arial" w:eastAsia="Arial" w:hAnsi="Arial"/>
                <w:sz w:val="13"/>
                <w:szCs w:val="13"/>
                <w:color w:val="auto"/>
              </w:rPr>
              <w:t>SPECIFIED IN THE BOND OR POLICY</w:t>
            </w:r>
          </w:p>
        </w:tc>
      </w:tr>
      <w:tr>
        <w:trPr>
          <w:trHeight w:val="264"/>
        </w:trPr>
        <w:tc>
          <w:tcPr>
            <w:tcW w:w="3120" w:type="dxa"/>
            <w:vAlign w:val="bottom"/>
            <w:tcBorders>
              <w:right w:val="single" w:sz="8" w:color="auto"/>
            </w:tcBorders>
          </w:tcPr>
          <w:p>
            <w:pPr>
              <w:ind w:left="160"/>
              <w:spacing w:after="0"/>
              <w:rPr>
                <w:sz w:val="20"/>
                <w:szCs w:val="20"/>
                <w:color w:val="auto"/>
              </w:rPr>
            </w:pPr>
            <w:r>
              <w:rPr>
                <w:rFonts w:ascii="Arial" w:cs="Arial" w:eastAsia="Arial" w:hAnsi="Arial"/>
                <w:sz w:val="21"/>
                <w:szCs w:val="21"/>
                <w:color w:val="auto"/>
              </w:rPr>
              <w:t>ZBN-41M30652-15-N2</w:t>
            </w:r>
          </w:p>
        </w:tc>
        <w:tc>
          <w:tcPr>
            <w:tcW w:w="194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90"/>
              </w:rPr>
              <w:t>05/27/15</w:t>
            </w:r>
          </w:p>
        </w:tc>
        <w:tc>
          <w:tcPr>
            <w:tcW w:w="6360" w:type="dxa"/>
            <w:vAlign w:val="bottom"/>
          </w:tcPr>
          <w:p>
            <w:pPr>
              <w:jc w:val="right"/>
              <w:ind w:right="5347"/>
              <w:spacing w:after="0"/>
              <w:rPr>
                <w:sz w:val="20"/>
                <w:szCs w:val="20"/>
                <w:color w:val="auto"/>
              </w:rPr>
            </w:pPr>
            <w:r>
              <w:rPr>
                <w:rFonts w:ascii="Arial" w:cs="Arial" w:eastAsia="Arial" w:hAnsi="Arial"/>
                <w:sz w:val="21"/>
                <w:szCs w:val="21"/>
                <w:color w:val="auto"/>
              </w:rPr>
              <w:t>05/31/15</w:t>
            </w:r>
          </w:p>
        </w:tc>
      </w:tr>
      <w:tr>
        <w:trPr>
          <w:trHeight w:val="127"/>
        </w:trPr>
        <w:tc>
          <w:tcPr>
            <w:tcW w:w="31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6360" w:type="dxa"/>
            <w:vAlign w:val="bottom"/>
            <w:tcBorders>
              <w:bottom w:val="single" w:sz="8" w:color="auto"/>
            </w:tcBorders>
          </w:tcPr>
          <w:p>
            <w:pPr>
              <w:spacing w:after="0"/>
              <w:rPr>
                <w:sz w:val="11"/>
                <w:szCs w:val="11"/>
                <w:color w:val="auto"/>
              </w:rPr>
            </w:pPr>
          </w:p>
        </w:tc>
      </w:tr>
      <w:tr>
        <w:trPr>
          <w:trHeight w:val="154"/>
        </w:trPr>
        <w:tc>
          <w:tcPr>
            <w:tcW w:w="312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1940" w:type="dxa"/>
            <w:vAlign w:val="bottom"/>
          </w:tcPr>
          <w:p>
            <w:pPr>
              <w:spacing w:after="0"/>
              <w:rPr>
                <w:sz w:val="13"/>
                <w:szCs w:val="13"/>
                <w:color w:val="auto"/>
              </w:rPr>
            </w:pPr>
          </w:p>
        </w:tc>
        <w:tc>
          <w:tcPr>
            <w:tcW w:w="6360" w:type="dxa"/>
            <w:vAlign w:val="bottom"/>
          </w:tcPr>
          <w:p>
            <w:pPr>
              <w:spacing w:after="0"/>
              <w:rPr>
                <w:sz w:val="13"/>
                <w:szCs w:val="13"/>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ERISA Rider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jc w:val="both"/>
        <w:ind w:left="460" w:hanging="452"/>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of employee of any such Plan.</w:t>
      </w:r>
    </w:p>
    <w:p>
      <w:pPr>
        <w:spacing w:after="0" w:line="208"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215"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215" w:lineRule="exact"/>
        <w:rPr>
          <w:rFonts w:ascii="Arial" w:cs="Arial" w:eastAsia="Arial" w:hAnsi="Arial"/>
          <w:sz w:val="18"/>
          <w:szCs w:val="18"/>
          <w:color w:val="auto"/>
        </w:rPr>
      </w:pPr>
    </w:p>
    <w:p>
      <w:pPr>
        <w:jc w:val="both"/>
        <w:ind w:left="460" w:hanging="452"/>
        <w:spacing w:after="0" w:line="286"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192"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3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ICB030 Ed. 7-04</w:t>
      </w:r>
    </w:p>
    <w:p>
      <w:pPr>
        <w:spacing w:after="0" w:line="23"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21" w:name="page22"/>
    <w:bookmarkEnd w:id="21"/>
    <w:p>
      <w:pPr>
        <w:ind w:left="3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4020" w:type="dxa"/>
            <w:vAlign w:val="bottom"/>
            <w:tcBorders>
              <w:top w:val="single" w:sz="8" w:color="auto"/>
              <w:right w:val="single" w:sz="8" w:color="auto"/>
            </w:tcBorders>
          </w:tcPr>
          <w:p>
            <w:pPr>
              <w:ind w:left="340"/>
              <w:spacing w:after="0" w:line="121" w:lineRule="exact"/>
              <w:rPr>
                <w:sz w:val="20"/>
                <w:szCs w:val="20"/>
                <w:color w:val="auto"/>
              </w:rPr>
            </w:pPr>
            <w:r>
              <w:rPr>
                <w:rFonts w:ascii="Arial" w:cs="Arial" w:eastAsia="Arial" w:hAnsi="Arial"/>
                <w:sz w:val="13"/>
                <w:szCs w:val="13"/>
                <w:color w:val="auto"/>
              </w:rPr>
              <w:t>ATTACHED TO AND FORMING PART OF</w:t>
            </w:r>
          </w:p>
        </w:tc>
        <w:tc>
          <w:tcPr>
            <w:tcW w:w="2180" w:type="dxa"/>
            <w:vAlign w:val="bottom"/>
            <w:tcBorders>
              <w:top w:val="single" w:sz="8" w:color="auto"/>
              <w:right w:val="single" w:sz="8" w:color="auto"/>
            </w:tcBorders>
          </w:tcPr>
          <w:p>
            <w:pPr>
              <w:jc w:val="center"/>
              <w:ind w:left="3"/>
              <w:spacing w:after="0" w:line="121" w:lineRule="exact"/>
              <w:rPr>
                <w:sz w:val="20"/>
                <w:szCs w:val="20"/>
                <w:color w:val="auto"/>
              </w:rPr>
            </w:pPr>
            <w:r>
              <w:rPr>
                <w:rFonts w:ascii="Arial" w:cs="Arial" w:eastAsia="Arial" w:hAnsi="Arial"/>
                <w:sz w:val="13"/>
                <w:szCs w:val="13"/>
                <w:color w:val="auto"/>
                <w:w w:val="93"/>
              </w:rPr>
              <w:t>DATE ENDORSEMENT</w:t>
            </w:r>
          </w:p>
        </w:tc>
        <w:tc>
          <w:tcPr>
            <w:tcW w:w="5220" w:type="dxa"/>
            <w:vAlign w:val="bottom"/>
            <w:tcBorders>
              <w:top w:val="single" w:sz="8" w:color="auto"/>
            </w:tcBorders>
          </w:tcPr>
          <w:p>
            <w:pPr>
              <w:ind w:left="8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35"/>
        </w:trPr>
        <w:tc>
          <w:tcPr>
            <w:tcW w:w="4020" w:type="dxa"/>
            <w:vAlign w:val="bottom"/>
            <w:tcBorders>
              <w:right w:val="single" w:sz="8" w:color="auto"/>
            </w:tcBorders>
          </w:tcPr>
          <w:p>
            <w:pPr>
              <w:ind w:left="900"/>
              <w:spacing w:after="0" w:line="135" w:lineRule="exact"/>
              <w:rPr>
                <w:sz w:val="20"/>
                <w:szCs w:val="20"/>
                <w:color w:val="auto"/>
              </w:rPr>
            </w:pPr>
            <w:r>
              <w:rPr>
                <w:rFonts w:ascii="Arial" w:cs="Arial" w:eastAsia="Arial" w:hAnsi="Arial"/>
                <w:sz w:val="13"/>
                <w:szCs w:val="13"/>
                <w:color w:val="auto"/>
              </w:rPr>
              <w:t>BOND OR POLICY NO.</w:t>
            </w:r>
          </w:p>
        </w:tc>
        <w:tc>
          <w:tcPr>
            <w:tcW w:w="2180" w:type="dxa"/>
            <w:vAlign w:val="bottom"/>
            <w:tcBorders>
              <w:right w:val="single" w:sz="8" w:color="auto"/>
            </w:tcBorders>
          </w:tcPr>
          <w:p>
            <w:pPr>
              <w:jc w:val="center"/>
              <w:ind w:left="23"/>
              <w:spacing w:after="0" w:line="135" w:lineRule="exact"/>
              <w:rPr>
                <w:sz w:val="20"/>
                <w:szCs w:val="20"/>
                <w:color w:val="auto"/>
              </w:rPr>
            </w:pPr>
            <w:r>
              <w:rPr>
                <w:rFonts w:ascii="Arial" w:cs="Arial" w:eastAsia="Arial" w:hAnsi="Arial"/>
                <w:sz w:val="13"/>
                <w:szCs w:val="13"/>
                <w:color w:val="auto"/>
                <w:w w:val="92"/>
              </w:rPr>
              <w:t>OR RIDER EXECUTED</w:t>
            </w:r>
          </w:p>
        </w:tc>
        <w:tc>
          <w:tcPr>
            <w:tcW w:w="5220" w:type="dxa"/>
            <w:vAlign w:val="bottom"/>
          </w:tcPr>
          <w:p>
            <w:pPr>
              <w:ind w:left="1760"/>
              <w:spacing w:after="0" w:line="135" w:lineRule="exact"/>
              <w:rPr>
                <w:sz w:val="20"/>
                <w:szCs w:val="20"/>
                <w:color w:val="auto"/>
              </w:rPr>
            </w:pPr>
            <w:r>
              <w:rPr>
                <w:rFonts w:ascii="Arial" w:cs="Arial" w:eastAsia="Arial" w:hAnsi="Arial"/>
                <w:sz w:val="13"/>
                <w:szCs w:val="13"/>
                <w:color w:val="auto"/>
              </w:rPr>
              <w:t>12:01 A.M. STANDARD TIME AS</w:t>
            </w:r>
          </w:p>
        </w:tc>
      </w:tr>
      <w:tr>
        <w:trPr>
          <w:trHeight w:val="149"/>
        </w:trPr>
        <w:tc>
          <w:tcPr>
            <w:tcW w:w="402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5220" w:type="dxa"/>
            <w:vAlign w:val="bottom"/>
          </w:tcPr>
          <w:p>
            <w:pPr>
              <w:ind w:left="1760"/>
              <w:spacing w:after="0"/>
              <w:rPr>
                <w:sz w:val="20"/>
                <w:szCs w:val="20"/>
                <w:color w:val="auto"/>
              </w:rPr>
            </w:pPr>
            <w:r>
              <w:rPr>
                <w:rFonts w:ascii="Arial" w:cs="Arial" w:eastAsia="Arial" w:hAnsi="Arial"/>
                <w:sz w:val="13"/>
                <w:szCs w:val="13"/>
                <w:color w:val="auto"/>
              </w:rPr>
              <w:t>SPECIFIED IN THE BOND OR POLICY</w:t>
            </w:r>
          </w:p>
        </w:tc>
      </w:tr>
      <w:tr>
        <w:trPr>
          <w:trHeight w:val="264"/>
        </w:trPr>
        <w:tc>
          <w:tcPr>
            <w:tcW w:w="4020" w:type="dxa"/>
            <w:vAlign w:val="bottom"/>
            <w:tcBorders>
              <w:right w:val="single" w:sz="8" w:color="auto"/>
            </w:tcBorders>
          </w:tcPr>
          <w:p>
            <w:pPr>
              <w:ind w:left="300"/>
              <w:spacing w:after="0"/>
              <w:rPr>
                <w:sz w:val="20"/>
                <w:szCs w:val="20"/>
                <w:color w:val="auto"/>
              </w:rPr>
            </w:pPr>
            <w:r>
              <w:rPr>
                <w:rFonts w:ascii="Arial" w:cs="Arial" w:eastAsia="Arial" w:hAnsi="Arial"/>
                <w:sz w:val="21"/>
                <w:szCs w:val="21"/>
                <w:color w:val="auto"/>
              </w:rPr>
              <w:t>ZBN-41M30652-15-N2</w:t>
            </w:r>
          </w:p>
        </w:tc>
        <w:tc>
          <w:tcPr>
            <w:tcW w:w="218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90"/>
              </w:rPr>
              <w:t>05/27/15</w:t>
            </w:r>
          </w:p>
        </w:tc>
        <w:tc>
          <w:tcPr>
            <w:tcW w:w="5220" w:type="dxa"/>
            <w:vAlign w:val="bottom"/>
          </w:tcPr>
          <w:p>
            <w:pPr>
              <w:jc w:val="right"/>
              <w:ind w:right="4227"/>
              <w:spacing w:after="0"/>
              <w:rPr>
                <w:sz w:val="20"/>
                <w:szCs w:val="20"/>
                <w:color w:val="auto"/>
              </w:rPr>
            </w:pPr>
            <w:r>
              <w:rPr>
                <w:rFonts w:ascii="Arial" w:cs="Arial" w:eastAsia="Arial" w:hAnsi="Arial"/>
                <w:sz w:val="21"/>
                <w:szCs w:val="21"/>
                <w:color w:val="auto"/>
              </w:rPr>
              <w:t>05/31/15</w:t>
            </w: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r>
      <w:tr>
        <w:trPr>
          <w:trHeight w:val="154"/>
        </w:trPr>
        <w:tc>
          <w:tcPr>
            <w:tcW w:w="4020" w:type="dxa"/>
            <w:vAlign w:val="bottom"/>
          </w:tcPr>
          <w:p>
            <w:pPr>
              <w:ind w:left="300"/>
              <w:spacing w:after="0"/>
              <w:rPr>
                <w:sz w:val="20"/>
                <w:szCs w:val="20"/>
                <w:color w:val="auto"/>
              </w:rPr>
            </w:pPr>
            <w:r>
              <w:rPr>
                <w:rFonts w:ascii="Arial" w:cs="Arial" w:eastAsia="Arial" w:hAnsi="Arial"/>
                <w:sz w:val="13"/>
                <w:szCs w:val="13"/>
                <w:color w:val="auto"/>
              </w:rPr>
              <w:t>* ISSUED TO</w:t>
            </w:r>
          </w:p>
        </w:tc>
        <w:tc>
          <w:tcPr>
            <w:tcW w:w="2180" w:type="dxa"/>
            <w:vAlign w:val="bottom"/>
          </w:tcPr>
          <w:p>
            <w:pPr>
              <w:spacing w:after="0"/>
              <w:rPr>
                <w:sz w:val="13"/>
                <w:szCs w:val="13"/>
                <w:color w:val="auto"/>
              </w:rPr>
            </w:pPr>
          </w:p>
        </w:tc>
        <w:tc>
          <w:tcPr>
            <w:tcW w:w="5220" w:type="dxa"/>
            <w:vAlign w:val="bottom"/>
          </w:tcPr>
          <w:p>
            <w:pPr>
              <w:spacing w:after="0"/>
              <w:rPr>
                <w:sz w:val="13"/>
                <w:szCs w:val="13"/>
                <w:color w:val="auto"/>
              </w:rPr>
            </w:pPr>
          </w:p>
        </w:tc>
      </w:tr>
      <w:tr>
        <w:trPr>
          <w:trHeight w:val="266"/>
        </w:trPr>
        <w:tc>
          <w:tcPr>
            <w:tcW w:w="6200" w:type="dxa"/>
            <w:vAlign w:val="bottom"/>
            <w:gridSpan w:val="2"/>
          </w:tcPr>
          <w:p>
            <w:pPr>
              <w:ind w:left="260"/>
              <w:spacing w:after="0"/>
              <w:rPr>
                <w:sz w:val="20"/>
                <w:szCs w:val="20"/>
                <w:color w:val="auto"/>
              </w:rPr>
            </w:pPr>
            <w:r>
              <w:rPr>
                <w:rFonts w:ascii="Arial" w:cs="Arial" w:eastAsia="Arial" w:hAnsi="Arial"/>
                <w:sz w:val="21"/>
                <w:szCs w:val="21"/>
                <w:color w:val="auto"/>
              </w:rPr>
              <w:t>PENNANTPARK INVESTMENT CORPORATION</w:t>
            </w:r>
          </w:p>
        </w:tc>
        <w:tc>
          <w:tcPr>
            <w:tcW w:w="5220" w:type="dxa"/>
            <w:vAlign w:val="bottom"/>
          </w:tcPr>
          <w:p>
            <w:pPr>
              <w:spacing w:after="0"/>
              <w:rPr>
                <w:sz w:val="23"/>
                <w:szCs w:val="23"/>
                <w:color w:val="auto"/>
              </w:rPr>
            </w:pPr>
          </w:p>
        </w:tc>
      </w:tr>
      <w:tr>
        <w:trPr>
          <w:trHeight w:val="46"/>
        </w:trPr>
        <w:tc>
          <w:tcPr>
            <w:tcW w:w="40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YORK STATUTORY RIDER</w:t>
      </w:r>
    </w:p>
    <w:p>
      <w:pPr>
        <w:spacing w:after="0" w:line="246" w:lineRule="exact"/>
        <w:rPr>
          <w:sz w:val="20"/>
          <w:szCs w:val="20"/>
          <w:color w:val="auto"/>
        </w:rPr>
      </w:pPr>
    </w:p>
    <w:p>
      <w:pPr>
        <w:ind w:left="460" w:right="1960" w:hanging="452"/>
        <w:spacing w:after="0" w:line="501" w:lineRule="auto"/>
        <w:tabs>
          <w:tab w:leader="none" w:pos="4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first paragraph of Section 13. “TERMINATION” under Conditions and Limitations is amended by adding the following: Cancellation of this bond by the Underwriter is subject to the following provisions:</w:t>
      </w:r>
    </w:p>
    <w:p>
      <w:pPr>
        <w:ind w:left="460" w:right="100"/>
        <w:spacing w:after="0" w:line="286" w:lineRule="auto"/>
        <w:rPr>
          <w:rFonts w:ascii="Arial" w:cs="Arial" w:eastAsia="Arial" w:hAnsi="Arial"/>
          <w:sz w:val="18"/>
          <w:szCs w:val="18"/>
          <w:color w:val="auto"/>
        </w:rPr>
      </w:pPr>
      <w:r>
        <w:rPr>
          <w:rFonts w:ascii="Arial" w:cs="Arial" w:eastAsia="Arial" w:hAnsi="Arial"/>
          <w:sz w:val="17"/>
          <w:szCs w:val="17"/>
          <w:color w:val="auto"/>
        </w:rPr>
        <w:t>If the bond has been in effect for 60 days or less, it may be canceled by the Underwriter for any reason. Such cancellation shall be effective 60 days after the Underwriter mails a notice of cancellation to the first-named Insured at the mailing address shown in the bond. However, if the bond has been in effect for more than 60 days or is a renewal, then cancellation must be based on one of the followings grounds:</w:t>
      </w:r>
    </w:p>
    <w:p>
      <w:pPr>
        <w:spacing w:after="0" w:line="192"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non-payment of premium, however, that a notice of cancellation on this ground shall inform the insured of the amount due;</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conviction of crime arising out of acts increasing the hazard insured against;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the bond or in the presentation of claim thereunder;</w:t>
      </w:r>
    </w:p>
    <w:p>
      <w:pPr>
        <w:spacing w:after="0" w:line="252" w:lineRule="exact"/>
        <w:rPr>
          <w:rFonts w:ascii="Arial" w:cs="Arial" w:eastAsia="Arial" w:hAnsi="Arial"/>
          <w:sz w:val="18"/>
          <w:szCs w:val="18"/>
          <w:color w:val="auto"/>
        </w:rPr>
      </w:pPr>
    </w:p>
    <w:p>
      <w:pPr>
        <w:ind w:left="900" w:right="280" w:hanging="446"/>
        <w:spacing w:after="0" w:line="342"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after issuance of the bond or after the last renewal date, discovery of an act or omission, or a violation of any bond condition that substantially and materially increases the hazard Insured against, and which occurred subsequent to inception of the current bond period;</w:t>
      </w:r>
    </w:p>
    <w:p>
      <w:pPr>
        <w:spacing w:after="0" w:line="150" w:lineRule="exact"/>
        <w:rPr>
          <w:rFonts w:ascii="Arial" w:cs="Arial" w:eastAsia="Arial" w:hAnsi="Arial"/>
          <w:sz w:val="16"/>
          <w:szCs w:val="16"/>
          <w:color w:val="auto"/>
        </w:rPr>
      </w:pPr>
    </w:p>
    <w:p>
      <w:pPr>
        <w:ind w:left="900" w:right="140" w:hanging="446"/>
        <w:spacing w:after="0" w:line="342"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material change in the nature or extent of the risk, occurring after issuance or last annual renewal anniversary date of the bond, which causes the risk of loss to be substantially and materially increased beyond that contemplated at the time the bond was issued or last renewed;</w:t>
      </w:r>
    </w:p>
    <w:p>
      <w:pPr>
        <w:spacing w:after="0" w:line="150" w:lineRule="exact"/>
        <w:rPr>
          <w:rFonts w:ascii="Arial" w:cs="Arial" w:eastAsia="Arial" w:hAnsi="Arial"/>
          <w:sz w:val="16"/>
          <w:szCs w:val="16"/>
          <w:color w:val="auto"/>
        </w:rPr>
      </w:pPr>
    </w:p>
    <w:p>
      <w:pPr>
        <w:ind w:left="900" w:right="360" w:hanging="446"/>
        <w:spacing w:after="0" w:line="308" w:lineRule="auto"/>
        <w:tabs>
          <w:tab w:leader="none" w:pos="9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cancellation is required pursuant to a determination by the Superintendent that continuation of the present premium volume of the Insurer would jeopardize the Insurer’s solvency or be hazardous to the interest of the Insureds, the Insurer’s creditors or the public;</w:t>
      </w:r>
    </w:p>
    <w:p>
      <w:pPr>
        <w:spacing w:after="0" w:line="173" w:lineRule="exact"/>
        <w:rPr>
          <w:rFonts w:ascii="Arial" w:cs="Arial" w:eastAsia="Arial" w:hAnsi="Arial"/>
          <w:sz w:val="17"/>
          <w:szCs w:val="17"/>
          <w:color w:val="auto"/>
        </w:rPr>
      </w:pPr>
    </w:p>
    <w:p>
      <w:pPr>
        <w:ind w:left="900" w:right="40" w:hanging="446"/>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determination by the Superintendent that the continuation of the bond would violate, or would place the Insurer in violation of, any provision of the New York State Insurance laws.</w:t>
      </w:r>
    </w:p>
    <w:p>
      <w:pPr>
        <w:spacing w:after="0" w:line="197"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where the Insurer has reason to believe, in good faith and with sufficient cause, that there is a possible risk or danger that the Insured property will be destroyed by the Insured for the purpose of collecting the insurance proceeds, provided, however, that:</w:t>
      </w:r>
    </w:p>
    <w:p>
      <w:pPr>
        <w:spacing w:after="0" w:line="197" w:lineRule="exact"/>
        <w:rPr>
          <w:rFonts w:ascii="Arial" w:cs="Arial" w:eastAsia="Arial" w:hAnsi="Arial"/>
          <w:sz w:val="18"/>
          <w:szCs w:val="18"/>
          <w:color w:val="auto"/>
        </w:rPr>
      </w:pPr>
    </w:p>
    <w:p>
      <w:pPr>
        <w:ind w:left="1480" w:right="260" w:hanging="567"/>
        <w:spacing w:after="0" w:line="277" w:lineRule="auto"/>
        <w:tabs>
          <w:tab w:leader="none" w:pos="1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notice of cancellation on this ground shall inform the Insured in plain language that the Insured must act within ten days if review by the Department of Financial Services of the State of New York of the ground for cancellation is desired, and</w:t>
      </w:r>
    </w:p>
    <w:p>
      <w:pPr>
        <w:spacing w:after="0" w:line="197" w:lineRule="exact"/>
        <w:rPr>
          <w:rFonts w:ascii="Arial" w:cs="Arial" w:eastAsia="Arial" w:hAnsi="Arial"/>
          <w:sz w:val="18"/>
          <w:szCs w:val="18"/>
          <w:color w:val="auto"/>
        </w:rPr>
      </w:pPr>
    </w:p>
    <w:p>
      <w:pPr>
        <w:ind w:left="1480" w:right="60" w:hanging="567"/>
        <w:spacing w:after="0" w:line="277" w:lineRule="auto"/>
        <w:tabs>
          <w:tab w:leader="none" w:pos="1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notice of cancellation on this ground shall be provided simultaneously by the Insurer to the Department of Financial Services of the State of New York.</w:t>
      </w:r>
    </w:p>
    <w:p>
      <w:pPr>
        <w:spacing w:after="0" w:line="103"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ICB057 Rev. 08-13</w:t>
      </w:r>
      <w:r>
        <w:rPr>
          <w:sz w:val="20"/>
          <w:szCs w:val="20"/>
          <w:color w:val="auto"/>
        </w:rPr>
        <w:tab/>
      </w:r>
      <w:r>
        <w:rPr>
          <w:rFonts w:ascii="Arial" w:cs="Arial" w:eastAsia="Arial" w:hAnsi="Arial"/>
          <w:sz w:val="16"/>
          <w:szCs w:val="16"/>
          <w:color w:val="auto"/>
        </w:rPr>
        <w:t>Page 1 of 2</w:t>
      </w:r>
    </w:p>
    <w:p>
      <w:pPr>
        <w:spacing w:after="0" w:line="23"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8"/>
          <w:szCs w:val="18"/>
          <w:color w:val="auto"/>
        </w:rPr>
        <w:t>2013 The Travelers Indemnity Company. All rights reserved.</w:t>
      </w:r>
    </w:p>
    <w:p>
      <w:pPr>
        <w:sectPr>
          <w:pgSz w:w="11900" w:h="16838" w:orient="portrait"/>
          <w:cols w:equalWidth="0" w:num="1">
            <w:col w:w="11420"/>
          </w:cols>
          <w:pgMar w:left="240" w:top="278" w:right="239" w:bottom="1440" w:gutter="0" w:footer="0" w:header="0"/>
        </w:sectPr>
      </w:pPr>
    </w:p>
    <w:bookmarkStart w:id="22" w:name="page23"/>
    <w:bookmarkEnd w:id="22"/>
    <w:p>
      <w:pPr>
        <w:ind w:left="1480" w:right="200" w:hanging="567"/>
        <w:spacing w:after="0" w:line="257" w:lineRule="auto"/>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written request of the Insured made to the Department of Financial Services of the State of New York within ten days from the Insured’s receipt of notice of cancellation on this ground, the department shall undertake a review of the ground for cancellation to determine whether or not the Insurer has satisfied the criteria for cancellation specified in this subparagraph; if after such review the department finds not sufficient cause for cancellation on this ground, the notice of cancellation on this ground shall be deemed null and void.</w:t>
      </w:r>
    </w:p>
    <w:p>
      <w:pPr>
        <w:spacing w:after="0" w:line="188"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Cancellation based on one of the above grounds shall be effective 60 days after the notice of cancellation is mailed or delivered to the Named Insured, at the address shown on the bond, and to its authorized agent or broker.</w:t>
      </w:r>
    </w:p>
    <w:p>
      <w:pPr>
        <w:spacing w:after="0" w:line="197" w:lineRule="exact"/>
        <w:rPr>
          <w:sz w:val="20"/>
          <w:szCs w:val="20"/>
          <w:color w:val="auto"/>
        </w:rPr>
      </w:pPr>
    </w:p>
    <w:p>
      <w:pPr>
        <w:ind w:left="460" w:right="100" w:hanging="452"/>
        <w:spacing w:after="0" w:line="286"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Underwriter elects not to replace a bond at the termination of the Bond Period, it shall notify the Insured not more than 120 days nor less than 60 days before termination. If such notice is given late, the bond shall continue in effect for 60 days after such notice is given. The Aggregate Limit of Liability shall not be increased or reinstated. The notice not to replace shall be mailed to the Insured and its broker or agent.</w:t>
      </w:r>
    </w:p>
    <w:p>
      <w:pPr>
        <w:spacing w:after="0" w:line="192" w:lineRule="exact"/>
        <w:rPr>
          <w:rFonts w:ascii="Arial" w:cs="Arial" w:eastAsia="Arial" w:hAnsi="Arial"/>
          <w:sz w:val="17"/>
          <w:szCs w:val="17"/>
          <w:color w:val="auto"/>
        </w:rPr>
      </w:pPr>
    </w:p>
    <w:p>
      <w:pPr>
        <w:ind w:left="460" w:right="320" w:hanging="452"/>
        <w:spacing w:after="0" w:line="30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Underwriter elects to replace the bond, but with a change of limits, reduced coverage, increased deductible, additional exclusion, or upon increased premiums in excess of ten percent (exclusive of any premium increase as a result of experience rating), the Underwriter must mail written notice to the Insured and its agent or broker not more than 120 days nor less than 60 days before replacement. If such notice is given late, the replacement bond shall be in effect with the same terms, conditions and rates as the terminated bond for 60 days after such notice is given.</w:t>
      </w:r>
    </w:p>
    <w:p>
      <w:pPr>
        <w:spacing w:after="0" w:line="181" w:lineRule="exact"/>
        <w:rPr>
          <w:rFonts w:ascii="Arial" w:cs="Arial" w:eastAsia="Arial" w:hAnsi="Arial"/>
          <w:sz w:val="16"/>
          <w:szCs w:val="16"/>
          <w:color w:val="auto"/>
        </w:rPr>
      </w:pPr>
    </w:p>
    <w:p>
      <w:pPr>
        <w:ind w:left="460" w:right="80" w:hanging="452"/>
        <w:spacing w:after="0" w:line="279"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Underwriter may elect to simply notify the Insured that the bond will either be not renewed or renewed with different terms, conditions or rates. In this event, the Underwriter will inform the Insured that a second notice will be sent at a later date specifying the Underwriter’s exact intention. The Underwriter shall inform the Insured that, in the meantime, coverage shall continue on the same terms, conditions and rates as the expiring bond until the expiration date of the bond or 60 days after the second notice is mailed or delivered, whichever is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7600" w:type="dxa"/>
            <w:vAlign w:val="bottom"/>
            <w:gridSpan w:val="3"/>
          </w:tcPr>
          <w:p>
            <w:pPr>
              <w:ind w:left="2540"/>
              <w:spacing w:after="0"/>
              <w:rPr>
                <w:sz w:val="20"/>
                <w:szCs w:val="20"/>
                <w:color w:val="auto"/>
              </w:rPr>
            </w:pPr>
            <w:r>
              <w:rPr>
                <w:rFonts w:ascii="Arial" w:cs="Arial" w:eastAsia="Arial" w:hAnsi="Arial"/>
                <w:sz w:val="18"/>
                <w:szCs w:val="18"/>
                <w:color w:val="auto"/>
              </w:rPr>
              <w:t>By</w:t>
            </w:r>
          </w:p>
        </w:tc>
      </w:tr>
      <w:tr>
        <w:trPr>
          <w:trHeight w:val="129"/>
        </w:trPr>
        <w:tc>
          <w:tcPr>
            <w:tcW w:w="38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460" w:type="dxa"/>
            <w:vAlign w:val="bottom"/>
            <w:tcBorders>
              <w:top w:val="single" w:sz="8" w:color="auto"/>
            </w:tcBorders>
          </w:tcPr>
          <w:p>
            <w:pPr>
              <w:ind w:left="1460"/>
              <w:spacing w:after="0" w:line="129" w:lineRule="exact"/>
              <w:rPr>
                <w:sz w:val="20"/>
                <w:szCs w:val="20"/>
                <w:color w:val="auto"/>
              </w:rPr>
            </w:pPr>
            <w:r>
              <w:rPr>
                <w:rFonts w:ascii="Arial" w:cs="Arial" w:eastAsia="Arial" w:hAnsi="Arial"/>
                <w:sz w:val="14"/>
                <w:szCs w:val="14"/>
                <w:color w:val="auto"/>
              </w:rPr>
              <w:t>Authorized Representative</w:t>
            </w:r>
          </w:p>
        </w:tc>
        <w:tc>
          <w:tcPr>
            <w:tcW w:w="20" w:type="dxa"/>
            <w:vAlign w:val="bottom"/>
          </w:tcPr>
          <w:p>
            <w:pPr>
              <w:spacing w:after="0"/>
              <w:rPr>
                <w:sz w:val="11"/>
                <w:szCs w:val="11"/>
                <w:color w:val="auto"/>
              </w:rPr>
            </w:pPr>
          </w:p>
        </w:tc>
      </w:tr>
      <w:tr>
        <w:trPr>
          <w:trHeight w:val="264"/>
        </w:trPr>
        <w:tc>
          <w:tcPr>
            <w:tcW w:w="3840" w:type="dxa"/>
            <w:vAlign w:val="bottom"/>
          </w:tcPr>
          <w:p>
            <w:pPr>
              <w:spacing w:after="0"/>
              <w:rPr>
                <w:sz w:val="22"/>
                <w:szCs w:val="22"/>
                <w:color w:val="auto"/>
              </w:rPr>
            </w:pPr>
          </w:p>
        </w:tc>
        <w:tc>
          <w:tcPr>
            <w:tcW w:w="7600" w:type="dxa"/>
            <w:vAlign w:val="bottom"/>
            <w:gridSpan w:val="3"/>
          </w:tcPr>
          <w:p>
            <w:pPr>
              <w:ind w:left="2440"/>
              <w:spacing w:after="0"/>
              <w:rPr>
                <w:sz w:val="20"/>
                <w:szCs w:val="20"/>
                <w:color w:val="auto"/>
              </w:rPr>
            </w:pPr>
            <w:r>
              <w:rPr>
                <w:rFonts w:ascii="Arial" w:cs="Arial" w:eastAsia="Arial" w:hAnsi="Arial"/>
                <w:sz w:val="21"/>
                <w:szCs w:val="21"/>
                <w:color w:val="auto"/>
              </w:rPr>
              <w:t>INSURED</w:t>
            </w:r>
          </w:p>
        </w:tc>
      </w:tr>
      <w:tr>
        <w:trPr>
          <w:trHeight w:val="342"/>
        </w:trPr>
        <w:tc>
          <w:tcPr>
            <w:tcW w:w="3840" w:type="dxa"/>
            <w:vAlign w:val="bottom"/>
          </w:tcPr>
          <w:p>
            <w:pPr>
              <w:spacing w:after="0"/>
              <w:rPr>
                <w:sz w:val="20"/>
                <w:szCs w:val="20"/>
                <w:color w:val="auto"/>
              </w:rPr>
            </w:pPr>
            <w:r>
              <w:rPr>
                <w:rFonts w:ascii="Arial" w:cs="Arial" w:eastAsia="Arial" w:hAnsi="Arial"/>
                <w:sz w:val="18"/>
                <w:szCs w:val="18"/>
                <w:color w:val="auto"/>
              </w:rPr>
              <w:t>ICB057 Rev. 08-13</w:t>
            </w:r>
          </w:p>
        </w:tc>
        <w:tc>
          <w:tcPr>
            <w:tcW w:w="3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Page 2 of 2</w:t>
            </w:r>
          </w:p>
        </w:tc>
        <w:tc>
          <w:tcPr>
            <w:tcW w:w="7600" w:type="dxa"/>
            <w:vAlign w:val="bottom"/>
            <w:gridSpan w:val="3"/>
          </w:tcPr>
          <w:p>
            <w:pPr>
              <w:ind w:left="2940"/>
              <w:spacing w:after="0"/>
              <w:rPr>
                <w:sz w:val="20"/>
                <w:szCs w:val="20"/>
                <w:color w:val="auto"/>
              </w:rPr>
            </w:pPr>
            <w:r>
              <w:rPr>
                <w:rFonts w:ascii="Arial" w:cs="Arial" w:eastAsia="Arial" w:hAnsi="Arial"/>
                <w:sz w:val="16"/>
                <w:szCs w:val="16"/>
                <w:color w:val="auto"/>
                <w:w w:val="92"/>
              </w:rPr>
              <w:t xml:space="preserve">©  </w:t>
            </w:r>
            <w:r>
              <w:rPr>
                <w:rFonts w:ascii="Arial" w:cs="Arial" w:eastAsia="Arial" w:hAnsi="Arial"/>
                <w:sz w:val="18"/>
                <w:szCs w:val="18"/>
                <w:color w:val="auto"/>
                <w:w w:val="92"/>
              </w:rPr>
              <w:t>2013 The Travelers Indemnity Company. All rights reserved.</w:t>
            </w:r>
          </w:p>
        </w:tc>
      </w:tr>
    </w:tbl>
    <w:p>
      <w:pPr>
        <w:sectPr>
          <w:pgSz w:w="11900" w:h="16838" w:orient="portrait"/>
          <w:cols w:equalWidth="0" w:num="1">
            <w:col w:w="11420"/>
          </w:cols>
          <w:pgMar w:left="240" w:top="274" w:right="239" w:bottom="1440" w:gutter="0" w:footer="0" w:header="0"/>
        </w:sectPr>
      </w:pPr>
    </w:p>
    <w:bookmarkStart w:id="23" w:name="page24"/>
    <w:bookmarkEnd w:id="23"/>
    <w:p>
      <w:pPr>
        <w:ind w:left="1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3080" w:type="dxa"/>
            <w:vAlign w:val="bottom"/>
            <w:tcBorders>
              <w:top w:val="single" w:sz="8" w:color="auto"/>
              <w:right w:val="single" w:sz="8" w:color="auto"/>
            </w:tcBorders>
          </w:tcPr>
          <w:p>
            <w:pPr>
              <w:ind w:left="160"/>
              <w:spacing w:after="0" w:line="114" w:lineRule="exact"/>
              <w:rPr>
                <w:sz w:val="20"/>
                <w:szCs w:val="20"/>
                <w:color w:val="auto"/>
              </w:rPr>
            </w:pPr>
            <w:r>
              <w:rPr>
                <w:rFonts w:ascii="Arial" w:cs="Arial" w:eastAsia="Arial" w:hAnsi="Arial"/>
                <w:sz w:val="13"/>
                <w:szCs w:val="13"/>
                <w:color w:val="auto"/>
              </w:rPr>
              <w:t>ATTACHED TO AND FORMING PART OF</w:t>
            </w:r>
          </w:p>
        </w:tc>
        <w:tc>
          <w:tcPr>
            <w:tcW w:w="186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DATE ENDORSEMENT OR</w:t>
            </w:r>
          </w:p>
        </w:tc>
        <w:tc>
          <w:tcPr>
            <w:tcW w:w="3140" w:type="dxa"/>
            <w:vAlign w:val="bottom"/>
            <w:tcBorders>
              <w:top w:val="single" w:sz="8" w:color="auto"/>
            </w:tcBorders>
          </w:tcPr>
          <w:p>
            <w:pPr>
              <w:jc w:val="right"/>
              <w:ind w:right="77"/>
              <w:spacing w:after="0" w:line="114" w:lineRule="exact"/>
              <w:rPr>
                <w:sz w:val="20"/>
                <w:szCs w:val="20"/>
                <w:color w:val="auto"/>
              </w:rPr>
            </w:pPr>
            <w:r>
              <w:rPr>
                <w:rFonts w:ascii="Arial" w:cs="Arial" w:eastAsia="Arial" w:hAnsi="Arial"/>
                <w:sz w:val="13"/>
                <w:szCs w:val="13"/>
                <w:color w:val="auto"/>
                <w:w w:val="94"/>
              </w:rPr>
              <w:t>* EFFECTIVE DATE OF ENDORSEMENT OR RIDER</w:t>
            </w:r>
          </w:p>
        </w:tc>
        <w:tc>
          <w:tcPr>
            <w:tcW w:w="33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080" w:type="dxa"/>
            <w:vAlign w:val="bottom"/>
            <w:tcBorders>
              <w:right w:val="single" w:sz="8" w:color="auto"/>
            </w:tcBorders>
          </w:tcPr>
          <w:p>
            <w:pPr>
              <w:ind w:left="660"/>
              <w:spacing w:after="0"/>
              <w:rPr>
                <w:sz w:val="20"/>
                <w:szCs w:val="20"/>
                <w:color w:val="auto"/>
              </w:rPr>
            </w:pPr>
            <w:r>
              <w:rPr>
                <w:rFonts w:ascii="Arial" w:cs="Arial" w:eastAsia="Arial" w:hAnsi="Arial"/>
                <w:sz w:val="13"/>
                <w:szCs w:val="13"/>
                <w:color w:val="auto"/>
              </w:rPr>
              <w:t>BOND OR POLICY NO.</w:t>
            </w:r>
          </w:p>
        </w:tc>
        <w:tc>
          <w:tcPr>
            <w:tcW w:w="1860" w:type="dxa"/>
            <w:vAlign w:val="bottom"/>
            <w:tcBorders>
              <w:right w:val="single" w:sz="8" w:color="auto"/>
            </w:tcBorders>
          </w:tcPr>
          <w:p>
            <w:pPr>
              <w:ind w:left="460"/>
              <w:spacing w:after="0"/>
              <w:rPr>
                <w:sz w:val="20"/>
                <w:szCs w:val="20"/>
                <w:color w:val="auto"/>
              </w:rPr>
            </w:pPr>
            <w:r>
              <w:rPr>
                <w:rFonts w:ascii="Arial" w:cs="Arial" w:eastAsia="Arial" w:hAnsi="Arial"/>
                <w:sz w:val="13"/>
                <w:szCs w:val="13"/>
                <w:color w:val="auto"/>
              </w:rPr>
              <w:t>RIDER EXECUTED</w:t>
            </w:r>
          </w:p>
        </w:tc>
        <w:tc>
          <w:tcPr>
            <w:tcW w:w="3140" w:type="dxa"/>
            <w:vAlign w:val="bottom"/>
          </w:tcPr>
          <w:p>
            <w:pPr>
              <w:spacing w:after="0"/>
              <w:rPr>
                <w:sz w:val="13"/>
                <w:szCs w:val="13"/>
                <w:color w:val="auto"/>
              </w:rPr>
            </w:pPr>
          </w:p>
        </w:tc>
        <w:tc>
          <w:tcPr>
            <w:tcW w:w="3340" w:type="dxa"/>
            <w:vAlign w:val="bottom"/>
            <w:vMerge w:val="restart"/>
          </w:tcPr>
          <w:p>
            <w:pPr>
              <w:ind w:left="16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23"/>
        </w:trPr>
        <w:tc>
          <w:tcPr>
            <w:tcW w:w="308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314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80" w:type="dxa"/>
            <w:vAlign w:val="bottom"/>
            <w:tcBorders>
              <w:right w:val="single" w:sz="8" w:color="auto"/>
            </w:tcBorders>
            <w:vMerge w:val="restart"/>
          </w:tcPr>
          <w:p>
            <w:pPr>
              <w:ind w:left="260"/>
              <w:spacing w:after="0"/>
              <w:rPr>
                <w:sz w:val="20"/>
                <w:szCs w:val="20"/>
                <w:color w:val="auto"/>
              </w:rPr>
            </w:pPr>
            <w:r>
              <w:rPr>
                <w:rFonts w:ascii="Arial" w:cs="Arial" w:eastAsia="Arial" w:hAnsi="Arial"/>
                <w:sz w:val="21"/>
                <w:szCs w:val="21"/>
                <w:color w:val="auto"/>
              </w:rPr>
              <w:t>ZBN-41M30652-15-N2</w:t>
            </w:r>
          </w:p>
        </w:tc>
        <w:tc>
          <w:tcPr>
            <w:tcW w:w="1860" w:type="dxa"/>
            <w:vAlign w:val="bottom"/>
            <w:tcBorders>
              <w:right w:val="single" w:sz="8" w:color="auto"/>
            </w:tcBorders>
            <w:vMerge w:val="restart"/>
          </w:tcPr>
          <w:p>
            <w:pPr>
              <w:jc w:val="right"/>
              <w:ind w:right="443"/>
              <w:spacing w:after="0"/>
              <w:rPr>
                <w:sz w:val="20"/>
                <w:szCs w:val="20"/>
                <w:color w:val="auto"/>
              </w:rPr>
            </w:pPr>
            <w:r>
              <w:rPr>
                <w:rFonts w:ascii="Arial" w:cs="Arial" w:eastAsia="Arial" w:hAnsi="Arial"/>
                <w:sz w:val="21"/>
                <w:szCs w:val="21"/>
                <w:color w:val="auto"/>
              </w:rPr>
              <w:t>05/27/15</w:t>
            </w:r>
          </w:p>
        </w:tc>
        <w:tc>
          <w:tcPr>
            <w:tcW w:w="3140" w:type="dxa"/>
            <w:vAlign w:val="bottom"/>
            <w:vMerge w:val="restart"/>
          </w:tcPr>
          <w:p>
            <w:pPr>
              <w:jc w:val="right"/>
              <w:ind w:right="2117"/>
              <w:spacing w:after="0"/>
              <w:rPr>
                <w:sz w:val="20"/>
                <w:szCs w:val="20"/>
                <w:color w:val="auto"/>
              </w:rPr>
            </w:pPr>
            <w:r>
              <w:rPr>
                <w:rFonts w:ascii="Arial" w:cs="Arial" w:eastAsia="Arial" w:hAnsi="Arial"/>
                <w:sz w:val="21"/>
                <w:szCs w:val="21"/>
                <w:color w:val="auto"/>
              </w:rPr>
              <w:t>05/31/15</w:t>
            </w:r>
          </w:p>
        </w:tc>
        <w:tc>
          <w:tcPr>
            <w:tcW w:w="3340" w:type="dxa"/>
            <w:vAlign w:val="bottom"/>
          </w:tcPr>
          <w:p>
            <w:pPr>
              <w:ind w:left="1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105"/>
        </w:trPr>
        <w:tc>
          <w:tcPr>
            <w:tcW w:w="30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0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18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6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AUTOMATIC INCREASE IN LIMITS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MEL4734 Ed. 11-06 - For use with ICB005 Ed. 7-04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10., Limit of Liability, is amended to include the following paragraph:</w:t>
      </w:r>
    </w:p>
    <w:p>
      <w:pPr>
        <w:spacing w:after="0" w:line="225" w:lineRule="exact"/>
        <w:rPr>
          <w:rFonts w:ascii="Arial" w:cs="Arial" w:eastAsia="Arial" w:hAnsi="Arial"/>
          <w:sz w:val="18"/>
          <w:szCs w:val="18"/>
          <w:color w:val="auto"/>
        </w:rPr>
      </w:pPr>
    </w:p>
    <w:p>
      <w:pPr>
        <w:jc w:val="both"/>
        <w:ind w:left="460" w:right="100"/>
        <w:spacing w:after="0" w:line="286" w:lineRule="auto"/>
        <w:rPr>
          <w:rFonts w:ascii="Arial" w:cs="Arial" w:eastAsia="Arial" w:hAnsi="Arial"/>
          <w:sz w:val="18"/>
          <w:szCs w:val="18"/>
          <w:color w:val="auto"/>
        </w:rPr>
      </w:pPr>
      <w:r>
        <w:rPr>
          <w:rFonts w:ascii="Arial" w:cs="Arial" w:eastAsia="Arial" w:hAnsi="Arial"/>
          <w:sz w:val="17"/>
          <w:szCs w:val="17"/>
          <w:color w:val="auto"/>
        </w:rPr>
        <w:t>If the Insured shall, while this bond is in force, require an increase in limits to comply with SEC Reg. 17g-1, due to an increase in asset size of current Investment Companies insured under the bond or the addition of new Investment Companies, the Limit of Liability of this Bond shall automatically be increased to comply with this regulation without the payment of additional premium for the remainder of the premium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2006 The Travelers Indemnity Company. All rights reserved.</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20"/>
          </w:cols>
          <w:pgMar w:left="240" w:top="274" w:right="239" w:bottom="1440" w:gutter="0" w:footer="0" w:header="0"/>
        </w:sectPr>
      </w:pPr>
    </w:p>
    <w:bookmarkStart w:id="24" w:name="page25"/>
    <w:bookmarkEnd w:id="24"/>
    <w:p>
      <w:pPr>
        <w:ind w:left="1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3100" w:type="dxa"/>
            <w:vAlign w:val="bottom"/>
            <w:tcBorders>
              <w:top w:val="single" w:sz="8" w:color="auto"/>
              <w:right w:val="single" w:sz="8" w:color="auto"/>
            </w:tcBorders>
          </w:tcPr>
          <w:p>
            <w:pPr>
              <w:ind w:left="160"/>
              <w:spacing w:after="0" w:line="114" w:lineRule="exact"/>
              <w:rPr>
                <w:sz w:val="20"/>
                <w:szCs w:val="20"/>
                <w:color w:val="auto"/>
              </w:rPr>
            </w:pPr>
            <w:r>
              <w:rPr>
                <w:rFonts w:ascii="Arial" w:cs="Arial" w:eastAsia="Arial" w:hAnsi="Arial"/>
                <w:sz w:val="13"/>
                <w:szCs w:val="13"/>
                <w:color w:val="auto"/>
              </w:rPr>
              <w:t>ATTACHED TO AND FORMING PART OF</w:t>
            </w:r>
          </w:p>
        </w:tc>
        <w:tc>
          <w:tcPr>
            <w:tcW w:w="1700" w:type="dxa"/>
            <w:vAlign w:val="bottom"/>
            <w:tcBorders>
              <w:top w:val="single" w:sz="8" w:color="auto"/>
              <w:right w:val="single" w:sz="8" w:color="auto"/>
            </w:tcBorders>
          </w:tcPr>
          <w:p>
            <w:pPr>
              <w:ind w:left="200"/>
              <w:spacing w:after="0" w:line="114" w:lineRule="exact"/>
              <w:rPr>
                <w:sz w:val="20"/>
                <w:szCs w:val="20"/>
                <w:color w:val="auto"/>
              </w:rPr>
            </w:pPr>
            <w:r>
              <w:rPr>
                <w:rFonts w:ascii="Arial" w:cs="Arial" w:eastAsia="Arial" w:hAnsi="Arial"/>
                <w:sz w:val="13"/>
                <w:szCs w:val="13"/>
                <w:color w:val="auto"/>
              </w:rPr>
              <w:t>DATE ENDORSEMENT</w:t>
            </w:r>
          </w:p>
        </w:tc>
        <w:tc>
          <w:tcPr>
            <w:tcW w:w="3180" w:type="dxa"/>
            <w:vAlign w:val="bottom"/>
            <w:tcBorders>
              <w:top w:val="single" w:sz="8" w:color="auto"/>
            </w:tcBorders>
          </w:tcPr>
          <w:p>
            <w:pPr>
              <w:jc w:val="right"/>
              <w:ind w:right="117"/>
              <w:spacing w:after="0" w:line="114" w:lineRule="exact"/>
              <w:rPr>
                <w:sz w:val="20"/>
                <w:szCs w:val="20"/>
                <w:color w:val="auto"/>
              </w:rPr>
            </w:pPr>
            <w:r>
              <w:rPr>
                <w:rFonts w:ascii="Arial" w:cs="Arial" w:eastAsia="Arial" w:hAnsi="Arial"/>
                <w:sz w:val="13"/>
                <w:szCs w:val="13"/>
                <w:color w:val="auto"/>
                <w:w w:val="94"/>
              </w:rPr>
              <w:t>* EFFECTIVE DATE OF ENDORSEMENT OR RIDER</w:t>
            </w:r>
          </w:p>
        </w:tc>
        <w:tc>
          <w:tcPr>
            <w:tcW w:w="34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100" w:type="dxa"/>
            <w:vAlign w:val="bottom"/>
            <w:tcBorders>
              <w:right w:val="single" w:sz="8" w:color="auto"/>
            </w:tcBorders>
          </w:tcPr>
          <w:p>
            <w:pPr>
              <w:ind w:left="660"/>
              <w:spacing w:after="0"/>
              <w:rPr>
                <w:sz w:val="20"/>
                <w:szCs w:val="20"/>
                <w:color w:val="auto"/>
              </w:rPr>
            </w:pPr>
            <w:r>
              <w:rPr>
                <w:rFonts w:ascii="Arial" w:cs="Arial" w:eastAsia="Arial" w:hAnsi="Arial"/>
                <w:sz w:val="13"/>
                <w:szCs w:val="13"/>
                <w:color w:val="auto"/>
              </w:rPr>
              <w:t>BOND OR POLICY NO.</w:t>
            </w:r>
          </w:p>
        </w:tc>
        <w:tc>
          <w:tcPr>
            <w:tcW w:w="170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OR RIDER EXECUTED</w:t>
            </w:r>
          </w:p>
        </w:tc>
        <w:tc>
          <w:tcPr>
            <w:tcW w:w="3180" w:type="dxa"/>
            <w:vAlign w:val="bottom"/>
          </w:tcPr>
          <w:p>
            <w:pPr>
              <w:spacing w:after="0"/>
              <w:rPr>
                <w:sz w:val="13"/>
                <w:szCs w:val="13"/>
                <w:color w:val="auto"/>
              </w:rPr>
            </w:pPr>
          </w:p>
        </w:tc>
        <w:tc>
          <w:tcPr>
            <w:tcW w:w="3440" w:type="dxa"/>
            <w:vAlign w:val="bottom"/>
            <w:vMerge w:val="restart"/>
          </w:tcPr>
          <w:p>
            <w:pPr>
              <w:ind w:left="20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23"/>
        </w:trPr>
        <w:tc>
          <w:tcPr>
            <w:tcW w:w="31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3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100" w:type="dxa"/>
            <w:vAlign w:val="bottom"/>
            <w:tcBorders>
              <w:right w:val="single" w:sz="8" w:color="auto"/>
            </w:tcBorders>
            <w:vMerge w:val="restart"/>
          </w:tcPr>
          <w:p>
            <w:pPr>
              <w:ind w:left="260"/>
              <w:spacing w:after="0"/>
              <w:rPr>
                <w:sz w:val="20"/>
                <w:szCs w:val="20"/>
                <w:color w:val="auto"/>
              </w:rPr>
            </w:pPr>
            <w:r>
              <w:rPr>
                <w:rFonts w:ascii="Arial" w:cs="Arial" w:eastAsia="Arial" w:hAnsi="Arial"/>
                <w:sz w:val="21"/>
                <w:szCs w:val="21"/>
                <w:color w:val="auto"/>
              </w:rPr>
              <w:t>ZBN-41M30652-15-N2</w:t>
            </w:r>
          </w:p>
        </w:tc>
        <w:tc>
          <w:tcPr>
            <w:tcW w:w="1700" w:type="dxa"/>
            <w:vAlign w:val="bottom"/>
            <w:tcBorders>
              <w:right w:val="single" w:sz="8" w:color="auto"/>
            </w:tcBorders>
            <w:vMerge w:val="restart"/>
          </w:tcPr>
          <w:p>
            <w:pPr>
              <w:jc w:val="right"/>
              <w:ind w:right="383"/>
              <w:spacing w:after="0"/>
              <w:rPr>
                <w:sz w:val="20"/>
                <w:szCs w:val="20"/>
                <w:color w:val="auto"/>
              </w:rPr>
            </w:pPr>
            <w:r>
              <w:rPr>
                <w:rFonts w:ascii="Arial" w:cs="Arial" w:eastAsia="Arial" w:hAnsi="Arial"/>
                <w:sz w:val="21"/>
                <w:szCs w:val="21"/>
                <w:color w:val="auto"/>
              </w:rPr>
              <w:t>05/27/15</w:t>
            </w:r>
          </w:p>
        </w:tc>
        <w:tc>
          <w:tcPr>
            <w:tcW w:w="3180" w:type="dxa"/>
            <w:vAlign w:val="bottom"/>
            <w:vMerge w:val="restart"/>
          </w:tcPr>
          <w:p>
            <w:pPr>
              <w:jc w:val="right"/>
              <w:ind w:right="2177"/>
              <w:spacing w:after="0"/>
              <w:rPr>
                <w:sz w:val="20"/>
                <w:szCs w:val="20"/>
                <w:color w:val="auto"/>
              </w:rPr>
            </w:pPr>
            <w:r>
              <w:rPr>
                <w:rFonts w:ascii="Arial" w:cs="Arial" w:eastAsia="Arial" w:hAnsi="Arial"/>
                <w:sz w:val="21"/>
                <w:szCs w:val="21"/>
                <w:color w:val="auto"/>
              </w:rPr>
              <w:t>05/31/15</w:t>
            </w:r>
          </w:p>
        </w:tc>
        <w:tc>
          <w:tcPr>
            <w:tcW w:w="3440" w:type="dxa"/>
            <w:vAlign w:val="bottom"/>
          </w:tcPr>
          <w:p>
            <w:pPr>
              <w:ind w:left="20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105"/>
        </w:trPr>
        <w:tc>
          <w:tcPr>
            <w:tcW w:w="31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1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10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1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6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REPLACE INSURING AGREEMENT (A) FIDELITY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use with ICB005 Ed. 7/04</w:t>
      </w:r>
    </w:p>
    <w:p>
      <w:pPr>
        <w:jc w:val="center"/>
        <w:spacing w:after="0"/>
        <w:rPr>
          <w:sz w:val="20"/>
          <w:szCs w:val="20"/>
          <w:color w:val="auto"/>
        </w:rPr>
      </w:pPr>
      <w:r>
        <w:rPr>
          <w:rFonts w:ascii="Arial" w:cs="Arial" w:eastAsia="Arial" w:hAnsi="Arial"/>
          <w:sz w:val="22"/>
          <w:szCs w:val="22"/>
          <w:b w:val="1"/>
          <w:bCs w:val="1"/>
          <w:color w:val="auto"/>
        </w:rPr>
        <w:t>MEL7428 Ed. 04/10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Insuring Agreement (A) Fidelity is replaced with the following:</w:t>
      </w:r>
    </w:p>
    <w:p>
      <w:pPr>
        <w:spacing w:after="0" w:line="252" w:lineRule="exact"/>
        <w:rPr>
          <w:sz w:val="20"/>
          <w:szCs w:val="20"/>
          <w:color w:val="auto"/>
        </w:rPr>
      </w:pPr>
    </w:p>
    <w:p>
      <w:pPr>
        <w:ind w:left="900" w:right="180" w:hanging="446"/>
        <w:spacing w:after="0" w:line="31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47"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intent:</w:t>
      </w:r>
    </w:p>
    <w:p>
      <w:pPr>
        <w:spacing w:after="0" w:line="197" w:lineRule="exact"/>
        <w:rPr>
          <w:sz w:val="20"/>
          <w:szCs w:val="20"/>
          <w:color w:val="auto"/>
        </w:rPr>
      </w:pPr>
    </w:p>
    <w:p>
      <w:pPr>
        <w:ind w:left="1920" w:hanging="440"/>
        <w:spacing w:after="0"/>
        <w:tabs>
          <w:tab w:leader="none" w:pos="1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cause the Insured to sustain such loss,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obtain financial benefit for the Employee or another person or organization.</w:t>
      </w:r>
    </w:p>
    <w:p>
      <w:pPr>
        <w:spacing w:after="0" w:line="225" w:lineRule="exact"/>
        <w:rPr>
          <w:sz w:val="20"/>
          <w:szCs w:val="20"/>
          <w:color w:val="auto"/>
        </w:rPr>
      </w:pPr>
    </w:p>
    <w:p>
      <w:pPr>
        <w:ind w:left="920" w:right="120"/>
        <w:spacing w:after="0" w:line="255" w:lineRule="auto"/>
        <w:rPr>
          <w:sz w:val="20"/>
          <w:szCs w:val="20"/>
          <w:color w:val="auto"/>
        </w:rPr>
      </w:pPr>
      <w:r>
        <w:rPr>
          <w:rFonts w:ascii="Arial" w:cs="Arial" w:eastAsia="Arial" w:hAnsi="Arial"/>
          <w:sz w:val="18"/>
          <w:szCs w:val="18"/>
          <w:color w:val="auto"/>
        </w:rPr>
        <w:t>Notwithstanding the foregoing, it is agreed that with regard to Loans and/or Trading this bond covers only loss resulting directly from dishonest or fraudulent acts committed by an Employee with the intent to cause the Insured to sustain such loss, and to obtain financial benefit for the Employee or another person or organization. However, where the proceeds of a fraud committed by an Employee involving Loans and/or Trading are actually received by persons with whom the Employee was acting in collusion, but said Employee fails to derive a financial benefit therefrom, such a loss will nevertheless be covered hereunder as if the Employee had obtained such benefit provided the Insured establishes that the Employee intended to participate therein.</w:t>
      </w:r>
    </w:p>
    <w:p>
      <w:pPr>
        <w:spacing w:after="0" w:line="193" w:lineRule="exact"/>
        <w:rPr>
          <w:sz w:val="20"/>
          <w:szCs w:val="20"/>
          <w:color w:val="auto"/>
        </w:rPr>
      </w:pPr>
    </w:p>
    <w:p>
      <w:pPr>
        <w:ind w:left="920" w:right="560"/>
        <w:spacing w:after="0" w:line="277"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and pensions.</w:t>
      </w:r>
    </w:p>
    <w:p>
      <w:pPr>
        <w:spacing w:after="0" w:line="170"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“Trading” as used in this Insuring Agreement means trading or otherwise dealing in securities, commodities, futures, options, foreign or federal funds, currencies, foreign exchange or other means of exchange similar to or in the nature of the foregoing. .</w:t>
      </w:r>
    </w:p>
    <w:p>
      <w:pPr>
        <w:spacing w:after="0" w:line="170"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“Loan” as used in this Insuring Agreement means any extension of credit by the Insured, any transaction creating a creditor relationship in favor of the Insured and any transaction by which the Insured assumes an existing creditor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46990</wp:posOffset>
            </wp:positionV>
            <wp:extent cx="30270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62" w:lineRule="exact"/>
        <w:rPr>
          <w:sz w:val="20"/>
          <w:szCs w:val="20"/>
          <w:color w:val="auto"/>
        </w:rPr>
      </w:pPr>
    </w:p>
    <w:p>
      <w:pPr>
        <w:ind w:left="826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2010 The Travelers Indemnity Company</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20"/>
          </w:cols>
          <w:pgMar w:left="240" w:top="274" w:right="239" w:bottom="1440" w:gutter="0" w:footer="0" w:header="0"/>
        </w:sectPr>
      </w:pPr>
    </w:p>
    <w:bookmarkStart w:id="25" w:name="page26"/>
    <w:bookmarkEnd w:id="25"/>
    <w:p>
      <w:pPr>
        <w:ind w:left="3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3220" w:type="dxa"/>
            <w:vAlign w:val="bottom"/>
            <w:tcBorders>
              <w:top w:val="single" w:sz="8" w:color="auto"/>
              <w:right w:val="single" w:sz="8" w:color="auto"/>
            </w:tcBorders>
          </w:tcPr>
          <w:p>
            <w:pPr>
              <w:ind w:left="580"/>
              <w:spacing w:after="0" w:line="114" w:lineRule="exact"/>
              <w:rPr>
                <w:sz w:val="20"/>
                <w:szCs w:val="20"/>
                <w:color w:val="auto"/>
              </w:rPr>
            </w:pPr>
            <w:r>
              <w:rPr>
                <w:rFonts w:ascii="Arial" w:cs="Arial" w:eastAsia="Arial" w:hAnsi="Arial"/>
                <w:sz w:val="13"/>
                <w:szCs w:val="13"/>
                <w:color w:val="auto"/>
              </w:rPr>
              <w:t>ATTACHED TO AND FORMING PART OF</w:t>
            </w:r>
          </w:p>
        </w:tc>
        <w:tc>
          <w:tcPr>
            <w:tcW w:w="208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2"/>
              </w:rPr>
              <w:t>DATE ENDORSEMENT OR</w:t>
            </w:r>
          </w:p>
        </w:tc>
        <w:tc>
          <w:tcPr>
            <w:tcW w:w="3080" w:type="dxa"/>
            <w:vAlign w:val="bottom"/>
            <w:tcBorders>
              <w:top w:val="single" w:sz="8" w:color="auto"/>
            </w:tcBorders>
          </w:tcPr>
          <w:p>
            <w:pPr>
              <w:jc w:val="right"/>
              <w:ind w:right="17"/>
              <w:spacing w:after="0" w:line="114" w:lineRule="exact"/>
              <w:rPr>
                <w:sz w:val="20"/>
                <w:szCs w:val="20"/>
                <w:color w:val="auto"/>
              </w:rPr>
            </w:pPr>
            <w:r>
              <w:rPr>
                <w:rFonts w:ascii="Arial" w:cs="Arial" w:eastAsia="Arial" w:hAnsi="Arial"/>
                <w:sz w:val="13"/>
                <w:szCs w:val="13"/>
                <w:color w:val="auto"/>
                <w:w w:val="94"/>
              </w:rPr>
              <w:t>* EFFECTIVE DATE OF ENDORSEMENT OR RIDER</w:t>
            </w:r>
          </w:p>
        </w:tc>
        <w:tc>
          <w:tcPr>
            <w:tcW w:w="30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220" w:type="dxa"/>
            <w:vAlign w:val="bottom"/>
            <w:tcBorders>
              <w:right w:val="single" w:sz="8" w:color="auto"/>
            </w:tcBorders>
          </w:tcPr>
          <w:p>
            <w:pPr>
              <w:ind w:left="1020"/>
              <w:spacing w:after="0"/>
              <w:rPr>
                <w:sz w:val="20"/>
                <w:szCs w:val="20"/>
                <w:color w:val="auto"/>
              </w:rPr>
            </w:pPr>
            <w:r>
              <w:rPr>
                <w:rFonts w:ascii="Arial" w:cs="Arial" w:eastAsia="Arial" w:hAnsi="Arial"/>
                <w:sz w:val="13"/>
                <w:szCs w:val="13"/>
                <w:color w:val="auto"/>
              </w:rPr>
              <w:t>BOND OR POLICY NO.</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RIDER EXECUTED</w:t>
            </w:r>
          </w:p>
        </w:tc>
        <w:tc>
          <w:tcPr>
            <w:tcW w:w="30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ZBN - 41M30652-15-N2</w:t>
            </w:r>
          </w:p>
        </w:tc>
        <w:tc>
          <w:tcPr>
            <w:tcW w:w="2080" w:type="dxa"/>
            <w:vAlign w:val="bottom"/>
            <w:tcBorders>
              <w:right w:val="single" w:sz="8" w:color="auto"/>
            </w:tcBorders>
            <w:vMerge w:val="restart"/>
          </w:tcPr>
          <w:p>
            <w:pPr>
              <w:jc w:val="right"/>
              <w:ind w:right="663"/>
              <w:spacing w:after="0"/>
              <w:rPr>
                <w:sz w:val="20"/>
                <w:szCs w:val="20"/>
                <w:color w:val="auto"/>
              </w:rPr>
            </w:pPr>
            <w:r>
              <w:rPr>
                <w:rFonts w:ascii="Arial" w:cs="Arial" w:eastAsia="Arial" w:hAnsi="Arial"/>
                <w:sz w:val="21"/>
                <w:szCs w:val="21"/>
                <w:color w:val="auto"/>
              </w:rPr>
              <w:t>05/27/15</w:t>
            </w:r>
          </w:p>
        </w:tc>
        <w:tc>
          <w:tcPr>
            <w:tcW w:w="3080" w:type="dxa"/>
            <w:vAlign w:val="bottom"/>
            <w:vMerge w:val="restart"/>
          </w:tcPr>
          <w:p>
            <w:pPr>
              <w:jc w:val="right"/>
              <w:ind w:right="2057"/>
              <w:spacing w:after="0"/>
              <w:rPr>
                <w:sz w:val="20"/>
                <w:szCs w:val="20"/>
                <w:color w:val="auto"/>
              </w:rPr>
            </w:pPr>
            <w:r>
              <w:rPr>
                <w:rFonts w:ascii="Arial" w:cs="Arial" w:eastAsia="Arial" w:hAnsi="Arial"/>
                <w:sz w:val="21"/>
                <w:szCs w:val="21"/>
                <w:color w:val="auto"/>
              </w:rPr>
              <w:t>05/31/15</w:t>
            </w:r>
          </w:p>
        </w:tc>
        <w:tc>
          <w:tcPr>
            <w:tcW w:w="3040" w:type="dxa"/>
            <w:vAlign w:val="bottom"/>
          </w:tcPr>
          <w:p>
            <w:pPr>
              <w:ind w:left="8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60"/>
        </w:trPr>
        <w:tc>
          <w:tcPr>
            <w:tcW w:w="3220" w:type="dxa"/>
            <w:vAlign w:val="bottom"/>
            <w:tcBorders>
              <w:right w:val="single" w:sz="8" w:color="auto"/>
            </w:tcBorders>
            <w:vMerge w:val="continue"/>
          </w:tcPr>
          <w:p>
            <w:pPr>
              <w:spacing w:after="0"/>
              <w:rPr>
                <w:sz w:val="13"/>
                <w:szCs w:val="13"/>
                <w:color w:val="auto"/>
              </w:rPr>
            </w:pPr>
          </w:p>
        </w:tc>
        <w:tc>
          <w:tcPr>
            <w:tcW w:w="2080" w:type="dxa"/>
            <w:vAlign w:val="bottom"/>
            <w:tcBorders>
              <w:right w:val="single" w:sz="8" w:color="auto"/>
            </w:tcBorders>
            <w:vMerge w:val="continue"/>
          </w:tcPr>
          <w:p>
            <w:pPr>
              <w:spacing w:after="0"/>
              <w:rPr>
                <w:sz w:val="13"/>
                <w:szCs w:val="13"/>
                <w:color w:val="auto"/>
              </w:rPr>
            </w:pPr>
          </w:p>
        </w:tc>
        <w:tc>
          <w:tcPr>
            <w:tcW w:w="3080" w:type="dxa"/>
            <w:vAlign w:val="bottom"/>
            <w:vMerge w:val="continue"/>
          </w:tcPr>
          <w:p>
            <w:pPr>
              <w:spacing w:after="0"/>
              <w:rPr>
                <w:sz w:val="13"/>
                <w:szCs w:val="13"/>
                <w:color w:val="auto"/>
              </w:rPr>
            </w:pPr>
          </w:p>
        </w:tc>
        <w:tc>
          <w:tcPr>
            <w:tcW w:w="3040" w:type="dxa"/>
            <w:vAlign w:val="bottom"/>
          </w:tcPr>
          <w:p>
            <w:pPr>
              <w:ind w:left="8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158"/>
        </w:trPr>
        <w:tc>
          <w:tcPr>
            <w:tcW w:w="322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ISSUED TO</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COMPUTER SYSTEMS FRAUD ENDORSEMENT (For use with Investment Company Blanket Bond, Form ICB005 Ed. 07-04) MEL9188 Ed. 11-14</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56"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is added to Item 3. Limit of Liability of the Declarations: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3360" w:type="dxa"/>
            <w:vAlign w:val="bottom"/>
          </w:tcPr>
          <w:p>
            <w:pPr>
              <w:ind w:left="1680"/>
              <w:spacing w:after="0"/>
              <w:rPr>
                <w:sz w:val="20"/>
                <w:szCs w:val="20"/>
                <w:color w:val="auto"/>
              </w:rPr>
            </w:pPr>
            <w:r>
              <w:rPr>
                <w:rFonts w:ascii="Arial" w:cs="Arial" w:eastAsia="Arial" w:hAnsi="Arial"/>
                <w:sz w:val="18"/>
                <w:szCs w:val="18"/>
                <w:color w:val="auto"/>
              </w:rPr>
              <w:t>Limit of Liability</w:t>
            </w:r>
          </w:p>
        </w:tc>
        <w:tc>
          <w:tcPr>
            <w:tcW w:w="1820" w:type="dxa"/>
            <w:vAlign w:val="bottom"/>
          </w:tcPr>
          <w:p>
            <w:pPr>
              <w:ind w:left="400"/>
              <w:spacing w:after="0"/>
              <w:rPr>
                <w:sz w:val="20"/>
                <w:szCs w:val="20"/>
                <w:color w:val="auto"/>
              </w:rPr>
            </w:pPr>
            <w:r>
              <w:rPr>
                <w:rFonts w:ascii="Arial" w:cs="Arial" w:eastAsia="Arial" w:hAnsi="Arial"/>
                <w:sz w:val="18"/>
                <w:szCs w:val="18"/>
                <w:color w:val="auto"/>
                <w:w w:val="92"/>
              </w:rPr>
              <w:t>Deductible Amount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 COMPUTER SYSTEMS</w:t>
            </w:r>
          </w:p>
        </w:tc>
        <w:tc>
          <w:tcPr>
            <w:tcW w:w="3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Computer Fraud Coverage</w:t>
            </w:r>
          </w:p>
        </w:tc>
        <w:tc>
          <w:tcPr>
            <w:tcW w:w="3360" w:type="dxa"/>
            <w:vAlign w:val="bottom"/>
          </w:tcPr>
          <w:p>
            <w:pPr>
              <w:ind w:left="1680"/>
              <w:spacing w:after="0"/>
              <w:rPr>
                <w:sz w:val="20"/>
                <w:szCs w:val="20"/>
                <w:color w:val="auto"/>
              </w:rPr>
            </w:pPr>
            <w:r>
              <w:rPr>
                <w:rFonts w:ascii="Arial" w:cs="Arial" w:eastAsia="Arial" w:hAnsi="Arial"/>
                <w:sz w:val="21"/>
                <w:szCs w:val="21"/>
                <w:color w:val="auto"/>
              </w:rPr>
              <w:t>$5,000,000</w:t>
            </w:r>
          </w:p>
        </w:tc>
        <w:tc>
          <w:tcPr>
            <w:tcW w:w="1820" w:type="dxa"/>
            <w:vAlign w:val="bottom"/>
          </w:tcPr>
          <w:p>
            <w:pPr>
              <w:ind w:left="400"/>
              <w:spacing w:after="0"/>
              <w:rPr>
                <w:sz w:val="20"/>
                <w:szCs w:val="20"/>
                <w:color w:val="auto"/>
              </w:rPr>
            </w:pPr>
            <w:r>
              <w:rPr>
                <w:rFonts w:ascii="Arial" w:cs="Arial" w:eastAsia="Arial" w:hAnsi="Arial"/>
                <w:sz w:val="21"/>
                <w:szCs w:val="21"/>
                <w:color w:val="auto"/>
              </w:rPr>
              <w:t>$50,000</w:t>
            </w:r>
          </w:p>
        </w:tc>
      </w:tr>
      <w:tr>
        <w:trPr>
          <w:trHeight w:val="24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Fraudulent Instruction Coverage</w:t>
            </w:r>
          </w:p>
        </w:tc>
        <w:tc>
          <w:tcPr>
            <w:tcW w:w="3360" w:type="dxa"/>
            <w:vAlign w:val="bottom"/>
            <w:shd w:val="clear" w:color="auto" w:fill="CCEEFF"/>
          </w:tcPr>
          <w:p>
            <w:pPr>
              <w:ind w:left="1680"/>
              <w:spacing w:after="0"/>
              <w:rPr>
                <w:sz w:val="20"/>
                <w:szCs w:val="20"/>
                <w:color w:val="auto"/>
              </w:rPr>
            </w:pPr>
            <w:r>
              <w:rPr>
                <w:rFonts w:ascii="Arial" w:cs="Arial" w:eastAsia="Arial" w:hAnsi="Arial"/>
                <w:sz w:val="21"/>
                <w:szCs w:val="21"/>
                <w:color w:val="auto"/>
              </w:rPr>
              <w:t>$5,000,000</w:t>
            </w:r>
          </w:p>
        </w:tc>
        <w:tc>
          <w:tcPr>
            <w:tcW w:w="1820" w:type="dxa"/>
            <w:vAlign w:val="bottom"/>
            <w:shd w:val="clear" w:color="auto" w:fill="CCEEFF"/>
          </w:tcPr>
          <w:p>
            <w:pPr>
              <w:ind w:left="400"/>
              <w:spacing w:after="0"/>
              <w:rPr>
                <w:sz w:val="20"/>
                <w:szCs w:val="20"/>
                <w:color w:val="auto"/>
              </w:rPr>
            </w:pPr>
            <w:r>
              <w:rPr>
                <w:rFonts w:ascii="Arial" w:cs="Arial" w:eastAsia="Arial" w:hAnsi="Arial"/>
                <w:sz w:val="21"/>
                <w:szCs w:val="21"/>
                <w:color w:val="auto"/>
              </w:rPr>
              <w:t>$50,000</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Remote Access PBX System Fraud Coverage</w:t>
            </w:r>
          </w:p>
        </w:tc>
        <w:tc>
          <w:tcPr>
            <w:tcW w:w="3360" w:type="dxa"/>
            <w:vAlign w:val="bottom"/>
          </w:tcPr>
          <w:p>
            <w:pPr>
              <w:ind w:left="1680"/>
              <w:spacing w:after="0"/>
              <w:rPr>
                <w:sz w:val="20"/>
                <w:szCs w:val="20"/>
                <w:color w:val="auto"/>
              </w:rPr>
            </w:pPr>
            <w:r>
              <w:rPr>
                <w:rFonts w:ascii="Arial" w:cs="Arial" w:eastAsia="Arial" w:hAnsi="Arial"/>
                <w:sz w:val="21"/>
                <w:szCs w:val="21"/>
                <w:color w:val="auto"/>
              </w:rPr>
              <w:t>$ N/A</w:t>
            </w:r>
          </w:p>
        </w:tc>
        <w:tc>
          <w:tcPr>
            <w:tcW w:w="1820" w:type="dxa"/>
            <w:vAlign w:val="bottom"/>
          </w:tcPr>
          <w:p>
            <w:pPr>
              <w:ind w:left="400"/>
              <w:spacing w:after="0"/>
              <w:rPr>
                <w:sz w:val="20"/>
                <w:szCs w:val="20"/>
                <w:color w:val="auto"/>
              </w:rPr>
            </w:pPr>
            <w:r>
              <w:rPr>
                <w:rFonts w:ascii="Arial" w:cs="Arial" w:eastAsia="Arial" w:hAnsi="Arial"/>
                <w:sz w:val="21"/>
                <w:szCs w:val="21"/>
                <w:color w:val="auto"/>
              </w:rPr>
              <w:t>$ N/A</w:t>
            </w:r>
          </w:p>
        </w:tc>
      </w:tr>
      <w:tr>
        <w:trPr>
          <w:trHeight w:val="24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Restoration Expenses Coverage</w:t>
            </w:r>
          </w:p>
        </w:tc>
        <w:tc>
          <w:tcPr>
            <w:tcW w:w="3360" w:type="dxa"/>
            <w:vAlign w:val="bottom"/>
            <w:shd w:val="clear" w:color="auto" w:fill="CCEEFF"/>
          </w:tcPr>
          <w:p>
            <w:pPr>
              <w:ind w:left="1680"/>
              <w:spacing w:after="0"/>
              <w:rPr>
                <w:sz w:val="20"/>
                <w:szCs w:val="20"/>
                <w:color w:val="auto"/>
              </w:rPr>
            </w:pPr>
            <w:r>
              <w:rPr>
                <w:rFonts w:ascii="Arial" w:cs="Arial" w:eastAsia="Arial" w:hAnsi="Arial"/>
                <w:sz w:val="21"/>
                <w:szCs w:val="21"/>
                <w:color w:val="auto"/>
              </w:rPr>
              <w:t>$ N/A</w:t>
            </w:r>
          </w:p>
        </w:tc>
        <w:tc>
          <w:tcPr>
            <w:tcW w:w="1820" w:type="dxa"/>
            <w:vAlign w:val="bottom"/>
            <w:shd w:val="clear" w:color="auto" w:fill="CCEEFF"/>
          </w:tcPr>
          <w:p>
            <w:pPr>
              <w:ind w:left="400"/>
              <w:spacing w:after="0"/>
              <w:rPr>
                <w:sz w:val="20"/>
                <w:szCs w:val="20"/>
                <w:color w:val="auto"/>
              </w:rPr>
            </w:pPr>
            <w:r>
              <w:rPr>
                <w:rFonts w:ascii="Arial" w:cs="Arial" w:eastAsia="Arial" w:hAnsi="Arial"/>
                <w:sz w:val="21"/>
                <w:szCs w:val="21"/>
                <w:color w:val="auto"/>
              </w:rPr>
              <w:t>$ N/A</w:t>
            </w:r>
          </w:p>
        </w:tc>
      </w:tr>
    </w:tbl>
    <w:p>
      <w:pPr>
        <w:spacing w:after="0" w:line="225" w:lineRule="exact"/>
        <w:rPr>
          <w:sz w:val="20"/>
          <w:szCs w:val="20"/>
          <w:color w:val="auto"/>
        </w:rPr>
      </w:pPr>
    </w:p>
    <w:p>
      <w:pPr>
        <w:ind w:left="460" w:right="6780" w:hanging="452"/>
        <w:spacing w:after="0" w:line="503" w:lineRule="auto"/>
        <w:tabs>
          <w:tab w:leader="none" w:pos="4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following is added to </w:t>
      </w:r>
      <w:r>
        <w:rPr>
          <w:rFonts w:ascii="Arial" w:cs="Arial" w:eastAsia="Arial" w:hAnsi="Arial"/>
          <w:sz w:val="18"/>
          <w:szCs w:val="18"/>
          <w:b w:val="1"/>
          <w:bCs w:val="1"/>
          <w:color w:val="auto"/>
        </w:rPr>
        <w:t>INSURING AGREEMENTS:</w:t>
      </w:r>
      <w:r>
        <w:rPr>
          <w:rFonts w:ascii="Arial" w:cs="Arial" w:eastAsia="Arial" w:hAnsi="Arial"/>
          <w:sz w:val="18"/>
          <w:szCs w:val="18"/>
          <w:color w:val="auto"/>
        </w:rPr>
        <w:t xml:space="preserve"> COMPUTER SYSTEMS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FRAUD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Computer Fraud.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FRAUDULENT INSTRUCTION COVERAGE</w:t>
      </w:r>
    </w:p>
    <w:p>
      <w:pPr>
        <w:spacing w:after="0" w:line="23" w:lineRule="exact"/>
        <w:rPr>
          <w:sz w:val="20"/>
          <w:szCs w:val="20"/>
          <w:color w:val="auto"/>
        </w:rPr>
      </w:pPr>
    </w:p>
    <w:p>
      <w:pPr>
        <w:jc w:val="both"/>
        <w:ind w:left="920" w:right="20"/>
        <w:spacing w:after="0" w:line="255" w:lineRule="auto"/>
        <w:rPr>
          <w:sz w:val="20"/>
          <w:szCs w:val="20"/>
          <w:color w:val="auto"/>
        </w:rPr>
      </w:pPr>
      <w:r>
        <w:rPr>
          <w:rFonts w:ascii="Arial" w:cs="Arial" w:eastAsia="Arial" w:hAnsi="Arial"/>
          <w:sz w:val="18"/>
          <w:szCs w:val="18"/>
          <w:color w:val="auto"/>
        </w:rPr>
        <w:t>Loss resulting directly from the Insured having in good faith caused a transfer of funds as a result of a Fraudulent Instruction when the Insured, prior to causing the transfer of funds, used its reasonable best efforts to verify the identity of the person transmitting the instruction; provided that if the instruction is purported to be from a Customer, the Insured:</w:t>
      </w:r>
    </w:p>
    <w:p>
      <w:pPr>
        <w:spacing w:after="0" w:line="217" w:lineRule="exact"/>
        <w:rPr>
          <w:sz w:val="20"/>
          <w:szCs w:val="20"/>
          <w:color w:val="auto"/>
        </w:rPr>
      </w:pPr>
    </w:p>
    <w:p>
      <w:pPr>
        <w:ind w:left="1480" w:hanging="567"/>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performed a Callback Verification with respect to such instruction;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followed an agreed upon Security Procedure set forth in a Funds Transfer Agreement applicable to the transaction and instruction.</w:t>
      </w:r>
    </w:p>
    <w:p>
      <w:pPr>
        <w:spacing w:after="0" w:line="237"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Such Fraudulent Instruction received and, if applicable, Callback Verification performed, must be either recorded, logged, or documented by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REMOTE ACCESS PBX SYSTEM FRAUD COVERAGE Loss resulting directly from Remote Access PBX System Fraud.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incurred by the Insured and resulting from a Computer Violation by someone other than an Employee.</w:t>
      </w:r>
    </w:p>
    <w:p>
      <w:pPr>
        <w:spacing w:after="0" w:line="23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following are added to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Section 1. DEFINTIONS:</w:t>
      </w:r>
    </w:p>
    <w:p>
      <w:pPr>
        <w:spacing w:after="0" w:line="22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“Callback Verification” means a verbal conversation with the purported Customer, using a Pre-Determined Telephone Number, to verify the identity of the Customer and the authenticity of a funds transfer request.</w:t>
      </w:r>
    </w:p>
    <w:p>
      <w:pPr>
        <w:spacing w:after="0" w:line="103"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2014 The Travelers Indemnity Company. All rights reserved.</w:t>
      </w:r>
      <w:r>
        <w:rPr>
          <w:sz w:val="20"/>
          <w:szCs w:val="20"/>
          <w:color w:val="auto"/>
        </w:rPr>
        <w:tab/>
      </w:r>
      <w:r>
        <w:rPr>
          <w:rFonts w:ascii="Arial" w:cs="Arial" w:eastAsia="Arial" w:hAnsi="Arial"/>
          <w:sz w:val="16"/>
          <w:szCs w:val="16"/>
          <w:color w:val="auto"/>
        </w:rPr>
        <w:t>Page 1 of 5</w:t>
      </w:r>
    </w:p>
    <w:p>
      <w:pPr>
        <w:sectPr>
          <w:pgSz w:w="11900" w:h="16838" w:orient="portrait"/>
          <w:cols w:equalWidth="0" w:num="1">
            <w:col w:w="11420"/>
          </w:cols>
          <w:pgMar w:left="240" w:top="274" w:right="239" w:bottom="1440" w:gutter="0" w:footer="0" w:header="0"/>
        </w:sectPr>
      </w:pPr>
    </w:p>
    <w:bookmarkStart w:id="26" w:name="page27"/>
    <w:bookmarkEnd w:id="26"/>
    <w:p>
      <w:pPr>
        <w:ind w:left="9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“Computer Fraud” means an intentional, unauthorized and fraudulent entry of data or computer instructions directly into, or change of data or computer instructions within, a Computer System by a natural person or entity other than an Employee, including any such entry or change made via the internet or a Network, provided that such entry or change causes:</w:t>
      </w:r>
    </w:p>
    <w:p>
      <w:pPr>
        <w:spacing w:after="0" w:line="208" w:lineRule="exact"/>
        <w:rPr>
          <w:sz w:val="20"/>
          <w:szCs w:val="20"/>
          <w:color w:val="auto"/>
        </w:rPr>
      </w:pPr>
    </w:p>
    <w:p>
      <w:pPr>
        <w:ind w:left="1920" w:hanging="440"/>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System” means:</w:t>
      </w:r>
    </w:p>
    <w:p>
      <w:pPr>
        <w:spacing w:after="0" w:line="252" w:lineRule="exact"/>
        <w:rPr>
          <w:sz w:val="20"/>
          <w:szCs w:val="20"/>
          <w:color w:val="auto"/>
        </w:rPr>
      </w:pPr>
    </w:p>
    <w:p>
      <w:pPr>
        <w:ind w:left="1920" w:hanging="440"/>
        <w:spacing w:after="0"/>
        <w:tabs>
          <w:tab w:leader="none" w:pos="1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920" w:right="140" w:hanging="440"/>
        <w:spacing w:after="0" w:line="277" w:lineRule="auto"/>
        <w:tabs>
          <w:tab w:leader="none" w:pos="1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is rented by, owned by, leased by, licensed to, or under the direct operational control of, the Insured.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Violation” means:</w:t>
      </w:r>
    </w:p>
    <w:p>
      <w:pPr>
        <w:spacing w:after="0" w:line="252" w:lineRule="exact"/>
        <w:rPr>
          <w:sz w:val="20"/>
          <w:szCs w:val="20"/>
          <w:color w:val="auto"/>
        </w:rPr>
      </w:pPr>
    </w:p>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introduction of a Computer Virus into a Computer System; or</w:t>
      </w:r>
    </w:p>
    <w:p>
      <w:pPr>
        <w:spacing w:after="0" w:line="130" w:lineRule="exact"/>
        <w:rPr>
          <w:rFonts w:ascii="Arial" w:cs="Arial" w:eastAsia="Arial" w:hAnsi="Arial"/>
          <w:sz w:val="18"/>
          <w:szCs w:val="18"/>
          <w:color w:val="auto"/>
        </w:rPr>
      </w:pPr>
    </w:p>
    <w:p>
      <w:pPr>
        <w:ind w:left="1920" w:right="200" w:hanging="440"/>
        <w:spacing w:after="0" w:line="277" w:lineRule="auto"/>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damage to, or destruction of, computer programs, software or other electronic data stored within a Computer System by a natural person, who has:</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gained unauthorized access to such Computer System; or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authorized access to such Computer System but uses such access to cause such damage or destruction.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“Computer Virus” means any malicious code which could destroy, alter, contaminate, or degrade the integrity, quality, or performance of:</w:t>
      </w:r>
    </w:p>
    <w:p>
      <w:pPr>
        <w:spacing w:after="0" w:line="264" w:lineRule="exact"/>
        <w:rPr>
          <w:sz w:val="20"/>
          <w:szCs w:val="20"/>
          <w:color w:val="auto"/>
        </w:rPr>
      </w:pPr>
    </w:p>
    <w:p>
      <w:pPr>
        <w:ind w:left="1920" w:hanging="440"/>
        <w:spacing w:after="0"/>
        <w:tabs>
          <w:tab w:leader="none" w:pos="1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electronic data used, or stored, in any Computer System or network;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225"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“Customer” means, only with respect to the Fraudulent Instructions Coverage of the Computer Systems Insuring Agreement, an entity or natural person which has a Funds Transfer Agreement with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“Financial Institution” means:</w:t>
      </w:r>
    </w:p>
    <w:p>
      <w:pPr>
        <w:spacing w:after="0" w:line="252" w:lineRule="exact"/>
        <w:rPr>
          <w:sz w:val="20"/>
          <w:szCs w:val="20"/>
          <w:color w:val="auto"/>
        </w:rPr>
      </w:pPr>
    </w:p>
    <w:p>
      <w:pPr>
        <w:ind w:left="1920" w:hanging="440"/>
        <w:spacing w:after="0"/>
        <w:tabs>
          <w:tab w:leader="none" w:pos="1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Financial Institution does not include any such entity, institution or organization that is an Insured.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“Fraudulent Instruction” means an intentional, fraudulent and unauthorized instruction directed to the Insured, which is:</w:t>
      </w:r>
    </w:p>
    <w:p>
      <w:pPr>
        <w:spacing w:after="0" w:line="252" w:lineRule="exact"/>
        <w:rPr>
          <w:sz w:val="20"/>
          <w:szCs w:val="20"/>
          <w:color w:val="auto"/>
        </w:rPr>
      </w:pPr>
    </w:p>
    <w:p>
      <w:pPr>
        <w:ind w:left="1920" w:hanging="440"/>
        <w:spacing w:after="0"/>
        <w:tabs>
          <w:tab w:leader="none" w:pos="1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purports and reasonably appears to be from a Customer, a Financial Institution, or another office of the Insured;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was in fact transmitted by someone other than a Customer, a Financial Institution, or another office of the Insured; and</w:t>
      </w:r>
    </w:p>
    <w:p>
      <w:pPr>
        <w:spacing w:after="0" w:line="142" w:lineRule="exact"/>
        <w:rPr>
          <w:rFonts w:ascii="Arial" w:cs="Arial" w:eastAsia="Arial" w:hAnsi="Arial"/>
          <w:sz w:val="17"/>
          <w:szCs w:val="17"/>
          <w:color w:val="auto"/>
        </w:rPr>
      </w:pPr>
    </w:p>
    <w:p>
      <w:pPr>
        <w:ind w:left="2380" w:right="420" w:hanging="441"/>
        <w:spacing w:after="0" w:line="277" w:lineRule="auto"/>
        <w:tabs>
          <w:tab w:leader="none" w:pos="2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w:t>
      </w:r>
    </w:p>
    <w:p>
      <w:pPr>
        <w:spacing w:after="0" w:line="103"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Page 2 of 5</w:t>
      </w:r>
      <w:r>
        <w:rPr>
          <w:sz w:val="20"/>
          <w:szCs w:val="20"/>
          <w:color w:val="auto"/>
        </w:rPr>
        <w:tab/>
      </w:r>
      <w:r>
        <w:rPr>
          <w:rFonts w:ascii="Arial" w:cs="Arial" w:eastAsia="Arial" w:hAnsi="Arial"/>
          <w:sz w:val="14"/>
          <w:szCs w:val="14"/>
          <w:color w:val="auto"/>
        </w:rPr>
        <w:t xml:space="preserve">© </w:t>
      </w:r>
      <w:r>
        <w:rPr>
          <w:rFonts w:ascii="Arial" w:cs="Arial" w:eastAsia="Arial" w:hAnsi="Arial"/>
          <w:sz w:val="16"/>
          <w:szCs w:val="16"/>
          <w:color w:val="auto"/>
        </w:rPr>
        <w:t>2014 The Travelers Indemnity Company. All rights reserved.</w:t>
      </w:r>
    </w:p>
    <w:p>
      <w:pPr>
        <w:sectPr>
          <w:pgSz w:w="11900" w:h="16838" w:orient="portrait"/>
          <w:cols w:equalWidth="0" w:num="1">
            <w:col w:w="11420"/>
          </w:cols>
          <w:pgMar w:left="240" w:top="274" w:right="239" w:bottom="1440" w:gutter="0" w:footer="0" w:header="0"/>
        </w:sectPr>
      </w:pPr>
    </w:p>
    <w:bookmarkStart w:id="27" w:name="page28"/>
    <w:bookmarkEnd w:id="27"/>
    <w:p>
      <w:pPr>
        <w:ind w:left="1920" w:hanging="440"/>
        <w:spacing w:after="0"/>
        <w:tabs>
          <w:tab w:leader="none" w:pos="1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transmitted verbally, via telephone, and purports to be from:</w:t>
      </w:r>
    </w:p>
    <w:p>
      <w:pPr>
        <w:spacing w:after="0" w:line="252" w:lineRule="exact"/>
        <w:rPr>
          <w:rFonts w:ascii="Arial" w:cs="Arial" w:eastAsia="Arial" w:hAnsi="Arial"/>
          <w:sz w:val="18"/>
          <w:szCs w:val="18"/>
          <w:color w:val="auto"/>
        </w:rPr>
      </w:pPr>
    </w:p>
    <w:p>
      <w:pPr>
        <w:ind w:left="2380" w:right="260" w:hanging="441"/>
        <w:spacing w:after="0" w:line="277" w:lineRule="auto"/>
        <w:tabs>
          <w:tab w:leader="none" w:pos="2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who is authorized by the Customer to instruct the Insured to make such a transfer;</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Customer who is a natural person; or</w:t>
      </w:r>
    </w:p>
    <w:p>
      <w:pPr>
        <w:spacing w:after="0" w:line="130" w:lineRule="exact"/>
        <w:rPr>
          <w:rFonts w:ascii="Arial" w:cs="Arial" w:eastAsia="Arial" w:hAnsi="Arial"/>
          <w:sz w:val="18"/>
          <w:szCs w:val="18"/>
          <w:color w:val="auto"/>
        </w:rPr>
      </w:pPr>
    </w:p>
    <w:p>
      <w:pPr>
        <w:ind w:left="2380" w:right="100" w:hanging="441"/>
        <w:spacing w:after="0" w:line="264" w:lineRule="auto"/>
        <w:tabs>
          <w:tab w:leader="none" w:pos="2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 Employee in another office of the Insured, who was authorized by the Insured to instruct other Employees to transfer funds on deposit in a Customer’s account; and was received by an Employee specifically designated to receive and act upon such instructions,</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but was in fact transmitted by someone other than a person described in item (2) of this definition; or</w:t>
      </w:r>
    </w:p>
    <w:p>
      <w:pPr>
        <w:spacing w:after="0" w:line="252" w:lineRule="exact"/>
        <w:rPr>
          <w:sz w:val="20"/>
          <w:szCs w:val="20"/>
          <w:color w:val="auto"/>
        </w:rPr>
      </w:pPr>
    </w:p>
    <w:p>
      <w:pPr>
        <w:ind w:left="1920" w:right="780" w:hanging="440"/>
        <w:spacing w:after="0" w:line="277" w:lineRule="auto"/>
        <w:tabs>
          <w:tab w:leader="none" w:pos="1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transmitted via electronic mail and purports and reasonably appears to be from a Customer of the Insured, but was in fact transmitted by someone other than such Customer.</w:t>
      </w:r>
    </w:p>
    <w:p>
      <w:pPr>
        <w:spacing w:after="0" w:line="170"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Fraudulent Instruction does not include instructions purportedly from a Customer unless the Funds Transfer Agreement authorizes the Insured to rely on the specific transmittal method actually used to make the instruction.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“Funds Transfer Agreement” means an original written agreement, signed by the Customer, that:</w:t>
      </w:r>
    </w:p>
    <w:p>
      <w:pPr>
        <w:spacing w:after="0" w:line="252" w:lineRule="exact"/>
        <w:rPr>
          <w:sz w:val="20"/>
          <w:szCs w:val="20"/>
          <w:color w:val="auto"/>
        </w:rPr>
      </w:pPr>
    </w:p>
    <w:p>
      <w:pPr>
        <w:ind w:left="1920" w:hanging="440"/>
        <w:spacing w:after="0"/>
        <w:tabs>
          <w:tab w:leader="none" w:pos="1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authorizes the Insured to rely on voice, telefacsimile, or electronic mail instructions to make funds transfers;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provides the Insured with the names of persons authorized to initiate funds transfers;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establishes a specific Security Procedure that the Insured is obligated to follow to verify the authenticity of a funds transfer request.</w:t>
      </w:r>
    </w:p>
    <w:p>
      <w:pPr>
        <w:spacing w:after="0" w:line="248" w:lineRule="exact"/>
        <w:rPr>
          <w:sz w:val="20"/>
          <w:szCs w:val="20"/>
          <w:color w:val="auto"/>
        </w:rPr>
      </w:pPr>
    </w:p>
    <w:p>
      <w:pPr>
        <w:ind w:left="920" w:right="460"/>
        <w:spacing w:after="0" w:line="276" w:lineRule="auto"/>
        <w:rPr>
          <w:sz w:val="20"/>
          <w:szCs w:val="20"/>
          <w:color w:val="auto"/>
        </w:rPr>
      </w:pPr>
      <w:r>
        <w:rPr>
          <w:rFonts w:ascii="Arial" w:cs="Arial" w:eastAsia="Arial" w:hAnsi="Arial"/>
          <w:sz w:val="17"/>
          <w:szCs w:val="17"/>
          <w:color w:val="auto"/>
        </w:rPr>
        <w:t>“Network” means any and all services provided by or through the facilities of any electronic or computer communication system, including 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Computer System.</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“Pre-Determined Telephone Number” means a telephone number that:</w:t>
      </w:r>
    </w:p>
    <w:p>
      <w:pPr>
        <w:spacing w:after="0" w:line="252" w:lineRule="exact"/>
        <w:rPr>
          <w:sz w:val="20"/>
          <w:szCs w:val="20"/>
          <w:color w:val="auto"/>
        </w:rPr>
      </w:pPr>
    </w:p>
    <w:p>
      <w:pPr>
        <w:ind w:left="1920" w:hanging="440"/>
        <w:spacing w:after="0"/>
        <w:tabs>
          <w:tab w:leader="none" w:pos="1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was provided by the Customer when the Customer opened the account with the Insured;</w:t>
      </w:r>
    </w:p>
    <w:p>
      <w:pPr>
        <w:spacing w:after="0" w:line="130" w:lineRule="exact"/>
        <w:rPr>
          <w:rFonts w:ascii="Arial" w:cs="Arial" w:eastAsia="Arial" w:hAnsi="Arial"/>
          <w:sz w:val="18"/>
          <w:szCs w:val="18"/>
          <w:color w:val="auto"/>
        </w:rPr>
      </w:pPr>
    </w:p>
    <w:p>
      <w:pPr>
        <w:ind w:left="1920" w:right="720" w:hanging="440"/>
        <w:spacing w:after="0" w:line="342" w:lineRule="auto"/>
        <w:tabs>
          <w:tab w:leader="none" w:pos="1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was provided in person by the Customer after the Customer opened the account with the Insured, while the Customer was physically present on the Insured’s premises and presenting a government-issued photo identification;</w:t>
      </w:r>
    </w:p>
    <w:p>
      <w:pPr>
        <w:spacing w:after="0" w:line="29" w:lineRule="exact"/>
        <w:rPr>
          <w:rFonts w:ascii="Arial" w:cs="Arial" w:eastAsia="Arial" w:hAnsi="Arial"/>
          <w:sz w:val="16"/>
          <w:szCs w:val="16"/>
          <w:color w:val="auto"/>
        </w:rPr>
      </w:pPr>
    </w:p>
    <w:p>
      <w:pPr>
        <w:ind w:left="1920" w:hanging="440"/>
        <w:spacing w:after="0"/>
        <w:tabs>
          <w:tab w:leader="none" w:pos="1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was provided in a Funds Transfer Agreement;</w:t>
      </w:r>
    </w:p>
    <w:p>
      <w:pPr>
        <w:spacing w:after="0" w:line="130" w:lineRule="exact"/>
        <w:rPr>
          <w:rFonts w:ascii="Arial" w:cs="Arial" w:eastAsia="Arial" w:hAnsi="Arial"/>
          <w:sz w:val="18"/>
          <w:szCs w:val="18"/>
          <w:color w:val="auto"/>
        </w:rPr>
      </w:pPr>
    </w:p>
    <w:p>
      <w:pPr>
        <w:ind w:left="1920" w:right="200" w:hanging="440"/>
        <w:spacing w:after="0" w:line="342" w:lineRule="auto"/>
        <w:tabs>
          <w:tab w:leader="none" w:pos="1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replaced a telephone number previously provided for the Customer’s account, provided that confirmation of the legitimacy of the change was achieved through verbal contact with the Customer at the previous Pre-Determined Telephone Number; or</w:t>
      </w:r>
    </w:p>
    <w:p>
      <w:pPr>
        <w:spacing w:after="0" w:line="29" w:lineRule="exact"/>
        <w:rPr>
          <w:rFonts w:ascii="Arial" w:cs="Arial" w:eastAsia="Arial" w:hAnsi="Arial"/>
          <w:sz w:val="16"/>
          <w:szCs w:val="16"/>
          <w:color w:val="auto"/>
        </w:rPr>
      </w:pPr>
    </w:p>
    <w:p>
      <w:pPr>
        <w:ind w:left="1920" w:right="40" w:hanging="440"/>
        <w:spacing w:after="0" w:line="277" w:lineRule="auto"/>
        <w:tabs>
          <w:tab w:leader="none" w:pos="1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replaced a telephone number previously provided for the Customer’s account and was received by the Insured at least 30 days prior to the receipt of the Fraudulent Instruction.</w:t>
      </w:r>
    </w:p>
    <w:p>
      <w:pPr>
        <w:spacing w:after="0" w:line="170" w:lineRule="exact"/>
        <w:rPr>
          <w:sz w:val="20"/>
          <w:szCs w:val="20"/>
          <w:color w:val="auto"/>
        </w:rPr>
      </w:pPr>
    </w:p>
    <w:p>
      <w:pPr>
        <w:ind w:left="920" w:right="60"/>
        <w:spacing w:after="0" w:line="302" w:lineRule="auto"/>
        <w:rPr>
          <w:sz w:val="20"/>
          <w:szCs w:val="20"/>
          <w:color w:val="auto"/>
        </w:rPr>
      </w:pPr>
      <w:r>
        <w:rPr>
          <w:rFonts w:ascii="Arial" w:cs="Arial" w:eastAsia="Arial" w:hAnsi="Arial"/>
          <w:sz w:val="16"/>
          <w:szCs w:val="16"/>
          <w:color w:val="auto"/>
        </w:rPr>
        <w:t>“Remote Access PBX System” means a computerized private branch exchange voice telephone switching system operated by and located on the premises of the Insured that provides internal telephone communications between stations located on a given network, as well as between the Insured and other public or private telephone networks, excluding however, those systems for which the Insured does not retain sole control over system administration (performing security functions or activating systems features controlled by hardware or software options).</w:t>
      </w:r>
    </w:p>
    <w:p>
      <w:pPr>
        <w:spacing w:after="0" w:line="87"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2011 The Travelers Indemnity Company. All rights reserved.</w:t>
      </w:r>
      <w:r>
        <w:rPr>
          <w:sz w:val="20"/>
          <w:szCs w:val="20"/>
          <w:color w:val="auto"/>
        </w:rPr>
        <w:tab/>
      </w:r>
      <w:r>
        <w:rPr>
          <w:rFonts w:ascii="Arial" w:cs="Arial" w:eastAsia="Arial" w:hAnsi="Arial"/>
          <w:sz w:val="16"/>
          <w:szCs w:val="16"/>
          <w:color w:val="auto"/>
        </w:rPr>
        <w:t>Page 3 of 5</w:t>
      </w:r>
    </w:p>
    <w:p>
      <w:pPr>
        <w:sectPr>
          <w:pgSz w:w="11900" w:h="16838" w:orient="portrait"/>
          <w:cols w:equalWidth="0" w:num="1">
            <w:col w:w="11420"/>
          </w:cols>
          <w:pgMar w:left="240" w:top="274" w:right="239" w:bottom="1440" w:gutter="0" w:footer="0" w:header="0"/>
        </w:sectPr>
      </w:pPr>
    </w:p>
    <w:bookmarkStart w:id="28" w:name="page29"/>
    <w:bookmarkEnd w:id="28"/>
    <w:p>
      <w:pPr>
        <w:ind w:left="920"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Remote Access PBX System Fraud means the intentional, unauthorized and fraudulent gaining of access to outgoing long distance telephone services from a location other than the Insured’s premises by either the fraudulent manipulation or unauthorized use of passwords or access codes designed to identify and authenticate users of or access to the Insured’s Remote Access PBX System by a natural person other than an identifiable Employee, resulting in charges for long distance toll calls which the Insured is legally obligated to pay a long distance carrier. Provided however, such charges will not be covered hereunder because of the Insured’s failure to:</w:t>
      </w:r>
    </w:p>
    <w:p>
      <w:pPr>
        <w:spacing w:after="0" w:line="200" w:lineRule="exact"/>
        <w:rPr>
          <w:sz w:val="20"/>
          <w:szCs w:val="20"/>
          <w:color w:val="auto"/>
        </w:rPr>
      </w:pPr>
    </w:p>
    <w:p>
      <w:pPr>
        <w:ind w:left="1920" w:right="120" w:hanging="440"/>
        <w:spacing w:after="0" w:line="277" w:lineRule="auto"/>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 a system password or access code feature of at least 8 characters with such passwords begin changed at least monthly; and</w:t>
      </w:r>
    </w:p>
    <w:p>
      <w:pPr>
        <w:spacing w:after="0" w:line="75" w:lineRule="exact"/>
        <w:rPr>
          <w:rFonts w:ascii="Arial" w:cs="Arial" w:eastAsia="Arial" w:hAnsi="Arial"/>
          <w:sz w:val="18"/>
          <w:szCs w:val="18"/>
          <w:color w:val="auto"/>
        </w:rPr>
      </w:pPr>
    </w:p>
    <w:p>
      <w:pPr>
        <w:ind w:left="1920" w:right="340" w:hanging="440"/>
        <w:spacing w:after="0" w:line="277" w:lineRule="auto"/>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activate and continue the operation of a call-disconnect feature that automatically terminates a caller’s password or access code after 3 unsuccessful sign-on attempts.</w:t>
      </w:r>
    </w:p>
    <w:p>
      <w:pPr>
        <w:spacing w:after="0" w:line="170" w:lineRule="exact"/>
        <w:rPr>
          <w:sz w:val="20"/>
          <w:szCs w:val="20"/>
          <w:color w:val="auto"/>
        </w:rPr>
      </w:pPr>
    </w:p>
    <w:p>
      <w:pPr>
        <w:ind w:left="920" w:right="180"/>
        <w:spacing w:after="0" w:line="255" w:lineRule="auto"/>
        <w:rPr>
          <w:sz w:val="20"/>
          <w:szCs w:val="20"/>
          <w:color w:val="auto"/>
        </w:rPr>
      </w:pPr>
      <w:r>
        <w:rPr>
          <w:rFonts w:ascii="Arial" w:cs="Arial" w:eastAsia="Arial" w:hAnsi="Arial"/>
          <w:sz w:val="18"/>
          <w:szCs w:val="18"/>
          <w:color w:val="auto"/>
        </w:rPr>
        <w:t>“Restoration Expenses” means reasonable costs incurred by the Insured, with the Underwriter’s prior written consent, to restore, replace or reproduce damaged or destroyed computer programs, software or other electronic data stored within a Computer System, or which the Insured owns, holds or is responsible for, to the condition that existed immediately preceding a Computer Violation; provided that if it is determined by the Insured that such computer programs, software or other electronic data cannot reasonably be restored, replaced or reproduced, then Restoration Expenses means only the reasonable costs incurred by the Insured, with the Underwriter’s prior written consent, to reach such determination.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do not include:</w:t>
      </w:r>
    </w:p>
    <w:p>
      <w:pPr>
        <w:spacing w:after="0" w:line="252" w:lineRule="exact"/>
        <w:rPr>
          <w:sz w:val="20"/>
          <w:szCs w:val="20"/>
          <w:color w:val="auto"/>
        </w:rPr>
      </w:pPr>
    </w:p>
    <w:p>
      <w:pPr>
        <w:ind w:left="1920" w:right="220" w:hanging="440"/>
        <w:spacing w:after="0" w:line="277"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which the Insured did not have a license to use;</w:t>
      </w:r>
    </w:p>
    <w:p>
      <w:pPr>
        <w:spacing w:after="0" w:line="75" w:lineRule="exact"/>
        <w:rPr>
          <w:rFonts w:ascii="Arial" w:cs="Arial" w:eastAsia="Arial" w:hAnsi="Arial"/>
          <w:sz w:val="18"/>
          <w:szCs w:val="18"/>
          <w:color w:val="auto"/>
        </w:rPr>
      </w:pPr>
    </w:p>
    <w:p>
      <w:pPr>
        <w:ind w:left="1920" w:right="180" w:hanging="440"/>
        <w:spacing w:after="0" w:line="264"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which the Insured did not have a license to use;</w:t>
      </w:r>
    </w:p>
    <w:p>
      <w:pPr>
        <w:spacing w:after="0" w:line="86" w:lineRule="exact"/>
        <w:rPr>
          <w:rFonts w:ascii="Arial" w:cs="Arial" w:eastAsia="Arial" w:hAnsi="Arial"/>
          <w:sz w:val="18"/>
          <w:szCs w:val="18"/>
          <w:color w:val="auto"/>
        </w:rPr>
      </w:pPr>
    </w:p>
    <w:p>
      <w:pPr>
        <w:ind w:left="1920" w:right="400" w:hanging="440"/>
        <w:spacing w:after="0" w:line="277"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of performance of computer programs, software or other electronic data; or</w:t>
      </w:r>
    </w:p>
    <w:p>
      <w:pPr>
        <w:spacing w:after="0" w:line="75" w:lineRule="exact"/>
        <w:rPr>
          <w:rFonts w:ascii="Arial" w:cs="Arial" w:eastAsia="Arial" w:hAnsi="Arial"/>
          <w:sz w:val="18"/>
          <w:szCs w:val="18"/>
          <w:color w:val="auto"/>
        </w:rPr>
      </w:pPr>
    </w:p>
    <w:p>
      <w:pPr>
        <w:ind w:left="1920" w:right="480" w:hanging="440"/>
        <w:spacing w:after="0" w:line="277"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62" w:lineRule="exact"/>
        <w:rPr>
          <w:sz w:val="20"/>
          <w:szCs w:val="20"/>
          <w:color w:val="auto"/>
        </w:rPr>
      </w:pPr>
    </w:p>
    <w:p>
      <w:pPr>
        <w:ind w:left="920" w:right="420"/>
        <w:spacing w:after="0" w:line="342" w:lineRule="auto"/>
        <w:rPr>
          <w:sz w:val="20"/>
          <w:szCs w:val="20"/>
          <w:color w:val="auto"/>
        </w:rPr>
      </w:pPr>
      <w:r>
        <w:rPr>
          <w:rFonts w:ascii="Arial" w:cs="Arial" w:eastAsia="Arial" w:hAnsi="Arial"/>
          <w:sz w:val="16"/>
          <w:szCs w:val="16"/>
          <w:color w:val="auto"/>
        </w:rPr>
        <w:t>“Security Procedure” means an authentication process, other than voice recognition, that requires the use of algorithms or other codes, identifying words or numbers, encryption, or similar security devices or procedures. The following are not considered a Security Procedure:</w:t>
      </w:r>
    </w:p>
    <w:p>
      <w:pPr>
        <w:spacing w:after="0" w:line="151" w:lineRule="exact"/>
        <w:rPr>
          <w:sz w:val="20"/>
          <w:szCs w:val="20"/>
          <w:color w:val="auto"/>
        </w:rPr>
      </w:pPr>
    </w:p>
    <w:p>
      <w:pPr>
        <w:ind w:left="1920" w:hanging="440"/>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general statement that the Insured may establish security procedures;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statement that the Insured may perform a callback or other security procedure;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statement that the Insured will only accept requests from persons named on the account.</w:t>
      </w:r>
    </w:p>
    <w:p>
      <w:pPr>
        <w:spacing w:after="0" w:line="248"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following are added to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SECTION 2. EXCLUSIONS:</w:t>
      </w:r>
    </w:p>
    <w:p>
      <w:pPr>
        <w:spacing w:after="0" w:line="229"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loss, costs or expenses the Insured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the Fraudulent Instruction Coverage of the Computer Systems Insuring Agreement;</w:t>
      </w:r>
    </w:p>
    <w:p>
      <w:pPr>
        <w:spacing w:after="0" w:line="186"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loss resulting directly or indirectly from entries or changes made by an individual authorized to have access to a Computer System,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to design, develop, prepare, supply, service, write or implement programs for the Insured’s Computer System; except when covered under the Fraudulent Instruction Coverage of the Computer Systems Insuring Agreement;</w:t>
      </w:r>
    </w:p>
    <w:p>
      <w:pPr>
        <w:spacing w:after="0" w:line="121"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Page 4 of 5</w:t>
      </w:r>
      <w:r>
        <w:rPr>
          <w:sz w:val="20"/>
          <w:szCs w:val="20"/>
          <w:color w:val="auto"/>
        </w:rPr>
        <w:tab/>
      </w:r>
      <w:r>
        <w:rPr>
          <w:rFonts w:ascii="Arial" w:cs="Arial" w:eastAsia="Arial" w:hAnsi="Arial"/>
          <w:sz w:val="14"/>
          <w:szCs w:val="14"/>
          <w:color w:val="auto"/>
        </w:rPr>
        <w:t xml:space="preserve">© </w:t>
      </w:r>
      <w:r>
        <w:rPr>
          <w:rFonts w:ascii="Arial" w:cs="Arial" w:eastAsia="Arial" w:hAnsi="Arial"/>
          <w:sz w:val="16"/>
          <w:szCs w:val="16"/>
          <w:color w:val="auto"/>
        </w:rPr>
        <w:t>2014 The Travelers Indemnity Company. All rights reserved.</w:t>
      </w:r>
    </w:p>
    <w:p>
      <w:pPr>
        <w:sectPr>
          <w:pgSz w:w="11900" w:h="16838" w:orient="portrait"/>
          <w:cols w:equalWidth="0" w:num="1">
            <w:col w:w="11420"/>
          </w:cols>
          <w:pgMar w:left="240" w:top="274" w:right="239" w:bottom="1440" w:gutter="0" w:footer="0" w:header="0"/>
        </w:sectPr>
      </w:pPr>
    </w:p>
    <w:bookmarkStart w:id="29" w:name="page30"/>
    <w:bookmarkEnd w:id="29"/>
    <w:p>
      <w:pPr>
        <w:ind w:left="460"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Computer Systems Insuring Agreement, in addition to all of the other exclusions, loss caused by an employee or director of an automated clearing house (including a Federal Reserve Bank), service bureau, electronic communications system (including Fedwire, CHIPS and SWIFT) or merchant who has contracted with the Insured to perform electronic funds transfer services;</w:t>
      </w:r>
    </w:p>
    <w:p>
      <w:pPr>
        <w:spacing w:after="0" w:line="181"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loss resulting directly or indirectly from entries or changes made by an Employee of the Insured acting in good faith on any electronic communication, unless such instructions are purportedly sent by a customer, Financial Institution or automated clearing house, except when covered under the Fraudulent Instruction Coverage of the Computer Systems Insuring Agreement;</w:t>
      </w:r>
    </w:p>
    <w:p>
      <w:pPr>
        <w:spacing w:after="0" w:line="181"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loss resulting directly or indirectly from Computer Fraud or mechanical breakdown or failure to function properly of any Computer System, except when covered under Insuring Agreement (A), (C) or the Computer Systems Insuring Agreement;</w:t>
      </w:r>
    </w:p>
    <w:p>
      <w:pPr>
        <w:spacing w:after="0" w:line="170"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loss resulting from the unauthorized Network, Computer System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Computer System, except when covered under the Fraudulent Instruction Coverage of the Computer Systems Insuring Agreement;</w:t>
      </w:r>
    </w:p>
    <w:p>
      <w:pPr>
        <w:spacing w:after="0" w:line="187"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loss resulting directly or indirectly from a Fraudulent Instruction except when covered under the Fraudulent Instruction Coverage of the Computer Systems Insuring Agreement;</w:t>
      </w:r>
    </w:p>
    <w:p>
      <w:pPr>
        <w:spacing w:after="0" w:line="170" w:lineRule="exact"/>
        <w:rPr>
          <w:sz w:val="20"/>
          <w:szCs w:val="20"/>
          <w:color w:val="auto"/>
        </w:rPr>
      </w:pPr>
    </w:p>
    <w:p>
      <w:pPr>
        <w:ind w:left="460" w:right="420"/>
        <w:spacing w:after="0" w:line="342" w:lineRule="auto"/>
        <w:rPr>
          <w:sz w:val="20"/>
          <w:szCs w:val="20"/>
          <w:color w:val="auto"/>
        </w:rPr>
      </w:pPr>
      <w:r>
        <w:rPr>
          <w:rFonts w:ascii="Arial" w:cs="Arial" w:eastAsia="Arial" w:hAnsi="Arial"/>
          <w:sz w:val="16"/>
          <w:szCs w:val="16"/>
          <w:color w:val="auto"/>
        </w:rPr>
        <w:t>loss resulting directly or indirectly from the input of data into a Computer System, either on the premises of a customer of the Insured or under the control of such a customer, by a customer or other person who had authorized access to the customer’s authentication mechanism;</w:t>
      </w:r>
    </w:p>
    <w:p>
      <w:pPr>
        <w:spacing w:after="0" w:line="124" w:lineRule="exact"/>
        <w:rPr>
          <w:sz w:val="20"/>
          <w:szCs w:val="20"/>
          <w:color w:val="auto"/>
        </w:rPr>
      </w:pPr>
    </w:p>
    <w:p>
      <w:pPr>
        <w:jc w:val="both"/>
        <w:ind w:left="460" w:right="40"/>
        <w:spacing w:after="0" w:line="264" w:lineRule="auto"/>
        <w:rPr>
          <w:sz w:val="20"/>
          <w:szCs w:val="20"/>
          <w:color w:val="auto"/>
        </w:rPr>
      </w:pPr>
      <w:r>
        <w:rPr>
          <w:rFonts w:ascii="Arial" w:cs="Arial" w:eastAsia="Arial" w:hAnsi="Arial"/>
          <w:sz w:val="18"/>
          <w:szCs w:val="18"/>
          <w:color w:val="auto"/>
        </w:rPr>
        <w:t>loss resulting directly or indirectly from the theft, disappearance, destruction, or disclosure of intangible property or confidential information, including trade secrets, confidential processing methods, formulas, patents, customer lists, computer programs, negatives, drawings, manuscripts, prints and other records of a similar nature;</w:t>
      </w:r>
    </w:p>
    <w:p>
      <w:pPr>
        <w:spacing w:after="0" w:line="18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 or</w:t>
      </w:r>
    </w:p>
    <w:p>
      <w:pPr>
        <w:spacing w:after="0" w:line="187"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under the Fraudulent Instruction Coverage of the Computer Systems Insuring Agreement, in addition to all of the other exclusions, loss resulting directly or indirectly from the Insured’s assumption of liability by contract unless the liability arises from a loss that would be imposed on the Insured regardless of the existence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3"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By</w:t>
      </w:r>
    </w:p>
    <w:p>
      <w:pPr>
        <w:spacing w:after="0" w:line="82"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-98425</wp:posOffset>
            </wp:positionV>
            <wp:extent cx="24872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2011 The Travelers Indemnity Company. All rights reserved.</w:t>
      </w:r>
      <w:r>
        <w:rPr>
          <w:sz w:val="20"/>
          <w:szCs w:val="20"/>
          <w:color w:val="auto"/>
        </w:rPr>
        <w:tab/>
      </w:r>
      <w:r>
        <w:rPr>
          <w:rFonts w:ascii="Arial" w:cs="Arial" w:eastAsia="Arial" w:hAnsi="Arial"/>
          <w:sz w:val="16"/>
          <w:szCs w:val="16"/>
          <w:color w:val="auto"/>
        </w:rPr>
        <w:t>Page 5 of 5</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THE SECRETARY</w:t>
      </w: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PENNANTPARK FLOATING RATE CAPITAL LTD.</w:t>
      </w:r>
    </w:p>
    <w:p>
      <w:pPr>
        <w:jc w:val="center"/>
        <w:spacing w:after="0"/>
        <w:rPr>
          <w:sz w:val="20"/>
          <w:szCs w:val="20"/>
          <w:color w:val="auto"/>
        </w:rPr>
      </w:pPr>
      <w:r>
        <w:rPr>
          <w:rFonts w:ascii="Arial" w:cs="Arial" w:eastAsia="Arial" w:hAnsi="Arial"/>
          <w:sz w:val="20"/>
          <w:szCs w:val="20"/>
          <w:b w:val="1"/>
          <w:bCs w:val="1"/>
          <w:color w:val="auto"/>
        </w:rPr>
        <w:t>CERTIFYING RESOLUTIONS APPROVING</w:t>
      </w:r>
    </w:p>
    <w:p>
      <w:pPr>
        <w:jc w:val="center"/>
        <w:spacing w:after="0"/>
        <w:rPr>
          <w:sz w:val="20"/>
          <w:szCs w:val="20"/>
          <w:color w:val="auto"/>
        </w:rPr>
      </w:pPr>
      <w:r>
        <w:rPr>
          <w:rFonts w:ascii="Arial" w:cs="Arial" w:eastAsia="Arial" w:hAnsi="Arial"/>
          <w:sz w:val="20"/>
          <w:szCs w:val="20"/>
          <w:b w:val="1"/>
          <w:bCs w:val="1"/>
          <w:color w:val="auto"/>
        </w:rPr>
        <w:t>THE JOINT FIDELITY BOND</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UNDERSIGNED, the duly appointed Secretary of PennantPark Floating Rate Capital Ltd.,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5, 2015 at a meeting of the Directors: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at a meeting of the Board of Directors of the Corporation, PennantPark Investment Advisers LLC, (the “Adviser”) and</w:t>
      </w:r>
      <w:r>
        <w:rPr>
          <w:rFonts w:ascii="Arial" w:cs="Arial" w:eastAsia="Arial" w:hAnsi="Arial"/>
          <w:sz w:val="20"/>
          <w:szCs w:val="20"/>
          <w:b w:val="1"/>
          <w:bCs w:val="1"/>
          <w:color w:val="auto"/>
        </w:rPr>
        <w:t xml:space="preserve"> </w:t>
      </w:r>
      <w:r>
        <w:rPr>
          <w:rFonts w:ascii="Arial" w:cs="Arial" w:eastAsia="Arial" w:hAnsi="Arial"/>
          <w:sz w:val="20"/>
          <w:szCs w:val="20"/>
          <w:color w:val="auto"/>
        </w:rPr>
        <w:t>PennantPark Investment Administration, LLC (the “Administrator”) (the “Meeting”), the Board of Directors of the Corporation reviewed the materials presented at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 BE IT: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 BE IT:</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that the Board of the Corporation determined that the Corporation, PennantPark Investment Advisers, LLC (the “Adviser”) and</w:t>
      </w:r>
      <w:r>
        <w:rPr>
          <w:rFonts w:ascii="Arial" w:cs="Arial" w:eastAsia="Arial" w:hAnsi="Arial"/>
          <w:sz w:val="20"/>
          <w:szCs w:val="20"/>
          <w:b w:val="1"/>
          <w:bCs w:val="1"/>
          <w:color w:val="auto"/>
        </w:rPr>
        <w:t xml:space="preserve"> </w:t>
      </w:r>
      <w:r>
        <w:rPr>
          <w:rFonts w:ascii="Arial" w:cs="Arial" w:eastAsia="Arial" w:hAnsi="Arial"/>
          <w:sz w:val="20"/>
          <w:szCs w:val="20"/>
          <w:color w:val="auto"/>
        </w:rPr>
        <w:t>PennantPark Investment Administration, LLC (the “Administrator”) each be covered as an “Insured” under a joint fidelity bond (the “Bond”) having an aggregate coverage of $5 million issued by Saint Paul Fire and Marine Insurance Company,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proposed form and amount of the Bond considered at the Meeting be, and hereby are, approved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all factors deemed relevant by the Directors of the Corporation, and separately approved by the Independent Directors of the Corporation,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FURTHER RESOLVED</w:t>
      </w:r>
      <w:r>
        <w:rPr>
          <w:rFonts w:ascii="Arial" w:cs="Arial" w:eastAsia="Arial" w:hAnsi="Arial"/>
          <w:sz w:val="19"/>
          <w:szCs w:val="19"/>
          <w:color w:val="auto"/>
        </w:rPr>
        <w:t>, that the payment by the Corporation of the premium for coverage under the Bond, in the amount described at the</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and 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proposed Joint Fidelity Bond Agreement among the Corporation, the</w:t>
      </w:r>
    </w:p>
    <w:p>
      <w:pPr>
        <w:sectPr>
          <w:pgSz w:w="11900" w:h="16838" w:orient="portrait"/>
          <w:cols w:equalWidth="0" w:num="1">
            <w:col w:w="11420"/>
          </w:cols>
          <w:pgMar w:left="240" w:top="270"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Adviser and the Administrator providing 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3"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Secretary of the Corporation be, and hereby is, designated as the party responsible for making the necessary</w:t>
      </w:r>
      <w:r>
        <w:rPr>
          <w:rFonts w:ascii="Arial" w:cs="Arial" w:eastAsia="Arial" w:hAnsi="Arial"/>
          <w:sz w:val="20"/>
          <w:szCs w:val="20"/>
          <w:b w:val="1"/>
          <w:bCs w:val="1"/>
          <w:color w:val="auto"/>
        </w:rPr>
        <w:t xml:space="preserve"> </w:t>
      </w:r>
      <w:r>
        <w:rPr>
          <w:rFonts w:ascii="Arial" w:cs="Arial" w:eastAsia="Arial" w:hAnsi="Arial"/>
          <w:sz w:val="20"/>
          <w:szCs w:val="20"/>
          <w:color w:val="auto"/>
        </w:rPr>
        <w:t>filings and giving the notices with respect to the Bond required by paragraph (g) of Rule 17g-1 under the 1940 Act;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set my hand as such officer of the Corporation this 10th day of June, 2015.</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Thomas J. Friedmann</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27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FIDELITY BOND AGREEMENT</w:t>
      </w:r>
    </w:p>
    <w:p>
      <w:pPr>
        <w:spacing w:after="0" w:line="73"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9"/>
          <w:szCs w:val="19"/>
          <w:color w:val="auto"/>
        </w:rPr>
        <w:t>This JOINT FIDELITY BOND AGREEMENT is dated as of March 10, 2011 by and between PennantPark Floating Rate Capital Ltd. (the “Corporation”), a Maryland corporation, PennantPark Investment Advisers, LLC (the “Adviser”), a Delaware limited liability company, and PennantPark Investment Administration, LLC (the “Administrator”), a Delaware limited liability company.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WITNESSETH:</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the Corporation, the Adviser, and the Administrator are joint named insureds (each, an “Insured” and collectively, the “Insureds”) under a bond issued by Aon (the “Bond”);</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the Corporation is required to provide and maintain a fidelity bond pursuant to Rule 17g-1 under the Investment Company Act of 1940, as amended (the “1940 Act”);</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this Agreement has been approved by the directors of the Corporation, including a majority of the directors who are not “interested persons” of the Corporation (as defined in the 1940 Act).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 consideration of the premises and the mutual covenants contained herein, hereby agree as follows:</w:t>
      </w:r>
    </w:p>
    <w:p>
      <w:pPr>
        <w:spacing w:after="0" w:line="131" w:lineRule="exact"/>
        <w:rPr>
          <w:sz w:val="20"/>
          <w:szCs w:val="20"/>
          <w:color w:val="auto"/>
        </w:rPr>
      </w:pPr>
    </w:p>
    <w:p>
      <w:pPr>
        <w:ind w:firstLine="8"/>
        <w:spacing w:after="0" w:line="260" w:lineRule="auto"/>
        <w:tabs>
          <w:tab w:leader="none" w:pos="214" w:val="left"/>
        </w:tabs>
        <w:numPr>
          <w:ilvl w:val="0"/>
          <w:numId w:val="89"/>
        </w:numPr>
        <w:rPr>
          <w:rFonts w:ascii="Arial" w:cs="Arial" w:eastAsia="Arial" w:hAnsi="Arial"/>
          <w:sz w:val="20"/>
          <w:szCs w:val="20"/>
          <w:color w:val="auto"/>
        </w:rPr>
      </w:pPr>
      <w:r>
        <w:rPr>
          <w:rFonts w:ascii="Arial" w:cs="Arial" w:eastAsia="Arial" w:hAnsi="Arial"/>
          <w:sz w:val="20"/>
          <w:szCs w:val="20"/>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68" w:lineRule="exact"/>
        <w:rPr>
          <w:rFonts w:ascii="Arial" w:cs="Arial" w:eastAsia="Arial" w:hAnsi="Arial"/>
          <w:sz w:val="20"/>
          <w:szCs w:val="20"/>
          <w:color w:val="auto"/>
        </w:rPr>
      </w:pPr>
    </w:p>
    <w:p>
      <w:pPr>
        <w:jc w:val="both"/>
        <w:ind w:firstLine="8"/>
        <w:spacing w:after="0" w:line="291" w:lineRule="auto"/>
        <w:tabs>
          <w:tab w:leader="none" w:pos="207"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43" w:lineRule="exact"/>
        <w:rPr>
          <w:rFonts w:ascii="Arial" w:cs="Arial" w:eastAsia="Arial" w:hAnsi="Arial"/>
          <w:sz w:val="18"/>
          <w:szCs w:val="18"/>
          <w:color w:val="auto"/>
        </w:rPr>
      </w:pPr>
    </w:p>
    <w:p>
      <w:pPr>
        <w:jc w:val="both"/>
        <w:ind w:firstLine="8"/>
        <w:spacing w:after="0" w:line="250" w:lineRule="auto"/>
        <w:tabs>
          <w:tab w:leader="none" w:pos="198" w:val="left"/>
        </w:tabs>
        <w:numPr>
          <w:ilvl w:val="0"/>
          <w:numId w:val="89"/>
        </w:numPr>
        <w:rPr>
          <w:rFonts w:ascii="Arial" w:cs="Arial" w:eastAsia="Arial" w:hAnsi="Arial"/>
          <w:sz w:val="20"/>
          <w:szCs w:val="20"/>
          <w:color w:val="auto"/>
        </w:rPr>
      </w:pPr>
      <w:r>
        <w:rPr>
          <w:rFonts w:ascii="Arial" w:cs="Arial" w:eastAsia="Arial" w:hAnsi="Arial"/>
          <w:sz w:val="20"/>
          <w:szCs w:val="20"/>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78" w:lineRule="exact"/>
        <w:rPr>
          <w:rFonts w:ascii="Arial" w:cs="Arial" w:eastAsia="Arial" w:hAnsi="Arial"/>
          <w:sz w:val="20"/>
          <w:szCs w:val="20"/>
          <w:color w:val="auto"/>
        </w:rPr>
      </w:pPr>
    </w:p>
    <w:p>
      <w:pPr>
        <w:ind w:left="200" w:hanging="192"/>
        <w:spacing w:after="0"/>
        <w:tabs>
          <w:tab w:leader="none" w:pos="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130" w:lineRule="exact"/>
        <w:rPr>
          <w:rFonts w:ascii="Arial" w:cs="Arial" w:eastAsia="Arial" w:hAnsi="Arial"/>
          <w:sz w:val="18"/>
          <w:szCs w:val="18"/>
          <w:color w:val="auto"/>
        </w:rPr>
      </w:pPr>
    </w:p>
    <w:p>
      <w:pPr>
        <w:ind w:right="20" w:firstLine="8"/>
        <w:spacing w:after="0" w:line="260" w:lineRule="auto"/>
        <w:tabs>
          <w:tab w:leader="none" w:pos="199"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68" w:lineRule="exact"/>
        <w:rPr>
          <w:rFonts w:ascii="Arial" w:cs="Arial" w:eastAsia="Arial" w:hAnsi="Arial"/>
          <w:sz w:val="20"/>
          <w:szCs w:val="20"/>
          <w:color w:val="auto"/>
        </w:rPr>
      </w:pPr>
    </w:p>
    <w:p>
      <w:pPr>
        <w:ind w:left="200" w:hanging="192"/>
        <w:spacing w:after="0"/>
        <w:tabs>
          <w:tab w:leader="none" w:pos="2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This Agreement shall be construed in accordance with the laws of the State of New York.</w:t>
      </w:r>
    </w:p>
    <w:p>
      <w:pPr>
        <w:spacing w:after="0" w:line="10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65"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PENNANTPARK FLOATING RATE CAPITAL LTD.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-24765</wp:posOffset>
            </wp:positionV>
            <wp:extent cx="2498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872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120650</wp:posOffset>
            </wp:positionV>
            <wp:extent cx="23882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8823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Name: Arthur Penn</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PENNANTPARK INVESTMENT ADVISERS,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-24765</wp:posOffset>
            </wp:positionV>
            <wp:extent cx="25025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0253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120650</wp:posOffset>
            </wp:positionV>
            <wp:extent cx="18853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8531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Name: Arthur Penn</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Member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20"/>
          <w:szCs w:val="20"/>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-24765</wp:posOffset>
            </wp:positionV>
            <wp:extent cx="39985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9859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Aviv Efrat</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sectPr>
      <w:pgSz w:w="11900" w:h="16838" w:orient="portrait"/>
      <w:cols w:equalWidth="0" w:num="1">
        <w:col w:w="10219"/>
      </w:cols>
      <w:pgMar w:left="24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upperLetter"/>
      <w:start w:val="1"/>
    </w:lvl>
    <w:lvl w:ilvl="1">
      <w:lvlJc w:val="left"/>
      <w:lvlText w:val="(%2)"/>
      <w:numFmt w:val="lowerLetter"/>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upperLetter"/>
      <w:start w:val="3"/>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9">
    <w:nsid w:val="579478FE"/>
    <w:multiLevelType w:val="hybridMultilevel"/>
    <w:lvl w:ilvl="0">
      <w:lvlJc w:val="left"/>
      <w:lvlText w:val="(%1)"/>
      <w:numFmt w:val="decimal"/>
      <w:start w:val="3"/>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1)"/>
      <w:numFmt w:val="upperLetter"/>
      <w:start w:val="6"/>
    </w:lvl>
  </w:abstractNum>
  <w:abstractNum w:abstractNumId="12">
    <w:nsid w:val="1BA026FA"/>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13">
    <w:nsid w:val="79A1DEAA"/>
    <w:multiLevelType w:val="hybridMultilevel"/>
    <w:lvl w:ilvl="0">
      <w:lvlJc w:val="left"/>
      <w:lvlText w:val="(%1)"/>
      <w:numFmt w:val="upperLetter"/>
      <w:start w:val="7"/>
    </w:lvl>
  </w:abstractNum>
  <w:abstractNum w:abstractNumId="14">
    <w:nsid w:val="75C6C33A"/>
    <w:multiLevelType w:val="hybridMultilevel"/>
    <w:lvl w:ilvl="0">
      <w:lvlJc w:val="left"/>
      <w:lvlText w:val="(%1)"/>
      <w:numFmt w:val="upperLetter"/>
      <w:start w:val="9"/>
    </w:lvl>
  </w:abstractNum>
  <w:abstractNum w:abstractNumId="15">
    <w:nsid w:val="12E685FB"/>
    <w:multiLevelType w:val="hybridMultilevel"/>
    <w:lvl w:ilvl="0">
      <w:lvlJc w:val="left"/>
      <w:lvlText w:val="%1."/>
      <w:numFmt w:val="upperLetter"/>
      <w:start w:val="1"/>
    </w:lvl>
    <w:lvl w:ilvl="1">
      <w:lvlJc w:val="left"/>
      <w:lvlText w:val="(%2)"/>
      <w:numFmt w:val="decimal"/>
      <w:start w:val="1"/>
    </w:lvl>
  </w:abstractNum>
  <w:abstractNum w:abstractNumId="16">
    <w:nsid w:val="70C6A529"/>
    <w:multiLevelType w:val="hybridMultilevel"/>
    <w:lvl w:ilvl="0">
      <w:lvlJc w:val="left"/>
      <w:lvlText w:val="(%1)"/>
      <w:numFmt w:val="decimal"/>
      <w:start w:val="2"/>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upperLetter"/>
      <w:start w:val="2"/>
    </w:lvl>
    <w:lvl w:ilvl="1">
      <w:lvlJc w:val="left"/>
      <w:lvlText w:val="(%2)"/>
      <w:numFmt w:val="decimal"/>
      <w:start w:val="1"/>
    </w:lvl>
  </w:abstractNum>
  <w:abstractNum w:abstractNumId="19">
    <w:nsid w:val="4F4EF005"/>
    <w:multiLevelType w:val="hybridMultilevel"/>
    <w:lvl w:ilvl="0">
      <w:lvlJc w:val="left"/>
      <w:lvlText w:val="%1."/>
      <w:numFmt w:val="upperLetter"/>
      <w:start w:val="4"/>
    </w:lvl>
  </w:abstractNum>
  <w:abstractNum w:abstractNumId="20">
    <w:nsid w:val="23F9C13C"/>
    <w:multiLevelType w:val="hybridMultilevel"/>
    <w:lvl w:ilvl="0">
      <w:lvlJc w:val="left"/>
      <w:lvlText w:val="(%1)"/>
      <w:numFmt w:val="lowerLetter"/>
      <w:start w:val="1"/>
    </w:lvl>
    <w:lvl w:ilvl="1">
      <w:lvlJc w:val="left"/>
      <w:lvlText w:val="(%2)"/>
      <w:numFmt w:val="decimal"/>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decimal"/>
      <w:start w:val="2"/>
    </w:lvl>
  </w:abstractNum>
  <w:abstractNum w:abstractNumId="23">
    <w:nsid w:val="39386575"/>
    <w:multiLevelType w:val="hybridMultilevel"/>
    <w:lvl w:ilvl="0">
      <w:lvlJc w:val="left"/>
      <w:lvlText w:val="(%1)"/>
      <w:numFmt w:val="decimal"/>
      <w:start w:val="3"/>
    </w:lvl>
    <w:lvl w:ilvl="1">
      <w:lvlJc w:val="left"/>
      <w:lvlText w:val="(%2)"/>
      <w:numFmt w:val="lowerLetter"/>
      <w:start w:val="1"/>
    </w:lvl>
  </w:abstractNum>
  <w:abstractNum w:abstractNumId="24">
    <w:nsid w:val="1CF10FD8"/>
    <w:multiLevelType w:val="hybridMultilevel"/>
    <w:lvl w:ilvl="0">
      <w:lvlJc w:val="left"/>
      <w:lvlText w:val="(%1)"/>
      <w:numFmt w:val="lowerLetter"/>
      <w:start w:val="2"/>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lowerLetter"/>
      <w:start w:val="4"/>
    </w:lvl>
  </w:abstractNum>
  <w:abstractNum w:abstractNumId="27">
    <w:nsid w:val="47398C89"/>
    <w:multiLevelType w:val="hybridMultilevel"/>
    <w:lvl w:ilvl="0">
      <w:lvlJc w:val="left"/>
      <w:lvlText w:val="(%1)"/>
      <w:numFmt w:val="lowerLetter"/>
      <w:start w:val="1"/>
    </w:lvl>
  </w:abstractNum>
  <w:abstractNum w:abstractNumId="28">
    <w:nsid w:val="354FE9F9"/>
    <w:multiLevelType w:val="hybridMultilevel"/>
    <w:lvl w:ilvl="0">
      <w:lvlJc w:val="left"/>
      <w:lvlText w:val="(%1)"/>
      <w:numFmt w:val="lowerLetter"/>
      <w:start w:val="6"/>
    </w:lvl>
    <w:lvl w:ilvl="1">
      <w:lvlJc w:val="left"/>
      <w:lvlText w:val="(%2)"/>
      <w:numFmt w:val="decimal"/>
      <w:start w:val="1"/>
    </w:lvl>
  </w:abstractNum>
  <w:abstractNum w:abstractNumId="29">
    <w:nsid w:val="15B5AF5C"/>
    <w:multiLevelType w:val="hybridMultilevel"/>
    <w:lvl w:ilvl="0">
      <w:lvlJc w:val="left"/>
      <w:lvlText w:val="(%1)"/>
      <w:numFmt w:val="lowerLetter"/>
      <w:start w:val="7"/>
    </w:lvl>
    <w:lvl w:ilvl="1">
      <w:lvlJc w:val="left"/>
      <w:lvlText w:val="(%2)"/>
      <w:numFmt w:val="upperLetter"/>
      <w:start w:val="4"/>
    </w:lvl>
  </w:abstractNum>
  <w:abstractNum w:abstractNumId="30">
    <w:nsid w:val="741226BB"/>
    <w:multiLevelType w:val="hybridMultilevel"/>
    <w:lvl w:ilvl="0">
      <w:lvlJc w:val="left"/>
      <w:lvlText w:val="%1"/>
      <w:numFmt w:val="lowerLetter"/>
      <w:start w:val="1"/>
    </w:lvl>
    <w:lvl w:ilvl="1">
      <w:lvlJc w:val="left"/>
      <w:lvlText w:val="(%2)."/>
      <w:numFmt w:val="upperLetter"/>
      <w:start w:val="9"/>
    </w:lvl>
  </w:abstractNum>
  <w:abstractNum w:abstractNumId="31">
    <w:nsid w:val="D34B6A8"/>
    <w:multiLevelType w:val="hybridMultilevel"/>
    <w:lvl w:ilvl="0">
      <w:lvlJc w:val="left"/>
      <w:lvlText w:val="(%1)"/>
      <w:numFmt w:val="lowerLetter"/>
      <w:start w:val="9"/>
    </w:lvl>
    <w:lvl w:ilvl="1">
      <w:lvlJc w:val="left"/>
      <w:lvlText w:val="%2"/>
      <w:numFmt w:val="upperLetter"/>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lowerLetter"/>
      <w:start w:val="1"/>
    </w:lvl>
    <w:lvl w:ilvl="1">
      <w:lvlJc w:val="left"/>
      <w:lvlText w:val="(%2)"/>
      <w:numFmt w:val="decimal"/>
      <w:start w:val="2"/>
    </w:lvl>
  </w:abstractNum>
  <w:abstractNum w:abstractNumId="35">
    <w:nsid w:val="7E0C57B1"/>
    <w:multiLevelType w:val="hybridMultilevel"/>
    <w:lvl w:ilvl="0">
      <w:lvlJc w:val="left"/>
      <w:lvlText w:val="(%1)"/>
      <w:numFmt w:val="lowerLetter"/>
      <w:start w:val="11"/>
    </w:lvl>
    <w:lvl w:ilvl="1">
      <w:lvlJc w:val="left"/>
      <w:lvlText w:val="%2"/>
      <w:numFmt w:val="decimal"/>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lowerLetter"/>
      <w:start w:val="3"/>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2"/>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3"/>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2"/>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decimal"/>
      <w:start w:val="1"/>
    </w:lvl>
    <w:lvl w:ilvl="1">
      <w:lvlJc w:val="left"/>
      <w:lvlText w:val="(%2)"/>
      <w:numFmt w:val="upperLetter"/>
      <w:start w:val="1"/>
    </w:lvl>
  </w:abstractNum>
  <w:abstractNum w:abstractNumId="55">
    <w:nsid w:val="168E121F"/>
    <w:multiLevelType w:val="hybridMultilevel"/>
    <w:lvl w:ilvl="0">
      <w:lvlJc w:val="left"/>
      <w:lvlText w:val="%1."/>
      <w:numFmt w:val="decimal"/>
      <w:start w:val="3"/>
    </w:lvl>
  </w:abstractNum>
  <w:abstractNum w:abstractNumId="56">
    <w:nsid w:val="1EBA5D23"/>
    <w:multiLevelType w:val="hybridMultilevel"/>
    <w:lvl w:ilvl="0">
      <w:lvlJc w:val="left"/>
      <w:lvlText w:val="%1."/>
      <w:numFmt w:val="decimal"/>
      <w:start w:val="1"/>
    </w:lvl>
    <w:lvl w:ilvl="1">
      <w:lvlJc w:val="left"/>
      <w:lvlText w:val="(%2)"/>
      <w:numFmt w:val="lowerLetter"/>
      <w:start w:val="6"/>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decimal"/>
      <w:start w:val="1"/>
    </w:lvl>
    <w:lvl w:ilvl="1">
      <w:lvlJc w:val="left"/>
      <w:lvlText w:val="(%2)"/>
      <w:numFmt w:val="lowerLetter"/>
      <w:start w:val="14"/>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lowerRoman"/>
      <w:start w:val="3"/>
    </w:lvl>
  </w:abstractNum>
  <w:abstractNum w:abstractNumId="65">
    <w:nsid w:val="42963E5A"/>
    <w:multiLevelType w:val="hybridMultilevel"/>
    <w:lvl w:ilvl="0">
      <w:lvlJc w:val="left"/>
      <w:lvlText w:val="%1."/>
      <w:numFmt w:val="decimal"/>
      <w:start w:val="2"/>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upperLetter"/>
      <w:start w:val="1"/>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2"/>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3"/>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1"/>
    </w:lvl>
    <w:lvl w:ilvl="1">
      <w:lvlJc w:val="left"/>
      <w:lvlText w:val="(%2)"/>
      <w:numFmt w:val="lowerRoman"/>
      <w:start w:val="1"/>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
    </w:lvl>
    <w:lvl w:ilvl="1">
      <w:lvlJc w:val="left"/>
      <w:lvlText w:val="(%2)"/>
      <w:numFmt w:val="lowerRoman"/>
      <w:start w:val="1"/>
    </w:lvl>
  </w:abstractNum>
  <w:abstractNum w:abstractNumId="80">
    <w:nsid w:val="6EB5BD4"/>
    <w:multiLevelType w:val="hybridMultilevel"/>
    <w:lvl w:ilvl="0">
      <w:lvlJc w:val="left"/>
      <w:lvlText w:val="(%1)"/>
      <w:numFmt w:val="decimal"/>
      <w:start w:val="2"/>
    </w:lvl>
    <w:lvl w:ilvl="1">
      <w:lvlJc w:val="left"/>
      <w:lvlText w:val="(%2)"/>
      <w:numFmt w:val="lowerRoman"/>
      <w:start w:val="1"/>
    </w:lvl>
  </w:abstractNum>
  <w:abstractNum w:abstractNumId="81">
    <w:nsid w:val="6F6DD9AC"/>
    <w:multiLevelType w:val="hybridMultilevel"/>
    <w:lvl w:ilvl="0">
      <w:lvlJc w:val="left"/>
      <w:lvlText w:val="(%1)"/>
      <w:numFmt w:val="decimal"/>
      <w:start w:val="3"/>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1"/>
    </w:lvl>
    <w:lvl w:ilvl="1">
      <w:lvlJc w:val="left"/>
      <w:lvlText w:val="(%2)"/>
      <w:numFmt w:val="decimal"/>
      <w:start w:val="1"/>
    </w:lvl>
  </w:abstractNum>
  <w:abstractNum w:abstractNumId="87">
    <w:nsid w:val="14E17E33"/>
    <w:multiLevelType w:val="hybridMultilevel"/>
    <w:lvl w:ilvl="0">
      <w:lvlJc w:val="left"/>
      <w:lvlText w:val="%1."/>
      <w:numFmt w:val="decimal"/>
      <w:start w:val="4"/>
    </w:lvl>
    <w:lvl w:ilvl="1">
      <w:lvlJc w:val="left"/>
      <w:lvlText w:val="%2"/>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2019-12-08T23:45:34Z</dcterms:created>
  <dcterms:modified xsi:type="dcterms:W3CDTF">2019-12-08T23:45:34Z</dcterms:modified>
</cp:coreProperties>
</file>