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4628d8k.htm"/>
      <w:bookmarkStart w:id="1" w:name="ksd2546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March 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PennantPark Floating Rate Capital Ltd.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814-00891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27-3794690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1691 Michigan Avenue </w:t>
      </w:r>
    </w:p>
    <w:p>
      <w:pPr>
        <w:pStyle w:val="TextBody"/>
        <w:bidi w:val="0"/>
        <w:spacing w:before="0" w:after="0"/>
        <w:jc w:val="center"/>
        <w:rPr>
          <w:rFonts w:ascii="Times New Roman" w:hAnsi="Times New Roman"/>
          <w:b/>
          <w:sz w:val="20"/>
        </w:rPr>
      </w:pPr>
      <w:r>
        <w:rPr>
          <w:rFonts w:ascii="Times New Roman" w:hAnsi="Times New Roman"/>
          <w:b/>
          <w:sz w:val="20"/>
        </w:rPr>
        <w:t xml:space="preserve">Miami Beach, Florida 33139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(786)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297-9500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0"/>
              <w:jc w:val="left"/>
              <w:rPr>
                <w:b/>
                <w:spacing w:val="0"/>
              </w:rPr>
            </w:pPr>
            <w:r>
              <w:rPr>
                <w:b/>
                <w:spacing w:val="0"/>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4, 2026, PennantPark Floating Rate Capital Ltd. (the “Company”) and Equiniti Trust Company, LLC (the “Trustee”) entered into a Second Supplemental Indenture (the “Second Supplemental Indenture”) to the Indenture between the Company and the Trustee, dated March 23, 2021 (the “Base Indenture,” and together with the Second Supplemental Indenture, the “Indenture”). The Second Supplemental Indenture relates to the Company’s issuance of $200,000,000 aggregate principal amount of its 6.75% notes due 2029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March 4, 2029 and may be redeemed in whole or in part at the Company’s option at any time or from time to time at the redemption prices set forth in the Indenture. The Notes bear interest at a rate of 6.75% per year payable semi-annually on March 4 and September 4 of each year, commencing on September 4, 2026. The Notes are general unsecured obligations of the Company that rank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extBody"/>
        <w:bidi w:val="0"/>
        <w:spacing w:before="240" w:after="0"/>
        <w:jc w:val="left"/>
        <w:rPr>
          <w:rFonts w:ascii="Times New Roman" w:hAnsi="Times New Roman"/>
          <w:sz w:val="20"/>
        </w:rPr>
      </w:pPr>
      <w:r>
        <w:rPr>
          <w:rFonts w:ascii="Times New Roman" w:hAnsi="Times New Roman"/>
          <w:sz w:val="20"/>
        </w:rPr>
        <w:t xml:space="preserve">in right of payment with any existing and future unsecured unsubordinated indebtedness of the Company; senior to any of future indebtedness of the Company that is expressly subordinated in right of payment to the Notes; senior to any series of preferred stock that the Company may issue in the future; effectively subordinated in right of payment to all of the existing and future secured indebtedness of the Company (including indebtedness that is initially unsecured, but to which the Company subsequently grants security), to the extent of the value of the assets securing such indebtedness; and structurally subordinated to all existing and future indebtedness and other obligations of any of the Company’s subsidiaries, financing vehicles or similar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including covenants requiring the Company to comply with the asset coverage requirements of Section 18(a)(1)(A) as modified by Section 61(a)(1) and (2) of the Investment Company Act of 1940, as amended, giving effect to any exemptive relief granted to the Company by the U.S. Securities and Exchange Commission,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the occurrence of a “change of control repurchase event,” as defined in the Indenture, the Company will generally be required to make an offer to repurchase the outstanding Notes at a price equal to 100% of the principal amount of such Notes plus accrued and unpaid interest to, but not including, the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offered and sold in an offering registered under the Securities Act of 1933, as amended, pursuant to the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N-2</w:t>
      </w:r>
    </w:p>
    <w:p>
      <w:pPr>
        <w:pStyle w:val="TextBody"/>
        <w:bidi w:val="0"/>
        <w:spacing w:before="240" w:after="0"/>
        <w:jc w:val="left"/>
        <w:rPr>
          <w:rFonts w:ascii="Times New Roman" w:hAnsi="Times New Roman"/>
          <w:sz w:val="20"/>
        </w:rPr>
      </w:pPr>
      <w:r>
        <w:rPr>
          <w:rFonts w:ascii="Times New Roman" w:hAnsi="Times New Roman"/>
          <w:sz w:val="20"/>
        </w:rPr>
        <w:t xml:space="preserve">(File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333-279726)</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the preliminary prospectus supplement dated February 25, 2026 and a final prospectus supplement dated February 25, 2026. The transaction closed on March 4, 2026. The net proceeds to the Company were approximately $195.9 million, after deducting the underwriting discounts and commissions and estimated offering expenses. The Company intends to use the net proceeds to repay outstanding indebtedness under the Company’s multi-currency senior secured revolving credit facility, as amended from time to time, with Truist Bank and other lenders, initially into on August 12, 2021, to invest in new or existing portfolio companies and for general corporate or strategic purposes.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Second Supplemental Indenture and the Notes do not purport to be complete and are qualified in their entirety by reference to the full text of the Second Supplemental Indenture and the Notes, respectively, each filed as exhibits hereto and incorporated by reference herein. </w:t>
      </w:r>
    </w:p>
    <w:p>
      <w:pPr>
        <w:pStyle w:val="HorizontalLine"/>
        <w:pBdr>
          <w:bottom w:val="double" w:sz="2" w:space="0" w:color="808080"/>
        </w:pBdr>
        <w:bidi w:val="0"/>
        <w:spacing w:before="0" w:after="283"/>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0"/>
              <w:jc w:val="left"/>
              <w:rPr>
                <w:b/>
                <w:spacing w:val="0"/>
              </w:rPr>
            </w:pPr>
            <w:r>
              <w:rPr>
                <w:b/>
                <w:spacing w:val="0"/>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5"/>
        <w:gridCol w:w="120"/>
        <w:gridCol w:w="9330"/>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3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0"/>
              <w:jc w:val="center"/>
              <w:rPr>
                <w:b/>
                <w:spacing w:val="0"/>
              </w:rPr>
            </w:pPr>
            <w:r>
              <w:rPr>
                <w:b/>
                <w:spacing w:val="0"/>
              </w:rPr>
              <w:t>DESCRIPTION</w:t>
            </w:r>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r:id="rId2">
              <w:r>
                <w:rPr>
                  <w:rStyle w:val="InternetLink"/>
                </w:rPr>
                <w:t>Indenture, dated as of March 23, 2021, by and between the Company and Equiniti Trust Company, LLC, as trustee (</w:t>
              </w:r>
            </w:hyperlink>
            <w:hyperlink r:id="rId3">
              <w:r>
                <w:rPr>
                  <w:rStyle w:val="InternetLink"/>
                  <w:i/>
                </w:rPr>
                <w:t>incorporated by reference to Exhibit 4.1 of the Company’s Current Report on Form 8-K, filed on March</w:t>
              </w:r>
            </w:hyperlink>
            <w:hyperlink r:id="rId4">
              <w:r>
                <w:rPr>
                  <w:rStyle w:val="InternetLink"/>
                  <w:caps w:val="false"/>
                  <w:smallCaps w:val="false"/>
                  <w:spacing w:val="0"/>
                </w:rPr>
                <w:t> </w:t>
              </w:r>
            </w:hyperlink>
            <w:hyperlink r:id="rId5">
              <w:r>
                <w:rPr>
                  <w:rStyle w:val="InternetLink"/>
                  <w:i/>
                  <w:caps w:val="false"/>
                  <w:smallCaps w:val="false"/>
                  <w:spacing w:val="0"/>
                </w:rPr>
                <w:t>23, 2021</w:t>
              </w:r>
            </w:hyperlink>
            <w:hyperlink r:id="rId6">
              <w:r>
                <w:rPr>
                  <w:rStyle w:val="InternetLink"/>
                </w:rPr>
                <w:t xml:space="preserve">).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254628dex42.htm">
              <w:r>
                <w:rPr>
                  <w:rStyle w:val="InternetLink"/>
                </w:rPr>
                <w:t xml:space="preserve">Second Supplemental Indenture, dated as of March 4, 2026, relating to the 6.75% Notes due 2029 by and between the Company and Equiniti Trust Company, LLC, as trustee.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254628dex42.htm">
              <w:r>
                <w:rPr>
                  <w:rStyle w:val="InternetLink"/>
                </w:rPr>
                <w:t>Form of 6.75% Notes due 2029 (</w:t>
              </w:r>
            </w:hyperlink>
            <w:hyperlink w:anchor="d254628dex42.htm">
              <w:r>
                <w:rPr>
                  <w:rStyle w:val="InternetLink"/>
                  <w:i/>
                  <w:caps w:val="false"/>
                  <w:smallCaps w:val="false"/>
                  <w:spacing w:val="0"/>
                </w:rPr>
                <w:t>incorporated by reference to Exhibit 4.2 hereto</w:t>
              </w:r>
            </w:hyperlink>
            <w:hyperlink w:anchor="d254628dex42.htm">
              <w:r>
                <w:rPr>
                  <w:rStyle w:val="InternetLink"/>
                </w:rPr>
                <w:t xml:space="preserve">).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254628dex51.htm">
              <w:r>
                <w:rPr>
                  <w:rStyle w:val="InternetLink"/>
                </w:rPr>
                <w:t xml:space="preserve">Opinion of Dechert LLP.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5.2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254628dex52.htm">
              <w:r>
                <w:rPr>
                  <w:rStyle w:val="InternetLink"/>
                </w:rPr>
                <w:t xml:space="preserve">Opinion of Venable LLP.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254628dex51.htm">
              <w:r>
                <w:rPr>
                  <w:rStyle w:val="InternetLink"/>
                </w:rPr>
                <w:t xml:space="preserve">Consent of Dechert LLP (included in Exhibit 5.1).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hyperlink w:anchor="d254628dex52.htm">
              <w:r>
                <w:rPr>
                  <w:rStyle w:val="InternetLink"/>
                </w:rPr>
                <w:t xml:space="preserve">Consent of Venable LLP (included in Exhibit 5.2). </w:t>
              </w:r>
            </w:hyperlink>
          </w:p>
        </w:tc>
      </w:tr>
      <w:tr>
        <w:trPr/>
        <w:tc>
          <w:tcPr>
            <w:tcW w:w="755" w:type="dxa"/>
            <w:tcBorders/>
            <w:vAlign w:val="center"/>
          </w:tcPr>
          <w:p>
            <w:pPr>
              <w:pStyle w:val="TableContents"/>
              <w:bidi w:val="0"/>
              <w:spacing w:before="0" w:after="283"/>
              <w:jc w:val="left"/>
              <w:rPr>
                <w:sz w:val="4"/>
                <w:szCs w:val="4"/>
              </w:rPr>
            </w:pPr>
            <w:r>
              <w:rPr>
                <w:sz w:val="4"/>
                <w:szCs w:val="4"/>
              </w:rPr>
            </w:r>
          </w:p>
        </w:tc>
        <w:tc>
          <w:tcPr>
            <w:tcW w:w="9450" w:type="dxa"/>
            <w:gridSpan w:val="2"/>
            <w:tcBorders/>
            <w:vAlign w:val="center"/>
          </w:tcPr>
          <w:p>
            <w:pPr>
              <w:pStyle w:val="TableContents"/>
              <w:bidi w:val="0"/>
              <w:spacing w:before="0" w:after="283"/>
              <w:jc w:val="left"/>
              <w:rPr>
                <w:sz w:val="4"/>
                <w:szCs w:val="4"/>
              </w:rPr>
            </w:pPr>
            <w:r>
              <w:rPr>
                <w:sz w:val="4"/>
                <w:szCs w:val="4"/>
              </w:rPr>
            </w:r>
          </w:p>
        </w:tc>
      </w:tr>
      <w:tr>
        <w:trPr/>
        <w:tc>
          <w:tcPr>
            <w:tcW w:w="7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30" w:type="dxa"/>
            <w:tcBorders/>
            <w:vAlign w:val="center"/>
          </w:tcPr>
          <w:p>
            <w:pPr>
              <w:pStyle w:val="TableContents"/>
              <w:bidi w:val="0"/>
              <w:spacing w:before="0" w:after="283"/>
              <w:jc w:val="left"/>
              <w:rPr/>
            </w:pPr>
            <w:r>
              <w:rPr/>
              <w:t>Cover page interactive data file (formatted as Inline XBRL)</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287" w:type="dxa"/>
        <w:jc w:val="left"/>
        <w:tblInd w:w="0" w:type="dxa"/>
        <w:tblLayout w:type="fixed"/>
        <w:tblCellMar>
          <w:top w:w="0" w:type="dxa"/>
          <w:left w:w="0" w:type="dxa"/>
          <w:bottom w:w="0" w:type="dxa"/>
          <w:right w:w="0" w:type="dxa"/>
        </w:tblCellMar>
      </w:tblPr>
      <w:tblGrid>
        <w:gridCol w:w="2000"/>
        <w:gridCol w:w="60"/>
        <w:gridCol w:w="23"/>
        <w:gridCol w:w="60"/>
        <w:gridCol w:w="651"/>
        <w:gridCol w:w="60"/>
        <w:gridCol w:w="3433"/>
      </w:tblGrid>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44" w:type="dxa"/>
            <w:gridSpan w:val="3"/>
            <w:tcBorders/>
            <w:vAlign w:val="center"/>
          </w:tcPr>
          <w:p>
            <w:pPr>
              <w:pStyle w:val="TableContents"/>
              <w:bidi w:val="0"/>
              <w:spacing w:before="0" w:after="0"/>
              <w:jc w:val="left"/>
              <w:rPr>
                <w:b/>
                <w:spacing w:val="0"/>
              </w:rPr>
            </w:pPr>
            <w:r>
              <w:rPr>
                <w:b/>
                <w:spacing w:val="0"/>
              </w:rPr>
              <w:t>PennantPark Floating Rate Capital Ltd.</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1" w:type="dxa"/>
            <w:gridSpan w:val="2"/>
            <w:tcBorders/>
            <w:vAlign w:val="center"/>
          </w:tcPr>
          <w:p>
            <w:pPr>
              <w:pStyle w:val="TableContents"/>
              <w:bidi w:val="0"/>
              <w:spacing w:before="0" w:after="283"/>
              <w:jc w:val="left"/>
              <w:rPr>
                <w:sz w:val="4"/>
                <w:szCs w:val="4"/>
              </w:rPr>
            </w:pPr>
            <w:r>
              <w:rPr>
                <w:sz w:val="4"/>
                <w:szCs w:val="4"/>
              </w:rPr>
            </w:r>
          </w:p>
        </w:tc>
        <w:tc>
          <w:tcPr>
            <w:tcW w:w="3493" w:type="dxa"/>
            <w:gridSpan w:val="2"/>
            <w:tcBorders/>
            <w:vAlign w:val="center"/>
          </w:tcPr>
          <w:p>
            <w:pPr>
              <w:pStyle w:val="TableContents"/>
              <w:bidi w:val="0"/>
              <w:spacing w:before="0" w:after="283"/>
              <w:jc w:val="left"/>
              <w:rPr>
                <w:sz w:val="4"/>
                <w:szCs w:val="4"/>
              </w:rPr>
            </w:pPr>
            <w:r>
              <w:rPr>
                <w:sz w:val="4"/>
                <w:szCs w:val="4"/>
              </w:rPr>
            </w:r>
          </w:p>
        </w:tc>
      </w:tr>
      <w:tr>
        <w:trPr/>
        <w:tc>
          <w:tcPr>
            <w:tcW w:w="2000" w:type="dxa"/>
            <w:tcBorders/>
            <w:vAlign w:val="center"/>
          </w:tcPr>
          <w:p>
            <w:pPr>
              <w:pStyle w:val="TableContents"/>
              <w:bidi w:val="0"/>
              <w:spacing w:before="0" w:after="283"/>
              <w:jc w:val="left"/>
              <w:rPr/>
            </w:pPr>
            <w:r>
              <w:rPr/>
              <w:t>Date: March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433" w:type="dxa"/>
            <w:tcBorders>
              <w:bottom w:val="single" w:sz="6" w:space="0" w:color="000000"/>
            </w:tcBorders>
            <w:tcMar>
              <w:bottom w:w="28" w:type="dxa"/>
            </w:tcMar>
            <w:vAlign w:val="center"/>
          </w:tcPr>
          <w:p>
            <w:pPr>
              <w:pStyle w:val="TableContents"/>
              <w:bidi w:val="0"/>
              <w:spacing w:before="0" w:after="283"/>
              <w:jc w:val="left"/>
              <w:rPr/>
            </w:pPr>
            <w:r>
              <w:rPr/>
              <w:t>/s/ Richard T. Allorto, Jr.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83"/>
              <w:jc w:val="left"/>
              <w:rPr/>
            </w:pPr>
            <w:r>
              <w:rPr/>
              <w:t>Richard T. Allorto, Jr.</w:t>
            </w:r>
          </w:p>
        </w:tc>
      </w:tr>
      <w:tr>
        <w:trPr/>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433" w:type="dxa"/>
            <w:tcBorders/>
            <w:vAlign w:val="center"/>
          </w:tcPr>
          <w:p>
            <w:pPr>
              <w:pStyle w:val="TableContents"/>
              <w:bidi w:val="0"/>
              <w:spacing w:before="0" w:after="283"/>
              <w:jc w:val="left"/>
              <w:rPr/>
            </w:pPr>
            <w:r>
              <w:rPr/>
              <w:t>Chief Financial Officer &amp; Treasurer</w:t>
            </w:r>
          </w:p>
        </w:tc>
      </w:tr>
    </w:tbl>
    <w:p>
      <w:pPr>
        <w:pStyle w:val="TextBody"/>
        <w:bidi w:val="0"/>
        <w:spacing w:before="0" w:after="0"/>
        <w:jc w:val="right"/>
        <w:rPr>
          <w:rFonts w:ascii="Times New Roman" w:hAnsi="Times New Roman"/>
          <w:b/>
          <w:sz w:val="20"/>
        </w:rPr>
      </w:pPr>
      <w:bookmarkStart w:id="2" w:name="d254628dex42.htm"/>
      <w:bookmarkStart w:id="3" w:name="ksd254628dex42"/>
      <w:bookmarkEnd w:id="2"/>
      <w:bookmarkEnd w:id="3"/>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EQUINITI TRUST COMPANY, LLC,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March 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THIS SECOND SUPPLEMENTAL INDENTURE (this “Second Supplemental Indenture”), dated as of March 4, 2026, is between PennantPark Floating Rate Capital Ltd., a Maryland corporation (the “Company”), and Equiniti Trust Company, LLC, as trustee (the “Trustee”). All capitalized terms used herein shall have the meaning set forth in the Base Indenture (as defined below) unless otherwise defined herein. </w:t>
      </w:r>
    </w:p>
    <w:p>
      <w:pPr>
        <w:pStyle w:val="TextBody"/>
        <w:bidi w:val="0"/>
        <w:spacing w:before="480" w:after="0"/>
        <w:jc w:val="center"/>
        <w:rPr>
          <w:rFonts w:ascii="Times New Roman" w:hAnsi="Times New Roman"/>
          <w:sz w:val="20"/>
        </w:rPr>
      </w:pPr>
      <w:r>
        <w:rPr>
          <w:rFonts w:ascii="Times New Roman" w:hAnsi="Times New Roman"/>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executed and delivered an Indenture, dated as of March 23, 2021 (the “Base Indenture”, as amended and supplemented by this Second Supplemental Indenture, the “Indenture”), to provide for the issuance by the Company from time to time of the Company’s unsecured debentures, notes or other evidences of indebtedness (the “Securities”), to be issued in one or more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issue and sell $200,000,000 aggregate principal amount of the Company’s 6.75% Notes due 2029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Sections 901(5) and 901(7)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Second Supplemental Indenture to provide for the issuance of the Notes and all acts and things necessary to make this Second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For and in consideration of the premises and the purchase of the Notes by the Holders thereof, it is mutually agreed, for the equal and proportionate benefit of all Holders of the Notes,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sz w:val="20"/>
          <w:u w:val="single"/>
        </w:rPr>
        <w:t>Section 1.01</w:t>
      </w:r>
      <w:r>
        <w:rPr>
          <w:rFonts w:ascii="Times New Roman" w:hAnsi="Times New Roman"/>
          <w:sz w:val="20"/>
        </w:rPr>
        <w:t xml:space="preserve"> </w:t>
      </w:r>
      <w:r>
        <w:rPr>
          <w:rFonts w:ascii="Times New Roman" w:hAnsi="Times New Roman"/>
          <w:sz w:val="20"/>
          <w:u w:val="single"/>
        </w:rPr>
        <w:t>Terms of the Notes</w:t>
      </w:r>
      <w:r>
        <w:rPr>
          <w:rFonts w:ascii="Times New Roman" w:hAnsi="Times New Roman"/>
          <w:sz w:val="20"/>
        </w:rPr>
        <w:t xml:space="preserve">. The following terms relating to the Notes are hereby established: </w:t>
      </w:r>
    </w:p>
    <w:p>
      <w:pPr>
        <w:pStyle w:val="TextBody"/>
        <w:bidi w:val="0"/>
        <w:spacing w:before="120" w:after="0"/>
        <w:jc w:val="left"/>
        <w:rPr>
          <w:rFonts w:ascii="Times New Roman" w:hAnsi="Times New Roman"/>
          <w:sz w:val="20"/>
        </w:rPr>
      </w:pPr>
      <w:r>
        <w:rPr>
          <w:rFonts w:ascii="Times New Roman" w:hAnsi="Times New Roman"/>
          <w:sz w:val="20"/>
        </w:rPr>
        <w:t xml:space="preserve">(a) The Notes shall constitute a series of Securities having the title “6.75% Notes due 2029” and shall be designated as Senior Securities under the Indenture. The Notes shall bear a CUSIP number of 70806A AC0 and an ISIN number of US70806AAC09.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1301 of the Base Indenture) shall be $200,000,000. Under a Board Resolution, Officers’ Certificate pursuant to Board Resolutions or a Future Supplemental Indenture, the Company may from time to time, without the consent of the Holders of Notes, issue additional Notes (in any such case “Additional Notes”) having the same ranking and the same interest rate, maturity, CUSIP number and other terms as the Notes; </w:t>
      </w:r>
      <w:r>
        <w:rPr>
          <w:rFonts w:ascii="Times New Roman" w:hAnsi="Times New Roman"/>
          <w:i/>
          <w:sz w:val="20"/>
        </w:rPr>
        <w:t>provided</w:t>
      </w:r>
      <w:r>
        <w:rPr>
          <w:rFonts w:ascii="Times New Roman" w:hAnsi="Times New Roman"/>
          <w:sz w:val="20"/>
        </w:rPr>
        <w:t xml:space="preserve">, that such Additional Notes must be part of the same issue as the Notes for U.S. federal income tax purposes if represented by the same CUSIP number as the Notes. Any Additional Notes and the existing Notes will constitute a single series under the Indenture and all references to the relevant Notes herein shall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 The entire Outstanding principal amount of the Notes shall be payable on March 4, 2029 unless earlier redeemed or repurchased in accordance with the provisions of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rate at which the Notes shall bear interest shall be 6.75% per annum. The date from which interest shall accrue on the Notes shall be March 4, 2026, or the most recent Interest Payment Date to which interest has been paid or provided for; the Interest Payment Dates for the Notes shall be March 4 and September 4 of each year, commencing September 4, 2026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March 4, 2026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the close of business on the Regular Record Date for such interest, which shall be February 20 and August 20; </w:t>
      </w:r>
      <w:r>
        <w:rPr>
          <w:rFonts w:ascii="Times New Roman" w:hAnsi="Times New Roman"/>
          <w:i/>
          <w:sz w:val="20"/>
        </w:rPr>
        <w:t>provided</w:t>
      </w:r>
      <w:r>
        <w:rPr>
          <w:rFonts w:ascii="Times New Roman" w:hAnsi="Times New Roman"/>
          <w:sz w:val="20"/>
        </w:rPr>
        <w:t xml:space="preserve">, that if a Regular Record Date is not a Business Day, then such Regular Record Date will be the next Business Day.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(e) The Notes shall be initially issuable in global form (each such Note, a “Global Note”). The Global Notes and the Trustee’s certificate of authentication thereon shall be substantially in the form of </w:t>
      </w:r>
      <w:r>
        <w:rPr>
          <w:rFonts w:ascii="Times New Roman" w:hAnsi="Times New Roman"/>
          <w:sz w:val="20"/>
          <w:u w:val="single"/>
        </w:rPr>
        <w:t>Exhibit A</w:t>
      </w:r>
      <w:r>
        <w:rPr>
          <w:rFonts w:ascii="Times New Roman" w:hAnsi="Times New Roman"/>
          <w:sz w:val="20"/>
        </w:rPr>
        <w:t xml:space="preserve"> to this Second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depositary for such Global Notes shall be The Depository Trust Company, New York, New York.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(g) The Notes shall be defeasible pursuant to Section 1402 or Section 1403 of the Base Indenture. Covenant defeasance contained in Section 1403 of the Base Indenture shall apply to the covenants contained in Sections 1008 and 1009 thereof (after giving effect to the amendments set forth in Section 5.01 of this Second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(h) The Notes shall be redeemable pursuant to Section 1101 of the Base Indenture and as follows: </w:t>
      </w:r>
    </w:p>
    <w:p>
      <w:pPr>
        <w:pStyle w:val="TextBody"/>
        <w:bidi w:val="0"/>
        <w:spacing w:before="120" w:after="0"/>
        <w:jc w:val="left"/>
        <w:rPr>
          <w:rFonts w:ascii="Times New Roman" w:hAnsi="Times New Roman"/>
          <w:sz w:val="20"/>
        </w:rPr>
      </w:pPr>
      <w:r>
        <w:rPr>
          <w:rFonts w:ascii="Times New Roman" w:hAnsi="Times New Roman"/>
          <w:sz w:val="20"/>
        </w:rPr>
        <w:t xml:space="preserve">(i) Prior to December 4, 2028 (the “Par Call Date”), the Company may redeem the Notes at the Company’s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A. (1)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(2)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B. 100% of the principal amount of the Notes to be redeemed, </w:t>
      </w:r>
    </w:p>
    <w:p>
      <w:pPr>
        <w:pStyle w:val="TextBody"/>
        <w:bidi w:val="0"/>
        <w:spacing w:before="12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thereon to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the foregoing, on or after the Par Call Date, the Company may redeem the Notes, in whole or in part, at any time and from time to time, at a Redemption Price equal to 100% of the principal amount of the Notes to be redeemed plus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Company’s actions and determinations in determining the Redemption Price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(iv) If the Company chooses to redeem any of the Notes, the Company will deliver a notice of redemption to holders of the Notes not less than 30 nor more than 60 days before the Redemption Date. Any exercise of the Company’s option to redeem the Notes will be done in compliance with the Investment Company Act. If the Company is redeeming less than all of the Notes, the particular Notes to be redeemed will be selected by the Trustee on a </w:t>
      </w:r>
      <w:r>
        <w:rPr>
          <w:rFonts w:ascii="Times New Roman" w:hAnsi="Times New Roman"/>
          <w:i/>
          <w:sz w:val="20"/>
        </w:rPr>
        <w:t>pro rata</w:t>
      </w:r>
      <w:r>
        <w:rPr>
          <w:rFonts w:ascii="Times New Roman" w:hAnsi="Times New Roman"/>
          <w:sz w:val="20"/>
        </w:rPr>
        <w:t xml:space="preserve"> basis to the extent practicable, or, if a </w:t>
      </w:r>
      <w:r>
        <w:rPr>
          <w:rFonts w:ascii="Times New Roman" w:hAnsi="Times New Roman"/>
          <w:i/>
          <w:sz w:val="20"/>
        </w:rPr>
        <w:t>pro rata</w:t>
      </w:r>
      <w:r>
        <w:rPr>
          <w:rFonts w:ascii="Times New Roman" w:hAnsi="Times New Roman"/>
          <w:sz w:val="20"/>
        </w:rPr>
        <w:t xml:space="preserve"> basis is not practicable for any reason, by lot or in such other manner as the Trustee deems fair and appropriate, and in any case in accordance with the applicable procedures of the Depositary and in accordance with the Investment Company Act as directed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partial redemption will reduce the portion of the principal amount of the Notes not redeemed to less than $2,000. </w:t>
      </w:r>
    </w:p>
    <w:p>
      <w:pPr>
        <w:pStyle w:val="TextBody"/>
        <w:bidi w:val="0"/>
        <w:spacing w:before="120" w:after="0"/>
        <w:jc w:val="left"/>
        <w:rPr>
          <w:rFonts w:ascii="Times New Roman" w:hAnsi="Times New Roman"/>
          <w:sz w:val="20"/>
        </w:rPr>
      </w:pPr>
      <w:r>
        <w:rPr>
          <w:rFonts w:ascii="Times New Roman" w:hAnsi="Times New Roman"/>
          <w:sz w:val="20"/>
        </w:rPr>
        <w:t xml:space="preserve">(v) Unless the Company defaults in payment of the Redemption Price, on and after the Redemption Date, interest will cease to accrue on the Notes or portion of the Notes called for redemption hereunder. </w:t>
      </w:r>
    </w:p>
    <w:p>
      <w:pPr>
        <w:pStyle w:val="TextBody"/>
        <w:bidi w:val="0"/>
        <w:spacing w:before="240" w:after="0"/>
        <w:jc w:val="left"/>
        <w:rPr>
          <w:rFonts w:ascii="Times New Roman" w:hAnsi="Times New Roman"/>
          <w:sz w:val="20"/>
        </w:rPr>
      </w:pPr>
      <w:r>
        <w:rPr>
          <w:rFonts w:ascii="Times New Roman" w:hAnsi="Times New Roman"/>
          <w:sz w:val="20"/>
        </w:rPr>
        <w:t xml:space="preserve">(i)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(j) The Notes shall be issuable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(k) Holders of the Notes will not have the option to have the Notes repaid prior to the Stated Maturity other than in accordance with Article Thirteen of the Indenture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u w:val="single"/>
        </w:rPr>
        <w:t>Section 2.01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 </w:t>
      </w:r>
    </w:p>
    <w:p>
      <w:pPr>
        <w:pStyle w:val="TextBody"/>
        <w:bidi w:val="0"/>
        <w:spacing w:before="120" w:after="0"/>
        <w:jc w:val="left"/>
        <w:rPr/>
      </w:pPr>
      <w:r>
        <w:rPr/>
        <w:t>“</w:t>
      </w:r>
      <w:r>
        <w:rPr>
          <w:rFonts w:ascii="Times New Roman" w:hAnsi="Times New Roman"/>
          <w:sz w:val="20"/>
          <w:u w:val="single"/>
        </w:rPr>
        <w:t>Additional Notes</w:t>
      </w:r>
      <w:r>
        <w:rPr>
          <w:rFonts w:ascii="Times New Roman" w:hAnsi="Times New Roman"/>
          <w:sz w:val="20"/>
        </w:rPr>
        <w:t xml:space="preserve">” shall have the meaning provided in </w:t>
      </w:r>
      <w:r>
        <w:rPr>
          <w:rFonts w:ascii="Times New Roman" w:hAnsi="Times New Roman"/>
          <w:sz w:val="20"/>
          <w:u w:val="single"/>
        </w:rPr>
        <w:t>Section 1.01(b)</w:t>
      </w:r>
      <w:r>
        <w:rPr>
          <w:rFonts w:ascii="Times New Roman" w:hAnsi="Times New Roman"/>
          <w:sz w:val="20"/>
        </w:rPr>
        <w:t xml:space="preserve"> of this Second Supplemental Indenture. </w:t>
      </w:r>
    </w:p>
    <w:p>
      <w:pPr>
        <w:pStyle w:val="TextBody"/>
        <w:bidi w:val="0"/>
        <w:spacing w:before="240" w:after="0"/>
        <w:jc w:val="left"/>
        <w:rPr/>
      </w:pPr>
      <w:r>
        <w:rPr/>
        <w:t>“</w:t>
      </w:r>
      <w:r>
        <w:rPr>
          <w:rFonts w:ascii="Times New Roman" w:hAnsi="Times New Roman"/>
          <w:sz w:val="20"/>
          <w:u w:val="single"/>
        </w:rPr>
        <w:t>Below Investment Grade Rating Event</w:t>
      </w:r>
      <w:r>
        <w:rPr>
          <w:rFonts w:ascii="Times New Roman" w:hAnsi="Times New Roman"/>
          <w:sz w:val="20"/>
        </w:rPr>
        <w:t xml:space="preserve">”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Times New Roman" w:hAnsi="Times New Roman"/>
          <w:i/>
          <w:sz w:val="20"/>
        </w:rPr>
        <w:t>provided</w:t>
      </w:r>
      <w:r>
        <w:rPr>
          <w:rFonts w:ascii="Times New Roman" w:hAnsi="Times New Roman"/>
          <w:sz w:val="20"/>
        </w:rPr>
        <w:t xml:space="preserve">, that a Below Investment Grade Rating Event otherwise arising by virtue of a particular reduction in rating shall not be deemed to have occurred in respect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Securities Exchange Act), other than to any Permitted Holders; </w:t>
      </w:r>
      <w:r>
        <w:rPr>
          <w:rFonts w:ascii="Times New Roman" w:hAnsi="Times New Roman"/>
          <w:i/>
          <w:sz w:val="20"/>
        </w:rPr>
        <w:t>provided</w:t>
      </w:r>
      <w:r>
        <w:rPr>
          <w:rFonts w:ascii="Times New Roman" w:hAnsi="Times New Roman"/>
          <w:sz w:val="20"/>
        </w:rPr>
        <w:t xml:space="preserve">, that, for the avoidance of doubt, a pledge of assets pursuant to any secured debt instrument of the Company or its Controlled Subsidiaries shall not be deemed to be any such sale, lease, transfer, conveyance or disposition; </w:t>
      </w:r>
    </w:p>
    <w:p>
      <w:pPr>
        <w:pStyle w:val="TextBody"/>
        <w:bidi w:val="0"/>
        <w:spacing w:before="12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Securities Exchange Act) (other than any Permitted Holders) becomes the “beneficial owner” (as defined in Rules 13d-3 and 13d-5 under the Securities Exchange Act), directly or indirectly, of more than 50% of the outstanding Voting Stock of the Company, measured by voting power rather than number of shares; or </w:t>
      </w:r>
    </w:p>
    <w:p>
      <w:pPr>
        <w:pStyle w:val="TextBody"/>
        <w:bidi w:val="0"/>
        <w:spacing w:before="120" w:after="0"/>
        <w:jc w:val="left"/>
        <w:rPr>
          <w:rFonts w:ascii="Times New Roman" w:hAnsi="Times New Roman"/>
          <w:sz w:val="20"/>
        </w:rPr>
      </w:pPr>
      <w:r>
        <w:rPr>
          <w:rFonts w:ascii="Times New Roman" w:hAnsi="Times New Roman"/>
          <w:sz w:val="20"/>
        </w:rPr>
        <w:t xml:space="preserve">(3) the approval by the Company’s stockholders of any plan or proposal relating to the liquidation or dissolution of the Company. </w:t>
      </w:r>
    </w:p>
    <w:p>
      <w:pPr>
        <w:pStyle w:val="TextBody"/>
        <w:bidi w:val="0"/>
        <w:spacing w:before="240" w:after="0"/>
        <w:jc w:val="left"/>
        <w:rPr/>
      </w:pPr>
      <w:r>
        <w:rPr/>
        <w:t>“</w:t>
      </w:r>
      <w:r>
        <w:rPr>
          <w:rFonts w:ascii="Times New Roman" w:hAnsi="Times New Roman"/>
          <w:sz w:val="20"/>
          <w:u w:val="single"/>
        </w:rPr>
        <w:t>Change of Control Repurchase Event</w:t>
      </w:r>
      <w:r>
        <w:rPr>
          <w:rFonts w:ascii="Times New Roman" w:hAnsi="Times New Roman"/>
          <w:sz w:val="20"/>
        </w:rPr>
        <w:t xml:space="preserve">” means the occurrence of a Change of Control and a Below Investment Grade Rating Event. </w:t>
      </w:r>
    </w:p>
    <w:p>
      <w:pPr>
        <w:pStyle w:val="TextBody"/>
        <w:bidi w:val="0"/>
        <w:spacing w:before="240" w:after="0"/>
        <w:jc w:val="left"/>
        <w:rPr/>
      </w:pPr>
      <w:r>
        <w:rPr/>
        <w:t>“</w:t>
      </w:r>
      <w:r>
        <w:rPr>
          <w:rFonts w:ascii="Times New Roman" w:hAnsi="Times New Roman"/>
          <w:sz w:val="20"/>
          <w:u w:val="single"/>
        </w:rPr>
        <w:t>Controlled Subsidiary</w:t>
      </w:r>
      <w:r>
        <w:rPr>
          <w:rFonts w:ascii="Times New Roman" w:hAnsi="Times New Roman"/>
          <w:sz w:val="20"/>
        </w:rPr>
        <w:t xml:space="preserve">”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 </w:t>
      </w:r>
    </w:p>
    <w:p>
      <w:pPr>
        <w:pStyle w:val="TextBody"/>
        <w:bidi w:val="0"/>
        <w:spacing w:before="240" w:after="0"/>
        <w:jc w:val="left"/>
        <w:rPr/>
      </w:pPr>
      <w:r>
        <w:rPr/>
        <w:t>“</w:t>
      </w:r>
      <w:r>
        <w:rPr>
          <w:rFonts w:ascii="Times New Roman" w:hAnsi="Times New Roman"/>
          <w:sz w:val="20"/>
          <w:u w:val="single"/>
        </w:rPr>
        <w:t>DBRS</w:t>
      </w:r>
      <w:r>
        <w:rPr>
          <w:rFonts w:ascii="Times New Roman" w:hAnsi="Times New Roman"/>
          <w:sz w:val="20"/>
        </w:rPr>
        <w:t xml:space="preserve">” means DBRS, Inc. or any successor thereto.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with respect to each Note in global form, The Depository Trust Company, until a successor shall have been appointed and becomes such person, and thereafter, Depositary shall mean or include such successor.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 Adviser</w:t>
      </w:r>
      <w:r>
        <w:rPr>
          <w:rFonts w:ascii="Times New Roman" w:hAnsi="Times New Roman"/>
          <w:sz w:val="20"/>
        </w:rPr>
        <w:t xml:space="preserve">” means PennantPark Investment Advisers, LLC.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w:t>
      </w:r>
    </w:p>
    <w:p>
      <w:pPr>
        <w:pStyle w:val="TextBody"/>
        <w:bidi w:val="0"/>
        <w:spacing w:before="240" w:after="0"/>
        <w:jc w:val="left"/>
        <w:rPr/>
      </w:pPr>
      <w:r>
        <w:rPr/>
        <w:t>“</w:t>
      </w:r>
      <w:r>
        <w:rPr>
          <w:rFonts w:ascii="Times New Roman" w:hAnsi="Times New Roman"/>
          <w:sz w:val="20"/>
          <w:u w:val="single"/>
        </w:rPr>
        <w:t>Investment Grade</w:t>
      </w:r>
      <w:r>
        <w:rPr>
          <w:rFonts w:ascii="Times New Roman" w:hAnsi="Times New Roman"/>
          <w:sz w:val="20"/>
        </w:rPr>
        <w:t xml:space="preserve">” means a rating of BBB (low) or better by DBRS (or its equivalent under any successor rating categories of DBRS) (or if such Rating Agency ceases to rate the Notes for reasons outside of the Company’s control, the equivalent investment grade credit rating from any Rating Agency selected by the Company as a replacement Rating Agency).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(i) the Company, (ii) one or more of the Company’s Controlled Subsidiaries and (iii) the Investment Adviser, any affiliate of the Investment Adviser or any entity that is managed or advised by the Investment Adviser or any of its affiliates that is organized under the laws of a jurisdiction located in the U.S. and in the business of managing or advising clients.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means (1) DBRS and (2) if DBRS ceases to rate the Notes or fails to make a rating of the Notes publicly available for reasons outside of the Company’s control, a “nationally recognized statistical rating organization” as defined in Section 3(a)(62) of the Securities Exchange Act selected by the Company as a replacement agency for DBRS. </w:t>
      </w:r>
    </w:p>
    <w:p>
      <w:pPr>
        <w:pStyle w:val="TextBody"/>
        <w:bidi w:val="0"/>
        <w:spacing w:before="240" w:after="0"/>
        <w:jc w:val="left"/>
        <w:rPr/>
      </w:pPr>
      <w:r>
        <w:rPr/>
        <w:t>“</w:t>
      </w:r>
      <w:r>
        <w:rPr>
          <w:rFonts w:ascii="Times New Roman" w:hAnsi="Times New Roman"/>
          <w:sz w:val="20"/>
          <w:u w:val="single"/>
        </w:rPr>
        <w:t>Securities 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means any Subsidiary that would be a “significant subsidiary” as defined in Article 1, Rule 1-02 of Regulation S-X under the Securities Exchange Act, as such regulation is in effect on the original date of this Indenture (but excluding any Subsidiary which is (a) a non-recourse or limited recourse Subsidiary, (b) a bankruptcy remote special purpose vehicle or (c) is not consolidated with the Company for purposes of GAAP). </w:t>
      </w:r>
    </w:p>
    <w:p>
      <w:pPr>
        <w:pStyle w:val="TextBody"/>
        <w:bidi w:val="0"/>
        <w:spacing w:before="240" w:after="0"/>
        <w:jc w:val="left"/>
        <w:rPr/>
      </w:pPr>
      <w:r>
        <w:rPr/>
        <w:t>“</w:t>
      </w:r>
      <w:r>
        <w:rPr>
          <w:rFonts w:ascii="Times New Roman" w:hAnsi="Times New Roman"/>
          <w:sz w:val="20"/>
          <w:u w:val="single"/>
        </w:rPr>
        <w:t>Surviving Person</w:t>
      </w:r>
      <w:r>
        <w:rPr>
          <w:rFonts w:ascii="Times New Roman" w:hAnsi="Times New Roman"/>
          <w:sz w:val="20"/>
        </w:rPr>
        <w:t xml:space="preserve">” shall have the meaning provided in </w:t>
      </w:r>
      <w:r>
        <w:rPr>
          <w:rFonts w:ascii="Times New Roman" w:hAnsi="Times New Roman"/>
          <w:sz w:val="20"/>
          <w:u w:val="single"/>
        </w:rPr>
        <w:t>Section 8.01</w:t>
      </w:r>
      <w:r>
        <w:rPr>
          <w:rFonts w:ascii="Times New Roman" w:hAnsi="Times New Roman"/>
          <w:sz w:val="20"/>
        </w:rPr>
        <w:t xml:space="preserve"> of this Second Supplemental Indenture.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240" w:after="0"/>
        <w:jc w:val="left"/>
        <w:rPr>
          <w:rFonts w:ascii="Times New Roman" w:hAnsi="Times New Roman"/>
          <w:sz w:val="20"/>
        </w:rPr>
      </w:pPr>
      <w:r>
        <w:rPr>
          <w:rFonts w:ascii="Times New Roman" w:hAnsi="Times New Roman"/>
          <w:sz w:val="20"/>
          <w:u w:val="single"/>
        </w:rPr>
        <w:t>Section 2.02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“Business Day” included therein in its entirety with the following: </w:t>
      </w:r>
    </w:p>
    <w:p>
      <w:pPr>
        <w:pStyle w:val="TextBody"/>
        <w:bidi w:val="0"/>
        <w:spacing w:before="120" w:after="0"/>
        <w:jc w:val="left"/>
        <w:rPr/>
      </w:pPr>
      <w:r>
        <w:rPr/>
        <w:t>“</w:t>
      </w:r>
      <w:r>
        <w:rPr>
          <w:rFonts w:ascii="Times New Roman" w:hAnsi="Times New Roman"/>
          <w:sz w:val="20"/>
          <w:u w:val="single"/>
        </w:rPr>
        <w:t>Business Day</w:t>
      </w:r>
      <w:r>
        <w:rPr>
          <w:rFonts w:ascii="Times New Roman" w:hAnsi="Times New Roman"/>
          <w:sz w:val="20"/>
        </w:rPr>
        <w:t xml:space="preserve">” means each Monday, Tuesday, Wednesday, Thursday and Friday that is not a day on which banking institutions in The City of New York are authorized or required by law or executive order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2.03</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101 of the Base Indenture shall be amended by replacing the definition of “Subsidiary” included therein in its entirety with the following: </w:t>
      </w:r>
    </w:p>
    <w:p>
      <w:pPr>
        <w:pStyle w:val="TextBody"/>
        <w:bidi w:val="0"/>
        <w:spacing w:before="12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FORM </w:t>
      </w:r>
    </w:p>
    <w:p>
      <w:pPr>
        <w:pStyle w:val="TextBody"/>
        <w:bidi w:val="0"/>
        <w:spacing w:before="240" w:after="0"/>
        <w:jc w:val="left"/>
        <w:rPr>
          <w:rFonts w:ascii="Times New Roman" w:hAnsi="Times New Roman"/>
          <w:sz w:val="20"/>
        </w:rPr>
      </w:pPr>
      <w:r>
        <w:rPr>
          <w:rFonts w:ascii="Times New Roman" w:hAnsi="Times New Roman"/>
          <w:sz w:val="20"/>
          <w:u w:val="single"/>
        </w:rPr>
        <w:t>Section 3.01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Two of the Base Indenture shall be amended by adding the following new Section 204 thereto, as set forth below: </w:t>
      </w:r>
    </w:p>
    <w:p>
      <w:pPr>
        <w:pStyle w:val="TextBody"/>
        <w:bidi w:val="0"/>
        <w:spacing w:before="120" w:after="0"/>
        <w:jc w:val="left"/>
        <w:rPr/>
      </w:pPr>
      <w:r>
        <w:rPr/>
        <w:t>“</w:t>
      </w:r>
      <w:r>
        <w:rPr>
          <w:rFonts w:ascii="Times New Roman" w:hAnsi="Times New Roman"/>
          <w:b/>
          <w:sz w:val="20"/>
        </w:rPr>
        <w:t>Section 204. Certificated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Securities in physical, certificated form will be issued and delivered to each person that the Depositary identifies as a beneficial owner of the related Securities only if: </w:t>
      </w:r>
    </w:p>
    <w:p>
      <w:pPr>
        <w:pStyle w:val="TextBody"/>
        <w:bidi w:val="0"/>
        <w:spacing w:before="120" w:after="0"/>
        <w:jc w:val="left"/>
        <w:rPr>
          <w:rFonts w:ascii="Times New Roman" w:hAnsi="Times New Roman"/>
          <w:sz w:val="20"/>
        </w:rPr>
      </w:pPr>
      <w:r>
        <w:rPr>
          <w:rFonts w:ascii="Times New Roman" w:hAnsi="Times New Roman"/>
          <w:sz w:val="20"/>
        </w:rPr>
        <w:t xml:space="preserve">(1) the Depositary notifies the Company at any time that it is unwilling or unable to continue as depositary for the Securities in global form and a successor depositary is not appointed within 90 days; </w:t>
      </w:r>
    </w:p>
    <w:p>
      <w:pPr>
        <w:pStyle w:val="TextBody"/>
        <w:bidi w:val="0"/>
        <w:spacing w:before="120" w:after="0"/>
        <w:jc w:val="left"/>
        <w:rPr>
          <w:rFonts w:ascii="Times New Roman" w:hAnsi="Times New Roman"/>
          <w:sz w:val="20"/>
        </w:rPr>
      </w:pPr>
      <w:r>
        <w:rPr>
          <w:rFonts w:ascii="Times New Roman" w:hAnsi="Times New Roman"/>
          <w:sz w:val="20"/>
        </w:rPr>
        <w:t xml:space="preserve">(2) the Depositary ceases to be registered as a clearing agency under the Securities Exchange Act and a successor depositary is not appointed within 90 days; or </w:t>
      </w:r>
    </w:p>
    <w:p>
      <w:pPr>
        <w:pStyle w:val="TextBody"/>
        <w:bidi w:val="0"/>
        <w:spacing w:before="120" w:after="0"/>
        <w:jc w:val="left"/>
        <w:rPr>
          <w:rFonts w:ascii="Times New Roman" w:hAnsi="Times New Roman"/>
          <w:sz w:val="20"/>
        </w:rPr>
      </w:pPr>
      <w:r>
        <w:rPr>
          <w:rFonts w:ascii="Times New Roman" w:hAnsi="Times New Roman"/>
          <w:sz w:val="20"/>
        </w:rPr>
        <w:t xml:space="preserve">(3) an Event of Default with respect to the Securities has occurred and is continuing and such beneficial owner requests that its Securities be issued in physical, certificated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u w:val="single"/>
        </w:rPr>
        <w:t>Section 4.01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(2) thereof in its entirety with the following: </w:t>
      </w:r>
    </w:p>
    <w:p>
      <w:pPr>
        <w:pStyle w:val="TextBody"/>
        <w:bidi w:val="0"/>
        <w:spacing w:before="120" w:after="0"/>
        <w:jc w:val="left"/>
        <w:rPr/>
      </w:pPr>
      <w:r>
        <w:rPr/>
        <w:t>“</w:t>
      </w:r>
      <w:r>
        <w:rPr>
          <w:rFonts w:ascii="Times New Roman" w:hAnsi="Times New Roman"/>
          <w:sz w:val="20"/>
        </w:rPr>
        <w:t xml:space="preserve">(2) default in the payment of the principal of (or premium, if any, on) any Note when it becomes due and payable at its Maturity, including upon any Redemption Date or required repurchase date; or” </w:t>
      </w:r>
    </w:p>
    <w:p>
      <w:pPr>
        <w:pStyle w:val="TextBody"/>
        <w:bidi w:val="0"/>
        <w:spacing w:before="240" w:after="0"/>
        <w:jc w:val="left"/>
        <w:rPr>
          <w:rFonts w:ascii="Times New Roman" w:hAnsi="Times New Roman"/>
          <w:sz w:val="20"/>
        </w:rPr>
      </w:pPr>
      <w:r>
        <w:rPr>
          <w:rFonts w:ascii="Times New Roman" w:hAnsi="Times New Roman"/>
          <w:sz w:val="20"/>
          <w:u w:val="single"/>
        </w:rPr>
        <w:t>Section 4.02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(6) thereof in its entirety with the following: </w:t>
      </w:r>
    </w:p>
    <w:p>
      <w:pPr>
        <w:pStyle w:val="TextBody"/>
        <w:bidi w:val="0"/>
        <w:spacing w:before="120" w:after="0"/>
        <w:jc w:val="left"/>
        <w:rPr/>
      </w:pPr>
      <w:r>
        <w:rPr/>
        <w:t>“</w:t>
      </w:r>
      <w:r>
        <w:rPr>
          <w:rFonts w:ascii="Times New Roman" w:hAnsi="Times New Roman"/>
          <w:sz w:val="20"/>
        </w:rPr>
        <w:t xml:space="preserve">(6)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the Company in an involuntary case or proceeding, or </w:t>
      </w:r>
    </w:p>
    <w:p>
      <w:pPr>
        <w:pStyle w:val="TextBody"/>
        <w:bidi w:val="0"/>
        <w:spacing w:before="120" w:after="0"/>
        <w:jc w:val="left"/>
        <w:rPr>
          <w:rFonts w:ascii="Times New Roman" w:hAnsi="Times New Roman"/>
          <w:sz w:val="20"/>
        </w:rPr>
      </w:pPr>
      <w:r>
        <w:rPr>
          <w:rFonts w:ascii="Times New Roman" w:hAnsi="Times New Roman"/>
          <w:sz w:val="20"/>
        </w:rPr>
        <w:t xml:space="preserve">(B) adjudges the Company bankrupt or insolvent, or approves as properly filed a petition seeking reorganization, arrangement, adjustment or composition of or in respect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(C)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orders the winding up or liquidation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continuance of any such decree or order for relief or any such other decree or order unstayed and undischarged and in effect for a period of 90 days.” </w:t>
      </w:r>
    </w:p>
    <w:p>
      <w:pPr>
        <w:pStyle w:val="TextBody"/>
        <w:bidi w:val="0"/>
        <w:spacing w:before="240" w:after="0"/>
        <w:jc w:val="left"/>
        <w:rPr>
          <w:rFonts w:ascii="Times New Roman" w:hAnsi="Times New Roman"/>
          <w:sz w:val="20"/>
        </w:rPr>
      </w:pPr>
      <w:r>
        <w:rPr>
          <w:rFonts w:ascii="Times New Roman" w:hAnsi="Times New Roman"/>
          <w:sz w:val="20"/>
          <w:u w:val="single"/>
        </w:rPr>
        <w:t>Section 4.03</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501 of the Base Indenture shall be amended by replacing clause (7) thereof in its entirety with the following: </w:t>
      </w:r>
    </w:p>
    <w:p>
      <w:pPr>
        <w:pStyle w:val="TextBody"/>
        <w:bidi w:val="0"/>
        <w:spacing w:before="120" w:after="0"/>
        <w:jc w:val="left"/>
        <w:rPr/>
      </w:pPr>
      <w:r>
        <w:rPr/>
        <w:t>“</w:t>
      </w:r>
      <w:r>
        <w:rPr>
          <w:rFonts w:ascii="Times New Roman" w:hAnsi="Times New Roman"/>
          <w:sz w:val="20"/>
        </w:rPr>
        <w:t xml:space="preserve">(7) default by the Company or any of its Significant Subsidiaries, with respect to any mortgage, agreement or other instrument under which there may be outstanding, or by which there may be secured or evidenced, any indebtedness for money borrowed in excess of $75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 or </w:t>
      </w:r>
    </w:p>
    <w:p>
      <w:pPr>
        <w:pStyle w:val="TextBody"/>
        <w:bidi w:val="0"/>
        <w:spacing w:before="120" w:after="0"/>
        <w:jc w:val="left"/>
        <w:rPr>
          <w:rFonts w:ascii="Times New Roman" w:hAnsi="Times New Roman"/>
          <w:sz w:val="20"/>
        </w:rPr>
      </w:pPr>
      <w:r>
        <w:rPr>
          <w:rFonts w:ascii="Times New Roman" w:hAnsi="Times New Roman"/>
          <w:sz w:val="20"/>
        </w:rPr>
        <w:t xml:space="preserve">(8) if, pursuant to Sections 18(a)(1)(C)(ii) and 61 of the Investment Company Act, or any successor provisions, on the last business day of each of twenty-four consecutive calendar months any class of the Securities shall have an asset coverage (as such term is used in the Investment Company Act) of less than 100%, giving effect to any amendments to such provisions of the Investment Company Act or to any exemptive relief granted to the Company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4.04</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502 of the Base Indenture shall be amended by replacing the first paragraph thereof in its entirety with the following: </w:t>
      </w:r>
    </w:p>
    <w:p>
      <w:pPr>
        <w:pStyle w:val="TextBody"/>
        <w:bidi w:val="0"/>
        <w:spacing w:before="120" w:after="0"/>
        <w:jc w:val="left"/>
        <w:rPr/>
      </w:pPr>
      <w:r>
        <w:rPr/>
        <w:t>“</w:t>
      </w:r>
      <w:r>
        <w:rPr>
          <w:rFonts w:ascii="Times New Roman" w:hAnsi="Times New Roman"/>
          <w:sz w:val="20"/>
        </w:rPr>
        <w:t xml:space="preserve">If an Event of Default with respect to the Securities occurs and is continuing, then and in every such case (other than an Event of Default specified in Section 501(5) or 501(6)), the Trustee or the holders of not less than 25% in principal amount of the Outstanding Securities may declare the principal of all the Outstanding Securities to be due and payable immediately, by a notice in writing to the Company (and to the Trustee if given by the holders of the Outstanding Securities), and upon any such declaration such principal shall become immediately due and payable; </w:t>
      </w:r>
      <w:r>
        <w:rPr>
          <w:rFonts w:ascii="Times New Roman" w:hAnsi="Times New Roman"/>
          <w:i/>
          <w:sz w:val="20"/>
        </w:rPr>
        <w:t>provided</w:t>
      </w:r>
      <w:r>
        <w:rPr>
          <w:rFonts w:ascii="Times New Roman" w:hAnsi="Times New Roman"/>
          <w:sz w:val="20"/>
        </w:rPr>
        <w:t xml:space="preserve">, that 100% of the principal of, and accrued and unpaid interest on, the Outstanding Securities will automatically become due and payable in the case of an Event of Default specified in Section 501(5) or 501(6) hereof.” </w:t>
      </w:r>
    </w:p>
    <w:p>
      <w:pPr>
        <w:pStyle w:val="TextBody"/>
        <w:bidi w:val="0"/>
        <w:spacing w:before="240" w:after="0"/>
        <w:jc w:val="left"/>
        <w:rPr>
          <w:rFonts w:ascii="Times New Roman" w:hAnsi="Times New Roman"/>
          <w:sz w:val="20"/>
        </w:rPr>
      </w:pPr>
      <w:r>
        <w:rPr>
          <w:rFonts w:ascii="Times New Roman" w:hAnsi="Times New Roman"/>
          <w:sz w:val="20"/>
          <w:u w:val="single"/>
        </w:rPr>
        <w:t>Section 4.05</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507 of the Base Indenture shall be amended by replacing clause (3) thereof in its entirety with the following: </w:t>
      </w:r>
    </w:p>
    <w:p>
      <w:pPr>
        <w:pStyle w:val="TextBody"/>
        <w:bidi w:val="0"/>
        <w:spacing w:before="120" w:after="0"/>
        <w:jc w:val="left"/>
        <w:rPr/>
      </w:pPr>
      <w:r>
        <w:rPr/>
        <w:t>“</w:t>
      </w:r>
      <w:r>
        <w:rPr>
          <w:rFonts w:ascii="Times New Roman" w:hAnsi="Times New Roman"/>
          <w:sz w:val="20"/>
        </w:rPr>
        <w:t xml:space="preserve">(3) such Holder or Holders have offered to the Trustee security or indemnity satisfactory to the Trustee against the costs, expenses and liabilities to be incurred incompliance with such request;” </w:t>
      </w:r>
    </w:p>
    <w:p>
      <w:pPr>
        <w:pStyle w:val="TextBody"/>
        <w:bidi w:val="0"/>
        <w:spacing w:before="240" w:after="0"/>
        <w:jc w:val="left"/>
        <w:rPr>
          <w:rFonts w:ascii="Times New Roman" w:hAnsi="Times New Roman"/>
          <w:sz w:val="20"/>
        </w:rPr>
      </w:pPr>
      <w:r>
        <w:rPr>
          <w:rFonts w:ascii="Times New Roman" w:hAnsi="Times New Roman"/>
          <w:sz w:val="20"/>
          <w:u w:val="single"/>
        </w:rPr>
        <w:t>Section 4.06</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512 of the Base Indenture shall be amended by replacing clause (3) thereof in its entirety with the following: </w:t>
      </w:r>
    </w:p>
    <w:p>
      <w:pPr>
        <w:pStyle w:val="TextBody"/>
        <w:bidi w:val="0"/>
        <w:spacing w:before="120" w:after="0"/>
        <w:jc w:val="left"/>
        <w:rPr/>
      </w:pPr>
      <w:r>
        <w:rPr/>
        <w:t>“</w:t>
      </w:r>
      <w:r>
        <w:rPr>
          <w:rFonts w:ascii="Times New Roman" w:hAnsi="Times New Roman"/>
          <w:sz w:val="20"/>
        </w:rPr>
        <w:t xml:space="preserve">(3) the Trustee need not take any action that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u w:val="single"/>
        </w:rPr>
        <w:t>Section 5.01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1006 of the Base Indenture shall be amended by replacing Section 1006 thereof in its entirety with the following: </w:t>
      </w:r>
    </w:p>
    <w:p>
      <w:pPr>
        <w:pStyle w:val="TextBody"/>
        <w:bidi w:val="0"/>
        <w:spacing w:before="240" w:after="0"/>
        <w:jc w:val="left"/>
        <w:rPr/>
      </w:pPr>
      <w:r>
        <w:rPr/>
        <w:t>“</w:t>
      </w:r>
      <w:r>
        <w:rPr>
          <w:rFonts w:ascii="Times New Roman" w:hAnsi="Times New Roman"/>
          <w:b/>
          <w:sz w:val="20"/>
        </w:rPr>
        <w:t xml:space="preserve">Section 1006. [RESERVED.]” </w:t>
      </w:r>
    </w:p>
    <w:p>
      <w:pPr>
        <w:pStyle w:val="TextBody"/>
        <w:bidi w:val="0"/>
        <w:spacing w:before="240" w:after="0"/>
        <w:jc w:val="left"/>
        <w:rPr>
          <w:rFonts w:ascii="Times New Roman" w:hAnsi="Times New Roman"/>
          <w:sz w:val="20"/>
        </w:rPr>
      </w:pPr>
      <w:r>
        <w:rPr>
          <w:rFonts w:ascii="Times New Roman" w:hAnsi="Times New Roman"/>
          <w:sz w:val="20"/>
          <w:u w:val="single"/>
        </w:rPr>
        <w:t>Section 5.02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Ten of the Base Indenture shall be amended by adding the following new Sections 1008 and 1009 thereto, each as set forth below: </w:t>
      </w:r>
    </w:p>
    <w:p>
      <w:pPr>
        <w:pStyle w:val="TextBody"/>
        <w:bidi w:val="0"/>
        <w:spacing w:before="120" w:after="0"/>
        <w:jc w:val="left"/>
        <w:rPr/>
      </w:pPr>
      <w:r>
        <w:rPr/>
        <w:t>“</w:t>
      </w:r>
      <w:r>
        <w:rPr>
          <w:rFonts w:ascii="Times New Roman" w:hAnsi="Times New Roman"/>
          <w:b/>
          <w:sz w:val="20"/>
        </w:rPr>
        <w:t>Section 1008. Section 18(a)(1)(A) of the Investment Company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hereby agrees that for the period of time during which Notes are Outstanding, the Company will not violate, whether or not it is subject to, Section 18(a)(1)(A) as modified by Section 61(a) of the Investment Company Act or any successor provisions thereto of the Investment Company Act, giving effect to any exemptive relief granted to the Company by the Commission.” </w:t>
      </w:r>
    </w:p>
    <w:p>
      <w:pPr>
        <w:pStyle w:val="TextBody"/>
        <w:bidi w:val="0"/>
        <w:spacing w:before="120" w:after="0"/>
        <w:jc w:val="left"/>
        <w:rPr/>
      </w:pPr>
      <w:r>
        <w:rPr/>
        <w:t>“</w:t>
      </w:r>
      <w:r>
        <w:rPr>
          <w:rFonts w:ascii="Times New Roman" w:hAnsi="Times New Roman"/>
          <w:b/>
          <w:sz w:val="20"/>
        </w:rPr>
        <w:t>Section 1009. Commission Reports and Reports to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Company is not subject to the reporting requirements of Sections 13 or 15(d) of the Securities Exchange Act to file any periodic reports with the Commission, the Company agrees to furnish to the Holders of Notes and the Trustee for the period of time during which the Notes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 </w:t>
      </w:r>
    </w:p>
    <w:p>
      <w:pPr>
        <w:pStyle w:val="TextBody"/>
        <w:bidi w:val="0"/>
        <w:spacing w:before="120" w:after="0"/>
        <w:jc w:val="left"/>
        <w:rPr>
          <w:rFonts w:ascii="Times New Roman" w:hAnsi="Times New Roman"/>
          <w:sz w:val="20"/>
        </w:rPr>
      </w:pPr>
      <w:r>
        <w:rPr>
          <w:rFonts w:ascii="Times New Roman" w:hAnsi="Times New Roman"/>
          <w:sz w:val="20"/>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u w:val="single"/>
        </w:rPr>
        <w:t>Section 6.01</w:t>
      </w:r>
      <w:r>
        <w:rPr>
          <w:rFonts w:ascii="Times New Roman" w:hAnsi="Times New Roman"/>
          <w:sz w:val="20"/>
        </w:rPr>
        <w:t xml:space="preserve"> Neither the Trustee nor any Paying Agent shall be responsible for determining whether any Change of Control or Below Investment Grade Rating Event has occurred and whether any Change of Control offer with respect to the Notes is required. </w:t>
      </w:r>
    </w:p>
    <w:p>
      <w:pPr>
        <w:pStyle w:val="TextBody"/>
        <w:bidi w:val="0"/>
        <w:spacing w:before="240" w:after="0"/>
        <w:jc w:val="left"/>
        <w:rPr>
          <w:rFonts w:ascii="Times New Roman" w:hAnsi="Times New Roman"/>
          <w:sz w:val="20"/>
        </w:rPr>
      </w:pPr>
      <w:r>
        <w:rPr>
          <w:rFonts w:ascii="Times New Roman" w:hAnsi="Times New Roman"/>
          <w:sz w:val="20"/>
          <w:u w:val="single"/>
        </w:rPr>
        <w:t>Section 6.02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602 of the Base Indenture shall be amended by replacing clause (5) thereof in its entirety with the following: </w:t>
      </w:r>
    </w:p>
    <w:p>
      <w:pPr>
        <w:pStyle w:val="TextBody"/>
        <w:bidi w:val="0"/>
        <w:spacing w:before="120" w:after="0"/>
        <w:jc w:val="left"/>
        <w:rPr/>
      </w:pPr>
      <w:r>
        <w:rPr/>
        <w:t>“</w:t>
      </w:r>
      <w:r>
        <w:rPr>
          <w:rFonts w:ascii="Times New Roman" w:hAnsi="Times New Roman"/>
          <w:sz w:val="20"/>
        </w:rPr>
        <w:t xml:space="preserve">(5) The Trustee shall be under no obligation to exercise any of the rights or powers vested in it by this Indenture at the request or direction of any of the Holders of any series or any related coupons pursuant to this Indenture, unless such Holders shall have offered to the Trustee security or indemnity satisfactory to the Trustee against the costs, expenses and liabilities which might be incurred by it in compliance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OFFER TO REPURCHASE UPON A CHANGE OF CONTROL </w:t>
      </w:r>
    </w:p>
    <w:p>
      <w:pPr>
        <w:pStyle w:val="TextBody"/>
        <w:bidi w:val="0"/>
        <w:spacing w:before="0" w:after="0"/>
        <w:jc w:val="center"/>
        <w:rPr>
          <w:rFonts w:ascii="Times New Roman" w:hAnsi="Times New Roman"/>
          <w:b/>
          <w:sz w:val="20"/>
        </w:rPr>
      </w:pPr>
      <w:r>
        <w:rPr>
          <w:rFonts w:ascii="Times New Roman" w:hAnsi="Times New Roman"/>
          <w:b/>
          <w:sz w:val="20"/>
        </w:rPr>
        <w:t xml:space="preserve">REPURCHASE EVENT </w:t>
      </w:r>
    </w:p>
    <w:p>
      <w:pPr>
        <w:pStyle w:val="TextBody"/>
        <w:bidi w:val="0"/>
        <w:spacing w:before="240" w:after="0"/>
        <w:jc w:val="left"/>
        <w:rPr>
          <w:rFonts w:ascii="Times New Roman" w:hAnsi="Times New Roman"/>
          <w:sz w:val="20"/>
        </w:rPr>
      </w:pPr>
      <w:r>
        <w:rPr>
          <w:rFonts w:ascii="Times New Roman" w:hAnsi="Times New Roman"/>
          <w:sz w:val="20"/>
          <w:u w:val="single"/>
        </w:rPr>
        <w:t>Section 7.01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in their entirety with the following: </w:t>
      </w:r>
    </w:p>
    <w:p>
      <w:pPr>
        <w:pStyle w:val="TextBody"/>
        <w:bidi w:val="0"/>
        <w:spacing w:before="120" w:after="0"/>
        <w:jc w:val="left"/>
        <w:rPr/>
      </w:pPr>
      <w:r>
        <w:rPr/>
        <w:t>“</w:t>
      </w:r>
      <w:r>
        <w:rPr>
          <w:rFonts w:ascii="Times New Roman" w:hAnsi="Times New Roman"/>
          <w:b/>
          <w:sz w:val="20"/>
        </w:rPr>
        <w:t xml:space="preserve">Section 1301.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 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Securities Exchange Act and any other securities laws and regulations thereunder to the extent those laws and regulations are applicable in connection with the repurchase of the Notes as a result of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 </w:t>
      </w:r>
    </w:p>
    <w:p>
      <w:pPr>
        <w:pStyle w:val="TextBody"/>
        <w:bidi w:val="0"/>
        <w:spacing w:before="12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Investment Company Act, the Company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or portions of Notes properly tendered pursuant to its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Trustee an amount equal to the aggregate purchase price in respect of all Notes or portions of Notes properly tendered;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deliver or cause to be delivered to the Trustee the Notes properly accepted, together with an Officers’ Certificate stating the aggregate principal amount of Notes being purchased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upon receipt of a Company Order and mail (or cause to be transferred by book-entry) to each Holder a new Note equal in principal amount to any unpurchased portion of any Notes surrendered; </w:t>
      </w:r>
      <w:r>
        <w:rPr>
          <w:rFonts w:ascii="Times New Roman" w:hAnsi="Times New Roman"/>
          <w:i/>
          <w:sz w:val="20"/>
        </w:rPr>
        <w:t>provided</w:t>
      </w:r>
      <w:r>
        <w:rPr>
          <w:rFonts w:ascii="Times New Roman" w:hAnsi="Times New Roman"/>
          <w:sz w:val="20"/>
        </w:rPr>
        <w:t xml:space="preserve">, that each new Note will be in a minimum principal amount of $2,000 or an integral multiple of $1,000 in excess thereof. </w:t>
      </w:r>
    </w:p>
    <w:p>
      <w:pPr>
        <w:pStyle w:val="TextBody"/>
        <w:bidi w:val="0"/>
        <w:spacing w:before="120" w:after="0"/>
        <w:jc w:val="left"/>
        <w:rPr>
          <w:rFonts w:ascii="Times New Roman" w:hAnsi="Times New Roman"/>
          <w:sz w:val="20"/>
        </w:rPr>
      </w:pPr>
      <w:r>
        <w:rPr>
          <w:rFonts w:ascii="Times New Roman" w:hAnsi="Times New Roman"/>
          <w:sz w:val="20"/>
        </w:rPr>
        <w:t xml:space="preserve">If any Repayment Date upon a Change of Control Repurchase Event falls on a day that is not a Business Day, then the required payment will be made on the next succeeding Business Day and no additional interest will accrue as a result of such delayed payment.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CONVEYANCE OR TRANSFER </w:t>
      </w:r>
    </w:p>
    <w:p>
      <w:pPr>
        <w:pStyle w:val="TextBody"/>
        <w:bidi w:val="0"/>
        <w:spacing w:before="240" w:after="0"/>
        <w:jc w:val="left"/>
        <w:rPr>
          <w:rFonts w:ascii="Times New Roman" w:hAnsi="Times New Roman"/>
          <w:sz w:val="20"/>
        </w:rPr>
      </w:pPr>
      <w:r>
        <w:rPr>
          <w:rFonts w:ascii="Times New Roman" w:hAnsi="Times New Roman"/>
          <w:sz w:val="20"/>
          <w:u w:val="single"/>
        </w:rPr>
        <w:t>Section 8.01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801 of the Base Indenture shall be amended by replacing Section 801 in its entirety with the following: </w:t>
      </w:r>
    </w:p>
    <w:p>
      <w:pPr>
        <w:pStyle w:val="TextBody"/>
        <w:bidi w:val="0"/>
        <w:spacing w:before="120" w:after="0"/>
        <w:jc w:val="left"/>
        <w:rPr/>
      </w:pPr>
      <w:r>
        <w:rPr/>
        <w:t>“</w:t>
      </w:r>
      <w:r>
        <w:rPr>
          <w:rFonts w:ascii="Times New Roman" w:hAnsi="Times New Roman"/>
          <w:b/>
          <w:sz w:val="20"/>
        </w:rPr>
        <w:t>Section 801. Company May Consolidate, Etc., Only on Certain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Subsidiaries shall not be deemed to be any such sale, transfer, lease, conveyance or disposition; and provided further that this Section 801 shall not apply to any sale, transfer, lease, conveyance, or other disposition of all or substantially all of the Company’s property to a wholly owned Subsidiary) in one transaction or series of related transactions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be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Outstanding Securities, and the due and punctual performance and observance of all the covenants and conditions of this Indenture to be performed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 immediately before and immediately after giving effect to such transaction or series of related transactions, no Default or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(4) 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 </w:t>
      </w:r>
    </w:p>
    <w:p>
      <w:pPr>
        <w:pStyle w:val="TextBody"/>
        <w:bidi w:val="0"/>
        <w:spacing w:before="240" w:after="0"/>
        <w:jc w:val="left"/>
        <w:rPr>
          <w:rFonts w:ascii="Times New Roman" w:hAnsi="Times New Roman"/>
          <w:sz w:val="20"/>
        </w:rPr>
      </w:pPr>
      <w:r>
        <w:rPr>
          <w:rFonts w:ascii="Times New Roman" w:hAnsi="Times New Roman"/>
          <w:sz w:val="20"/>
          <w:u w:val="single"/>
        </w:rPr>
        <w:t>Section 8.02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802 of the Base Indenture shall be amended by replacing Section 802 in its entirety with the following: </w:t>
      </w:r>
    </w:p>
    <w:p>
      <w:pPr>
        <w:pStyle w:val="TextBody"/>
        <w:bidi w:val="0"/>
        <w:spacing w:before="120" w:after="0"/>
        <w:jc w:val="left"/>
        <w:rPr/>
      </w:pPr>
      <w:r>
        <w:rPr/>
        <w:t>“</w:t>
      </w:r>
      <w:r>
        <w:rPr>
          <w:rFonts w:ascii="Times New Roman" w:hAnsi="Times New Roman"/>
          <w:b/>
          <w:sz w:val="20"/>
        </w:rPr>
        <w:t>Section 802. Successor Person Substituted.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Upon any consolidation or merger, or any conveyance or transfer of the properties and assets of the Company substantially as an entirety in accordance with Section 801, the successor Person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coupons and may be dissolved and liquidated.”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u w:val="single"/>
        </w:rPr>
        <w:t>Section 9.01</w:t>
      </w:r>
      <w:r>
        <w:rPr>
          <w:rFonts w:ascii="Times New Roman" w:hAnsi="Times New Roman"/>
          <w:sz w:val="20"/>
        </w:rPr>
        <w:t xml:space="preserve"> In the event of any conflict between the terms relating to redemption set forth in </w:t>
      </w:r>
      <w:r>
        <w:rPr>
          <w:rFonts w:ascii="Times New Roman" w:hAnsi="Times New Roman"/>
          <w:sz w:val="20"/>
          <w:u w:val="single"/>
        </w:rPr>
        <w:t>Section 1.01(h)</w:t>
      </w:r>
      <w:r>
        <w:rPr>
          <w:rFonts w:ascii="Times New Roman" w:hAnsi="Times New Roman"/>
          <w:sz w:val="20"/>
        </w:rPr>
        <w:t xml:space="preserve"> of this Second Supplemental Indenture and Article 11 of the Base Indenture, the terms set forth in this Second Supplemental Indenture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1103 of the Base Indenture shall be amended by replacing Section 1103 in its entirety with the following: </w:t>
      </w:r>
    </w:p>
    <w:p>
      <w:pPr>
        <w:pStyle w:val="TextBody"/>
        <w:bidi w:val="0"/>
        <w:spacing w:before="12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1103. Selection by Trustee of Securities to be Redeemed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(i) on a </w:t>
      </w:r>
      <w:r>
        <w:rPr>
          <w:rFonts w:ascii="Times New Roman" w:hAnsi="Times New Roman"/>
          <w:i/>
          <w:sz w:val="20"/>
        </w:rPr>
        <w:t>pro rata</w:t>
      </w:r>
      <w:r>
        <w:rPr>
          <w:rFonts w:ascii="Times New Roman" w:hAnsi="Times New Roman"/>
          <w:sz w:val="20"/>
        </w:rPr>
        <w:t xml:space="preserve"> basis to the extent practicable or (ii) to the extent that selection on a </w:t>
      </w:r>
      <w:r>
        <w:rPr>
          <w:rFonts w:ascii="Times New Roman" w:hAnsi="Times New Roman"/>
          <w:i/>
          <w:sz w:val="20"/>
        </w:rPr>
        <w:t>pro rata</w:t>
      </w:r>
      <w:r>
        <w:rPr>
          <w:rFonts w:ascii="Times New Roman" w:hAnsi="Times New Roman"/>
          <w:sz w:val="20"/>
        </w:rPr>
        <w:t xml:space="preserve"> basis is not practicable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Times New Roman" w:hAnsi="Times New Roman"/>
          <w:i/>
          <w:sz w:val="20"/>
        </w:rPr>
        <w:t>provided</w:t>
      </w:r>
      <w:r>
        <w:rPr>
          <w:rFonts w:ascii="Times New Roman" w:hAnsi="Times New Roman"/>
          <w:sz w:val="20"/>
        </w:rPr>
        <w:t xml:space="preserve">, that such method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The Trustee shall promptly notify the Company and the Security Registrar (if other than itself) in writing of the Securities selected for redemption and, in the case of any Securities selected for partial redemption, the principal amount thereof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sz w:val="20"/>
          <w:u w:val="single"/>
        </w:rPr>
        <w:t>Section 10.01</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1404 of the Base Indenture shall be amended by replacing clause (a) thereof in its entirety with the following: </w:t>
      </w:r>
    </w:p>
    <w:p>
      <w:pPr>
        <w:pStyle w:val="TextBody"/>
        <w:bidi w:val="0"/>
        <w:spacing w:before="120" w:after="0"/>
        <w:jc w:val="left"/>
        <w:rPr/>
      </w:pPr>
      <w:r>
        <w:rPr/>
        <w:t>“</w:t>
      </w:r>
      <w:r>
        <w:rPr>
          <w:rFonts w:ascii="Times New Roman" w:hAnsi="Times New Roman"/>
          <w:sz w:val="20"/>
        </w:rPr>
        <w:t xml:space="preserve">(a)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and any coupons appertaining thereto, (1) an amount (in such Currency in which such Securities and any coupons appertaining thereto are then specified as payable at Stated Maturity) or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Government Obligations applicable to such Securities and coupons appertaining thereto determined on the basis of the Currency in which such Securities and coupons appertaining thereto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and any coupons appertaining thereto, money in an amount, or (3)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 </w:t>
      </w:r>
    </w:p>
    <w:p>
      <w:pPr>
        <w:pStyle w:val="TextBody"/>
        <w:bidi w:val="0"/>
        <w:spacing w:before="240" w:after="0"/>
        <w:jc w:val="left"/>
        <w:rPr>
          <w:rFonts w:ascii="Times New Roman" w:hAnsi="Times New Roman"/>
          <w:sz w:val="20"/>
        </w:rPr>
      </w:pPr>
      <w:r>
        <w:rPr>
          <w:rFonts w:ascii="Times New Roman" w:hAnsi="Times New Roman"/>
          <w:sz w:val="20"/>
          <w:u w:val="single"/>
        </w:rPr>
        <w:t>Section 10.02</w:t>
      </w:r>
      <w:r>
        <w:rPr>
          <w:rFonts w:ascii="Times New Roman" w:hAnsi="Times New Roman"/>
          <w:sz w:val="20"/>
        </w:rPr>
        <w:t xml:space="preserve"> Except as may be provided in a Future Supplemental Indenture, for the benefit of the Holders of the Notes but no other series of Securities under the Indenture, whether now or hereafter issued and Outstanding, Section 1405 of the Base Indenture shall be amended by replacing the final paragraph thereof in its entirety with the following: </w:t>
      </w:r>
    </w:p>
    <w:p>
      <w:pPr>
        <w:pStyle w:val="TextBody"/>
        <w:bidi w:val="0"/>
        <w:spacing w:before="120" w:after="0"/>
        <w:jc w:val="left"/>
        <w:rPr/>
      </w:pPr>
      <w:r>
        <w:rPr/>
        <w:t>“</w:t>
      </w:r>
      <w:r>
        <w:rPr>
          <w:rFonts w:ascii="Times New Roman" w:hAnsi="Times New Roman"/>
          <w:sz w:val="20"/>
        </w:rPr>
        <w:t xml:space="preserve">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u w:val="single"/>
        </w:rPr>
        <w:t>Section 11.01</w:t>
      </w:r>
      <w:r>
        <w:rPr>
          <w:rFonts w:ascii="Times New Roman" w:hAnsi="Times New Roman"/>
          <w:sz w:val="20"/>
        </w:rPr>
        <w:t xml:space="preserve"> This Second Supplemental Indenture and the Notes shall be governed by and construed in accordance with the laws of the State of New York, without regard to principles of conflicts of laws that would cause the application of laws of another jurisdiction. This Second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 </w:t>
      </w:r>
    </w:p>
    <w:p>
      <w:pPr>
        <w:pStyle w:val="TextBody"/>
        <w:bidi w:val="0"/>
        <w:spacing w:before="240" w:after="0"/>
        <w:jc w:val="left"/>
        <w:rPr>
          <w:rFonts w:ascii="Times New Roman" w:hAnsi="Times New Roman"/>
          <w:sz w:val="20"/>
        </w:rPr>
      </w:pPr>
      <w:r>
        <w:rPr>
          <w:rFonts w:ascii="Times New Roman" w:hAnsi="Times New Roman"/>
          <w:sz w:val="20"/>
          <w:u w:val="single"/>
        </w:rPr>
        <w:t>Section 11.02</w:t>
      </w:r>
      <w:r>
        <w:rPr>
          <w:rFonts w:ascii="Times New Roman" w:hAnsi="Times New Roman"/>
          <w:sz w:val="20"/>
        </w:rPr>
        <w:t xml:space="preserve"> In case any provision in this Second Supplemental Indenture or in the Notes shall be invalid, illegal or unenforceable, the validity, legality and enforceability of the remaining provisions shall not in any way be affected or impaired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11.03</w:t>
      </w:r>
      <w:r>
        <w:rPr>
          <w:rFonts w:ascii="Times New Roman" w:hAnsi="Times New Roman"/>
          <w:sz w:val="20"/>
        </w:rPr>
        <w:t xml:space="preserve"> This Second Supplemental Indenture may be executed in any number of counterparts, each of which will be an original, but such counterparts will together constitute but one and the same Second Supplemental Indenture. The exchange of copies of this Second Supplemental Indenture and of signature pages by facsimile, .pdf transmission, email or other electronic means shall constitute effective execution and delivery of this Second Supplemental Indenture for all purposes. Signatures of the parties hereto transmitted by facsimile, .pdf transmission, email or other electronic means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u w:val="single"/>
        </w:rPr>
        <w:t>Section 11.04</w:t>
      </w:r>
      <w:r>
        <w:rPr>
          <w:rFonts w:ascii="Times New Roman" w:hAnsi="Times New Roman"/>
          <w:sz w:val="20"/>
        </w:rPr>
        <w:t xml:space="preserve"> The Base Indenture, as supplemented and amended by this Second Supplemental Indenture, is in all respects ratified and confirmed, and the Base Indenture and this Second Supplemental Indenture shall be read, taken and construed as one and the same instrument with respect to the Notes. All provisions included in this Second Supplemental Indenture supersede any conflicting provisions included in the Base Indenture with respect to the Notes, unless not permitted by law. The Trustee accepts the trusts created by the Indenture, as supplemented by this Second Supplemental Indenture, and agrees to perform the same upon the terms and conditions of the Indenture, as supplemented by this Second Supplemental Indenture. All of the provisions contained in the Base Indenture in respect of the rights, privileges, immunities, powers, and duties of the Trustee shall be applicable in respect of this Second Supplemental Indenture as fully and with like force and effect as though fully set forth in full herein. </w:t>
      </w:r>
    </w:p>
    <w:p>
      <w:pPr>
        <w:pStyle w:val="TextBody"/>
        <w:bidi w:val="0"/>
        <w:spacing w:before="240" w:after="0"/>
        <w:jc w:val="left"/>
        <w:rPr>
          <w:rFonts w:ascii="Times New Roman" w:hAnsi="Times New Roman"/>
          <w:sz w:val="20"/>
        </w:rPr>
      </w:pPr>
      <w:r>
        <w:rPr>
          <w:rFonts w:ascii="Times New Roman" w:hAnsi="Times New Roman"/>
          <w:sz w:val="20"/>
          <w:u w:val="single"/>
        </w:rPr>
        <w:t>Section 11.05</w:t>
      </w:r>
      <w:r>
        <w:rPr>
          <w:rFonts w:ascii="Times New Roman" w:hAnsi="Times New Roman"/>
          <w:sz w:val="20"/>
        </w:rPr>
        <w:t xml:space="preserve"> The provisions of this Second Supplemental Indenture shall become effective as of the date hereof. </w:t>
      </w:r>
    </w:p>
    <w:p>
      <w:pPr>
        <w:pStyle w:val="TextBody"/>
        <w:bidi w:val="0"/>
        <w:spacing w:before="240" w:after="0"/>
        <w:jc w:val="left"/>
        <w:rPr>
          <w:rFonts w:ascii="Times New Roman" w:hAnsi="Times New Roman"/>
          <w:sz w:val="20"/>
        </w:rPr>
      </w:pPr>
      <w:r>
        <w:rPr>
          <w:rFonts w:ascii="Times New Roman" w:hAnsi="Times New Roman"/>
          <w:sz w:val="20"/>
          <w:u w:val="single"/>
        </w:rPr>
        <w:t>Section 11.06</w:t>
      </w:r>
      <w:r>
        <w:rPr>
          <w:rFonts w:ascii="Times New Roman" w:hAnsi="Times New Roman"/>
          <w:sz w:val="20"/>
        </w:rPr>
        <w:t xml:space="preserve"> No past, present or future director, officer, employee, incorporator, or stockholder of the Company shall have any liability for any obligations of the Company under the Indenture or the Notes or for any claim based on, in respect of, or by reason of, such obligations or their creation. By accepting any Note, each Holder shall have been deemed to waive and release all such liability, and such waiver and release are part of the consideration for issuance of the Notes. </w:t>
      </w:r>
    </w:p>
    <w:p>
      <w:pPr>
        <w:pStyle w:val="TextBody"/>
        <w:bidi w:val="0"/>
        <w:spacing w:before="240" w:after="0"/>
        <w:jc w:val="left"/>
        <w:rPr>
          <w:rFonts w:ascii="Times New Roman" w:hAnsi="Times New Roman"/>
          <w:sz w:val="20"/>
        </w:rPr>
      </w:pPr>
      <w:r>
        <w:rPr>
          <w:rFonts w:ascii="Times New Roman" w:hAnsi="Times New Roman"/>
          <w:sz w:val="20"/>
          <w:u w:val="single"/>
        </w:rPr>
        <w:t>Section 11.07</w:t>
      </w:r>
      <w:r>
        <w:rPr>
          <w:rFonts w:ascii="Times New Roman" w:hAnsi="Times New Roman"/>
          <w:sz w:val="20"/>
        </w:rPr>
        <w:t xml:space="preserve"> Notwithstanding anything else to the contrary herein, the terms and provisions of this Second Supplemental Indenture shall apply only to the Notes and shall not apply to any other series of Securities under the Indenture and this Second Supplemental Indenture shall not and does not otherwise affect, modify, alter, supplement or change the terms and provisions of any other series of Securities under the Indenture, whether now or hereafter issued and Outstanding. </w:t>
      </w:r>
    </w:p>
    <w:p>
      <w:pPr>
        <w:pStyle w:val="TextBody"/>
        <w:bidi w:val="0"/>
        <w:spacing w:before="240" w:after="0"/>
        <w:jc w:val="left"/>
        <w:rPr>
          <w:rFonts w:ascii="Times New Roman" w:hAnsi="Times New Roman"/>
          <w:sz w:val="20"/>
        </w:rPr>
      </w:pPr>
      <w:r>
        <w:rPr>
          <w:rFonts w:ascii="Times New Roman" w:hAnsi="Times New Roman"/>
          <w:sz w:val="20"/>
          <w:u w:val="single"/>
        </w:rPr>
        <w:t>Section 11.08</w:t>
      </w:r>
      <w:r>
        <w:rPr>
          <w:rFonts w:ascii="Times New Roman" w:hAnsi="Times New Roman"/>
          <w:sz w:val="20"/>
        </w:rPr>
        <w:t xml:space="preserve"> The recitals contained herein and in the Notes, except the Trustee’s certificate of authentication, shall be taken as the statements of the Company, and the Trustee assumes no responsibility for their correctness. The Trustee makes no representations as to the validity or sufficiency of this Second Supplemental Indenture, the Notes or any Additional Notes, except that the Trustee represents that it is duly authorized to execute and deliver this Second Supplemental Indenture, authenticate the Notes and any Additional Notes and perform its obligations hereunder. The Trustee shall not be accountable for the use or application by the Company of the Notes or any Additional Notes or the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Second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FLOATING</w:t>
            </w:r>
          </w:p>
        </w:tc>
      </w:tr>
      <w:tr>
        <w:trPr/>
        <w:tc>
          <w:tcPr>
            <w:tcW w:w="4082" w:type="dxa"/>
            <w:gridSpan w:val="3"/>
            <w:tcBorders/>
          </w:tcPr>
          <w:p>
            <w:pPr>
              <w:pStyle w:val="TableContents"/>
              <w:bidi w:val="0"/>
              <w:spacing w:before="0" w:after="283"/>
              <w:jc w:val="left"/>
              <w:rPr/>
            </w:pPr>
            <w:r>
              <w:rPr/>
              <w:t>RATE CAPITAL LTD.</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4082" w:type="dxa"/>
            <w:gridSpan w:val="3"/>
            <w:tcBorders/>
            <w:vAlign w:val="bottom"/>
          </w:tcPr>
          <w:p>
            <w:pPr>
              <w:pStyle w:val="TableContents"/>
              <w:bidi w:val="0"/>
              <w:spacing w:before="0" w:after="283"/>
              <w:jc w:val="left"/>
              <w:rPr/>
            </w:pPr>
            <w:r>
              <w:rPr/>
              <w:t>Name:  Arthur H. Penn</w:t>
            </w:r>
          </w:p>
        </w:tc>
      </w:tr>
      <w:tr>
        <w:trPr/>
        <w:tc>
          <w:tcPr>
            <w:tcW w:w="4082" w:type="dxa"/>
            <w:gridSpan w:val="3"/>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Second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Second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 LLC, as Trustee</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Paul H. Kim</w:t>
            </w:r>
          </w:p>
        </w:tc>
      </w:tr>
      <w:tr>
        <w:trPr/>
        <w:tc>
          <w:tcPr>
            <w:tcW w:w="4082" w:type="dxa"/>
            <w:gridSpan w:val="3"/>
            <w:tcBorders/>
            <w:vAlign w:val="bottom"/>
          </w:tcPr>
          <w:p>
            <w:pPr>
              <w:pStyle w:val="TableContents"/>
              <w:bidi w:val="0"/>
              <w:spacing w:before="0" w:after="283"/>
              <w:jc w:val="left"/>
              <w:rPr/>
            </w:pPr>
            <w:r>
              <w:rPr/>
              <w:t>Name: Paul H. Kim</w:t>
            </w:r>
          </w:p>
        </w:tc>
      </w:tr>
      <w:tr>
        <w:trPr/>
        <w:tc>
          <w:tcPr>
            <w:tcW w:w="4082" w:type="dxa"/>
            <w:gridSpan w:val="3"/>
            <w:tcBorders/>
            <w:vAlign w:val="bottom"/>
          </w:tcPr>
          <w:p>
            <w:pPr>
              <w:pStyle w:val="TableContents"/>
              <w:bidi w:val="0"/>
              <w:spacing w:before="0" w:after="283"/>
              <w:jc w:val="left"/>
              <w:rPr/>
            </w:pPr>
            <w:r>
              <w:rPr/>
              <w:t>Title: Assistant 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Second Supplemental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 Form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9"/>
        <w:gridCol w:w="124"/>
        <w:gridCol w:w="5012"/>
      </w:tblGrid>
      <w:tr>
        <w:trPr/>
        <w:tc>
          <w:tcPr>
            <w:tcW w:w="506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5012" w:type="dxa"/>
            <w:tcBorders/>
            <w:vAlign w:val="center"/>
          </w:tcPr>
          <w:p>
            <w:pPr>
              <w:pStyle w:val="TableContents"/>
              <w:bidi w:val="0"/>
              <w:spacing w:before="0" w:after="283"/>
              <w:jc w:val="left"/>
              <w:rPr>
                <w:sz w:val="4"/>
                <w:szCs w:val="4"/>
              </w:rPr>
            </w:pPr>
            <w:r>
              <w:rPr>
                <w:sz w:val="4"/>
                <w:szCs w:val="4"/>
              </w:rPr>
            </w:r>
          </w:p>
        </w:tc>
      </w:tr>
      <w:tr>
        <w:trPr/>
        <w:tc>
          <w:tcPr>
            <w:tcW w:w="5069" w:type="dxa"/>
            <w:tcBorders/>
          </w:tcPr>
          <w:p>
            <w:pPr>
              <w:pStyle w:val="TableContents"/>
              <w:bidi w:val="0"/>
              <w:spacing w:before="0" w:after="283"/>
              <w:jc w:val="left"/>
              <w:rPr/>
            </w:pPr>
            <w:r>
              <w:rPr/>
              <w:t>No.</w:t>
            </w:r>
          </w:p>
        </w:tc>
        <w:tc>
          <w:tcPr>
            <w:tcW w:w="124" w:type="dxa"/>
            <w:tcBorders/>
            <w:vAlign w:val="bottom"/>
          </w:tcPr>
          <w:p>
            <w:pPr>
              <w:pStyle w:val="TableContents"/>
              <w:bidi w:val="0"/>
              <w:spacing w:before="0" w:after="283"/>
              <w:jc w:val="left"/>
              <w:rPr/>
            </w:pPr>
            <w:r>
              <w:rPr/>
              <w:t>  </w:t>
            </w:r>
          </w:p>
        </w:tc>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Initially $</w:t>
            </w:r>
          </w:p>
        </w:tc>
      </w:tr>
      <w:tr>
        <w:trPr/>
        <w:tc>
          <w:tcPr>
            <w:tcW w:w="506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CUSIP No. 70806A AC0</w:t>
            </w:r>
          </w:p>
        </w:tc>
      </w:tr>
      <w:tr>
        <w:trPr>
          <w:trHeight w:val="240" w:hRule="atLeast"/>
        </w:trPr>
        <w:tc>
          <w:tcPr>
            <w:tcW w:w="5069" w:type="dxa"/>
            <w:tcBorders/>
            <w:vAlign w:val="center"/>
          </w:tcPr>
          <w:p>
            <w:pPr>
              <w:pStyle w:val="TableContents"/>
              <w:bidi w:val="0"/>
              <w:spacing w:before="0" w:after="283"/>
              <w:jc w:val="left"/>
              <w:rPr>
                <w:sz w:val="4"/>
                <w:szCs w:val="4"/>
              </w:rPr>
            </w:pPr>
            <w:r>
              <w:rPr>
                <w:sz w:val="4"/>
                <w:szCs w:val="4"/>
              </w:rPr>
            </w:r>
          </w:p>
        </w:tc>
        <w:tc>
          <w:tcPr>
            <w:tcW w:w="5136" w:type="dxa"/>
            <w:gridSpan w:val="2"/>
            <w:tcBorders/>
            <w:vAlign w:val="center"/>
          </w:tcPr>
          <w:p>
            <w:pPr>
              <w:pStyle w:val="TableContents"/>
              <w:bidi w:val="0"/>
              <w:spacing w:before="0" w:after="283"/>
              <w:jc w:val="left"/>
              <w:rPr>
                <w:sz w:val="4"/>
                <w:szCs w:val="4"/>
              </w:rPr>
            </w:pPr>
            <w:r>
              <w:rPr>
                <w:sz w:val="4"/>
                <w:szCs w:val="4"/>
              </w:rPr>
            </w:r>
          </w:p>
        </w:tc>
      </w:tr>
      <w:tr>
        <w:trPr/>
        <w:tc>
          <w:tcPr>
            <w:tcW w:w="5069"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ISIN No. US70806AAC09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6.75%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a corporation duly organized and existing under the laws of Maryland (herein called the “Company”, which term includes any successor Person under the Indenture hereinafter referred to), for value received, hereby promises to pay to Cede &amp; Co., or registered assigns, the principal sum of     (U.S. $      ), or such other principal sum as shall be set forth in the Schedule of Increases or Decreases attached hereto, on March 4, 2029, and to pay interest thereon from March 4, 2026 or from the most recent Interest Payment Date to which interest has been paid or duly provided for, semi-annually on March 4 and September 4 in each year, commencing September 4, 2026, at the rate of 6.75%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February 20 and August 20; </w:t>
      </w:r>
      <w:r>
        <w:rPr>
          <w:rFonts w:ascii="Times New Roman" w:hAnsi="Times New Roman"/>
          <w:i/>
          <w:sz w:val="20"/>
        </w:rPr>
        <w:t>provided</w:t>
      </w:r>
      <w:r>
        <w:rPr>
          <w:rFonts w:ascii="Times New Roman" w:hAnsi="Times New Roman"/>
          <w:sz w:val="20"/>
        </w:rPr>
        <w:t xml:space="preserve">, that if a Regular Record Date is not a Business Day, then such Regular Record Date will be the next Business Day. Any such interest not so punctually paid or duly provided for will forthwith cease to be payable to the Holder on such Regular Record Date and may either be paid to the Person in whose name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this Security is registered to Cede &amp; Co., such payment will be made by wire transfer in accordance with the procedures established by the Depository Trust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p>
    <w:p>
      <w:pPr>
        <w:pStyle w:val="TextBody"/>
        <w:bidi w:val="0"/>
        <w:spacing w:before="24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or electronic signature, this Security shall not be entitled to any benefit under the Indenture or be valid or obligatory for any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70"/>
        <w:gridCol w:w="199"/>
        <w:gridCol w:w="2813"/>
      </w:tblGrid>
      <w:tr>
        <w:trPr/>
        <w:tc>
          <w:tcPr>
            <w:tcW w:w="107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FLOATING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RATE CAPITAL LTD.</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3012"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tcPr>
          <w:p>
            <w:pPr>
              <w:pStyle w:val="TableContents"/>
              <w:bidi w:val="0"/>
              <w:spacing w:before="0" w:after="283"/>
              <w:jc w:val="left"/>
              <w:rPr/>
            </w:pPr>
            <w:r>
              <w:rPr/>
              <w:t>By:</w:t>
            </w:r>
          </w:p>
        </w:tc>
        <w:tc>
          <w:tcPr>
            <w:tcW w:w="199" w:type="dxa"/>
            <w:tcBorders>
              <w:bottom w:val="single" w:sz="2" w:space="0" w:color="000000"/>
            </w:tcBorders>
            <w:tcMar>
              <w:bottom w:w="28" w:type="dxa"/>
            </w:tcMar>
            <w:vAlign w:val="bottom"/>
          </w:tcPr>
          <w:p>
            <w:pPr>
              <w:pStyle w:val="TableContents"/>
              <w:bidi w:val="0"/>
              <w:spacing w:before="0" w:after="283"/>
              <w:jc w:val="left"/>
              <w:rPr/>
            </w:pPr>
            <w:r>
              <w:rPr/>
              <w:t> </w:t>
            </w:r>
          </w:p>
        </w:tc>
        <w:tc>
          <w:tcPr>
            <w:tcW w:w="2813"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vAlign w:val="bottom"/>
          </w:tcPr>
          <w:p>
            <w:pPr>
              <w:pStyle w:val="TableContents"/>
              <w:bidi w:val="0"/>
              <w:spacing w:before="0" w:after="283"/>
              <w:jc w:val="left"/>
              <w:rPr/>
            </w:pPr>
            <w:r>
              <w:rPr/>
              <w:t>Name:  Arthur H. Penn</w:t>
            </w:r>
          </w:p>
        </w:tc>
      </w:tr>
      <w:tr>
        <w:trPr/>
        <w:tc>
          <w:tcPr>
            <w:tcW w:w="4082" w:type="dxa"/>
            <w:gridSpan w:val="3"/>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4"/>
        <w:gridCol w:w="144"/>
        <w:gridCol w:w="3024"/>
      </w:tblGrid>
      <w:tr>
        <w:trPr/>
        <w:tc>
          <w:tcPr>
            <w:tcW w:w="914"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EQUINITI TRUST COMPANY, LLC, as Trustee</w:t>
            </w:r>
          </w:p>
        </w:tc>
      </w:tr>
      <w:tr>
        <w:trPr>
          <w:trHeight w:val="240" w:hRule="atLeast"/>
        </w:trPr>
        <w:tc>
          <w:tcPr>
            <w:tcW w:w="914" w:type="dxa"/>
            <w:tcBorders/>
            <w:vAlign w:val="center"/>
          </w:tcPr>
          <w:p>
            <w:pPr>
              <w:pStyle w:val="TableContents"/>
              <w:bidi w:val="0"/>
              <w:spacing w:before="0" w:after="283"/>
              <w:jc w:val="left"/>
              <w:rPr>
                <w:sz w:val="4"/>
                <w:szCs w:val="4"/>
              </w:rPr>
            </w:pPr>
            <w:r>
              <w:rPr>
                <w:sz w:val="4"/>
                <w:szCs w:val="4"/>
              </w:rPr>
            </w:r>
          </w:p>
        </w:tc>
        <w:tc>
          <w:tcPr>
            <w:tcW w:w="3168" w:type="dxa"/>
            <w:gridSpan w:val="2"/>
            <w:tcBorders/>
            <w:vAlign w:val="center"/>
          </w:tcPr>
          <w:p>
            <w:pPr>
              <w:pStyle w:val="TableContents"/>
              <w:bidi w:val="0"/>
              <w:spacing w:before="0" w:after="283"/>
              <w:jc w:val="left"/>
              <w:rPr>
                <w:sz w:val="4"/>
                <w:szCs w:val="4"/>
              </w:rPr>
            </w:pPr>
            <w:r>
              <w:rPr>
                <w:sz w:val="4"/>
                <w:szCs w:val="4"/>
              </w:rPr>
            </w:r>
          </w:p>
        </w:tc>
      </w:tr>
      <w:tr>
        <w:trPr/>
        <w:tc>
          <w:tcPr>
            <w:tcW w:w="914" w:type="dxa"/>
            <w:tcBorders/>
          </w:tcPr>
          <w:p>
            <w:pPr>
              <w:pStyle w:val="TableContents"/>
              <w:bidi w:val="0"/>
              <w:spacing w:before="0" w:after="283"/>
              <w:jc w:val="left"/>
              <w:rPr/>
            </w:pPr>
            <w:r>
              <w:rPr/>
              <w:t>By:</w:t>
            </w:r>
          </w:p>
        </w:tc>
        <w:tc>
          <w:tcPr>
            <w:tcW w:w="144" w:type="dxa"/>
            <w:tcBorders>
              <w:bottom w:val="single" w:sz="2" w:space="0" w:color="000000"/>
            </w:tcBorders>
            <w:tcMar>
              <w:bottom w:w="28" w:type="dxa"/>
            </w:tcMar>
            <w:vAlign w:val="bottom"/>
          </w:tcPr>
          <w:p>
            <w:pPr>
              <w:pStyle w:val="TableContents"/>
              <w:bidi w:val="0"/>
              <w:spacing w:before="0" w:after="283"/>
              <w:jc w:val="left"/>
              <w:rPr/>
            </w:pPr>
            <w:r>
              <w:rPr/>
              <w:t> </w:t>
            </w:r>
          </w:p>
        </w:tc>
        <w:tc>
          <w:tcPr>
            <w:tcW w:w="3024"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[BACK OF NOTE] </w:t>
      </w:r>
    </w:p>
    <w:p>
      <w:pPr>
        <w:pStyle w:val="TextBody"/>
        <w:bidi w:val="0"/>
        <w:spacing w:before="12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center"/>
        <w:rPr>
          <w:rFonts w:ascii="Times New Roman" w:hAnsi="Times New Roman"/>
          <w:sz w:val="20"/>
        </w:rPr>
      </w:pPr>
      <w:r>
        <w:rPr>
          <w:rFonts w:ascii="Times New Roman" w:hAnsi="Times New Roman"/>
          <w:sz w:val="20"/>
        </w:rPr>
        <w:t xml:space="preserve">6.75%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a duly authorized issue of securities of the Company (herein called the “Securities”), issued and to be issued in one or more series under an Indenture, dated as of March 23, 2021 (herein called the “Base Indenture”, which term shall have the meaning assigned to it in such instrument), between the Company and Equiniti Trust Company, LLC,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Second Supplemental Indenture, relating to the Securities, dated as of March 4, 2026, by and between the Company and the Trustee (herein called the “Second Supplemental Indenture”; and together with the Base Indenture, the “Indenture”). In the event of any conflict between the Base Indenture and the Second Supplemental Indenture, the Second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one of the series designated on the face hereof, initially limited in aggregate principal amount to $200,000,000. Under a Board Resolution, Officers’ Certificate pursuant to Board Resolutions or a Future Supplemental Indenture,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hAnsi="Times New Roman"/>
          <w:i/>
          <w:sz w:val="20"/>
        </w:rPr>
        <w:t>provided</w:t>
      </w:r>
      <w:r>
        <w:rPr>
          <w:rFonts w:ascii="Times New Roman" w:hAnsi="Times New Roman"/>
          <w:sz w:val="20"/>
        </w:rPr>
        <w:t xml:space="preserve">, that such Additional Securities must be part of the same issue as the Securities for U.S. federal income tax purposes if represented by the same CUSIP number as the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Prior to the Par Call Date, the Company may redeem the Securities of this series at the Company’s option, in whole or in part, at any time and from time to time, at a Redemption Price (expressed as a percentage of principal amount and rounded to three decimal places) equal to the greater of the following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50 basis points less (2)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plus, </w:t>
      </w:r>
      <w:r>
        <w:rPr>
          <w:rFonts w:ascii="Times New Roman" w:hAnsi="Times New Roman"/>
          <w:sz w:val="20"/>
        </w:rPr>
        <w:t xml:space="preserve">in either case,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or after the Par Call Date, the Company may redeem the Notes, in whole or in part, at any time and from time to time, at a Redemption Price equal to 100% of the principal amount of the Notes to be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Redemption Price in connection with the redemption of the Securities, on any Redemption Date, the following terms have the meanings set forth below: </w:t>
      </w:r>
    </w:p>
    <w:p>
      <w:pPr>
        <w:pStyle w:val="TextBody"/>
        <w:bidi w:val="0"/>
        <w:spacing w:before="120" w:after="0"/>
        <w:jc w:val="left"/>
        <w:rPr/>
      </w:pPr>
      <w:r>
        <w:rPr/>
        <w:t>“</w:t>
      </w:r>
      <w:r>
        <w:rPr>
          <w:rFonts w:ascii="Times New Roman" w:hAnsi="Times New Roman"/>
          <w:sz w:val="20"/>
        </w:rPr>
        <w:t xml:space="preserve">Treasury Rate” means, with respect to any Redemption Date,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chooses to redeem any of the Securities, the Company will deliver a notice of redemption to holders of the Securities not less than 30 nor more than 60 days before the Redemption Date. Any exercise of the Company’s option to redeem the Securities will be done in compliance with the Investment Company Act. If the Company is redeeming less than all of the Securities, the particular Security to be redeemed will be selected by the Trustee on a </w:t>
      </w:r>
      <w:r>
        <w:rPr>
          <w:rFonts w:ascii="Times New Roman" w:hAnsi="Times New Roman"/>
          <w:i/>
          <w:sz w:val="20"/>
        </w:rPr>
        <w:t>pro rata</w:t>
      </w:r>
      <w:r>
        <w:rPr>
          <w:rFonts w:ascii="Times New Roman" w:hAnsi="Times New Roman"/>
          <w:sz w:val="20"/>
        </w:rPr>
        <w:t xml:space="preserve"> basis to the extent practicable, or, if a </w:t>
      </w:r>
      <w:r>
        <w:rPr>
          <w:rFonts w:ascii="Times New Roman" w:hAnsi="Times New Roman"/>
          <w:i/>
          <w:sz w:val="20"/>
        </w:rPr>
        <w:t>pro rata</w:t>
      </w:r>
      <w:r>
        <w:rPr>
          <w:rFonts w:ascii="Times New Roman" w:hAnsi="Times New Roman"/>
          <w:sz w:val="20"/>
        </w:rPr>
        <w:t xml:space="preserve"> basis is not practicable for any reason, by lot or in such other manner as the Trustee deems fair and appropriate, and in any case in accordance with the applicable procedures of the Depositary and in accordance with the Investment Company Act as directed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partial redemption will reduce the portion of the principal amount of the Securities not redeemed to less than $2,000.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or portions of the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have the right to require the Company to repurchase their Securities upon the occurrence of a Change of Control Repurchase Event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security or indemnity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laws of the State of New York, without regard to principles of conflicts of laws that would cause the application of laws of another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1"/>
        <w:gridCol w:w="124"/>
        <w:gridCol w:w="4990"/>
      </w:tblGrid>
      <w:tr>
        <w:trPr/>
        <w:tc>
          <w:tcPr>
            <w:tcW w:w="509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90" w:type="dxa"/>
            <w:tcBorders/>
            <w:vAlign w:val="center"/>
          </w:tcPr>
          <w:p>
            <w:pPr>
              <w:pStyle w:val="TableContents"/>
              <w:bidi w:val="0"/>
              <w:spacing w:before="0" w:after="283"/>
              <w:jc w:val="left"/>
              <w:rPr>
                <w:sz w:val="4"/>
                <w:szCs w:val="4"/>
              </w:rPr>
            </w:pPr>
            <w:r>
              <w:rPr>
                <w:sz w:val="4"/>
                <w:szCs w:val="4"/>
              </w:rPr>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To assign this Note, fill in the form below:</w:t>
            </w:r>
          </w:p>
          <w:p>
            <w:pPr>
              <w:pStyle w:val="TableContents"/>
              <w:bidi w:val="0"/>
              <w:spacing w:before="0" w:after="0"/>
              <w:jc w:val="left"/>
              <w:rPr>
                <w:rFonts w:ascii="Times New Roman" w:hAnsi="Times New Roman"/>
                <w:sz w:val="20"/>
              </w:rPr>
            </w:pPr>
            <w:r>
              <w:rPr>
                <w:rFonts w:ascii="Times New Roman" w:hAnsi="Times New Roman"/>
                <w:sz w:val="20"/>
              </w:rPr>
              <w:t>(I) or (we) assign and transfer this</w:t>
            </w:r>
          </w:p>
          <w:p>
            <w:pPr>
              <w:pStyle w:val="TableContents"/>
              <w:bidi w:val="0"/>
              <w:spacing w:before="0" w:after="20"/>
              <w:jc w:val="left"/>
              <w:rPr>
                <w:rFonts w:ascii="Times New Roman" w:hAnsi="Times New Roman"/>
                <w:sz w:val="20"/>
              </w:rPr>
            </w:pPr>
            <w:r>
              <w:rPr>
                <w:rFonts w:ascii="Times New Roman" w:hAnsi="Times New Roman"/>
                <w:sz w:val="20"/>
              </w:rPr>
              <w:t>Note to:</w:t>
            </w:r>
          </w:p>
        </w:tc>
        <w:tc>
          <w:tcPr>
            <w:tcW w:w="124" w:type="dxa"/>
            <w:tcBorders>
              <w:bottom w:val="single" w:sz="2" w:space="0" w:color="000000"/>
            </w:tcBorders>
            <w:tcMar>
              <w:bottom w:w="28" w:type="dxa"/>
            </w:tcMar>
            <w:vAlign w:val="bottom"/>
          </w:tcPr>
          <w:p>
            <w:pPr>
              <w:pStyle w:val="TableContents"/>
              <w:bidi w:val="0"/>
              <w:spacing w:before="0" w:after="283"/>
              <w:jc w:val="left"/>
              <w:rPr/>
            </w:pPr>
            <w:r>
              <w:rPr/>
              <w:t>  </w:t>
            </w:r>
          </w:p>
        </w:tc>
        <w:tc>
          <w:tcPr>
            <w:tcW w:w="499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091"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4990" w:type="dxa"/>
            <w:tcBorders/>
            <w:vAlign w:val="bottom"/>
          </w:tcPr>
          <w:p>
            <w:pPr>
              <w:pStyle w:val="TableContents"/>
              <w:bidi w:val="0"/>
              <w:spacing w:before="0" w:after="283"/>
              <w:jc w:val="center"/>
              <w:rPr/>
            </w:pPr>
            <w:r>
              <w:rPr/>
              <w:t>(INSERT ASSIGNEE’S LEGAL NAME)</w:t>
            </w:r>
          </w:p>
        </w:tc>
      </w:tr>
    </w:tbl>
    <w:p>
      <w:pPr>
        <w:pStyle w:val="TextBody"/>
        <w:bidi w:val="0"/>
        <w:spacing w:before="24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24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1"/>
        <w:gridCol w:w="2552"/>
        <w:gridCol w:w="101"/>
        <w:gridCol w:w="2553"/>
        <w:gridCol w:w="101"/>
        <w:gridCol w:w="2450"/>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0"/>
              <w:jc w:val="left"/>
              <w:rPr>
                <w:rFonts w:ascii="Times New Roman" w:hAnsi="Times New Roman"/>
                <w:sz w:val="20"/>
              </w:rPr>
            </w:pPr>
            <w:r>
              <w:rPr>
                <w:rFonts w:ascii="Times New Roman" w:hAnsi="Times New Roman"/>
                <w:sz w:val="20"/>
              </w:rPr>
              <w:t>and irrevocably appoint</w:t>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45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102"/>
        <w:gridCol w:w="2551"/>
        <w:gridCol w:w="102"/>
        <w:gridCol w:w="5818"/>
      </w:tblGrid>
      <w:tr>
        <w:trPr/>
        <w:tc>
          <w:tcPr>
            <w:tcW w:w="163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818" w:type="dxa"/>
            <w:tcBorders/>
            <w:vAlign w:val="center"/>
          </w:tcPr>
          <w:p>
            <w:pPr>
              <w:pStyle w:val="TableContents"/>
              <w:bidi w:val="0"/>
              <w:spacing w:before="0" w:after="283"/>
              <w:jc w:val="left"/>
              <w:rPr>
                <w:sz w:val="4"/>
                <w:szCs w:val="4"/>
              </w:rPr>
            </w:pPr>
            <w:r>
              <w:rPr>
                <w:sz w:val="4"/>
                <w:szCs w:val="4"/>
              </w:rPr>
            </w:r>
          </w:p>
        </w:tc>
      </w:tr>
      <w:tr>
        <w:trPr/>
        <w:tc>
          <w:tcPr>
            <w:tcW w:w="1632"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Your</w:t>
            </w:r>
          </w:p>
          <w:p>
            <w:pPr>
              <w:pStyle w:val="TableContents"/>
              <w:bidi w:val="0"/>
              <w:spacing w:before="0" w:after="20"/>
              <w:jc w:val="left"/>
              <w:rPr>
                <w:rFonts w:ascii="Times New Roman" w:hAnsi="Times New Roman"/>
                <w:sz w:val="20"/>
              </w:rPr>
            </w:pPr>
            <w:r>
              <w:rPr>
                <w:rFonts w:ascii="Times New Roman" w:hAnsi="Times New Roman"/>
                <w:sz w:val="20"/>
              </w:rPr>
              <w:t>Signature: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81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632"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818" w:type="dxa"/>
            <w:tcBorders/>
            <w:vAlign w:val="bottom"/>
          </w:tcPr>
          <w:p>
            <w:pPr>
              <w:pStyle w:val="TableContents"/>
              <w:bidi w:val="0"/>
              <w:spacing w:before="0" w:after="283"/>
              <w:jc w:val="center"/>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Note purchased by the Company pursuant to Section 1301 of the Indenture, check the box below: </w:t>
      </w:r>
    </w:p>
    <w:p>
      <w:pPr>
        <w:pStyle w:val="TextBody"/>
        <w:bidi w:val="0"/>
        <w:spacing w:before="120" w:after="0"/>
        <w:jc w:val="left"/>
        <w:rPr/>
      </w:pPr>
      <w:r>
        <w:rPr/>
        <w:t>☐ </w:t>
      </w:r>
      <w:r>
        <w:rPr>
          <w:rFonts w:ascii="Times New Roman" w:hAnsi="Times New Roman"/>
          <w:sz w:val="20"/>
        </w:rPr>
        <w:t xml:space="preserve">Section 1301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the Note purchased by the Company pursuant to Section 1301 of the Indenture, state the amount you elect to have purchased: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7"/>
        <w:gridCol w:w="98"/>
        <w:gridCol w:w="2333"/>
        <w:gridCol w:w="120"/>
        <w:gridCol w:w="5717"/>
      </w:tblGrid>
      <w:tr>
        <w:trPr/>
        <w:tc>
          <w:tcPr>
            <w:tcW w:w="1937"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717" w:type="dxa"/>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333" w:type="dxa"/>
            <w:tcBorders/>
          </w:tcPr>
          <w:p>
            <w:pPr>
              <w:pStyle w:val="TableContents"/>
              <w:bidi w:val="0"/>
              <w:spacing w:before="0" w:after="0"/>
              <w:jc w:val="left"/>
              <w:rPr>
                <w:rFonts w:ascii="Times New Roman" w:hAnsi="Times New Roman"/>
                <w:sz w:val="20"/>
              </w:rPr>
            </w:pPr>
            <w:r>
              <w:rPr>
                <w:rFonts w:ascii="Times New Roman" w:hAnsi="Times New Roman"/>
                <w:sz w:val="20"/>
              </w:rPr>
              <w:t>Your</w:t>
            </w:r>
          </w:p>
          <w:p>
            <w:pPr>
              <w:pStyle w:val="TableContents"/>
              <w:bidi w:val="0"/>
              <w:spacing w:before="0" w:after="20"/>
              <w:jc w:val="left"/>
              <w:rPr>
                <w:rFonts w:ascii="Times New Roman" w:hAnsi="Times New Roman"/>
                <w:sz w:val="20"/>
              </w:rPr>
            </w:pPr>
            <w:r>
              <w:rPr>
                <w:rFonts w:ascii="Times New Roman" w:hAnsi="Times New Roman"/>
                <w:sz w:val="20"/>
              </w:rPr>
              <w:t>Signature: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571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937"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33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717" w:type="dxa"/>
            <w:tcBorders/>
            <w:vAlign w:val="bottom"/>
          </w:tcPr>
          <w:p>
            <w:pPr>
              <w:pStyle w:val="TableContents"/>
              <w:bidi w:val="0"/>
              <w:spacing w:before="0" w:after="283"/>
              <w:jc w:val="center"/>
              <w:rPr/>
            </w:pPr>
            <w:r>
              <w:rPr/>
              <w:t>(Sign exactly as your name appears on the face of this Note)</w:t>
            </w:r>
          </w:p>
        </w:tc>
      </w:tr>
      <w:tr>
        <w:trPr>
          <w:trHeight w:val="120" w:hRule="atLeast"/>
        </w:trPr>
        <w:tc>
          <w:tcPr>
            <w:tcW w:w="1937" w:type="dxa"/>
            <w:tcBorders/>
            <w:vAlign w:val="center"/>
          </w:tcPr>
          <w:p>
            <w:pPr>
              <w:pStyle w:val="TableContents"/>
              <w:bidi w:val="0"/>
              <w:spacing w:before="0" w:after="283"/>
              <w:jc w:val="left"/>
              <w:rPr>
                <w:sz w:val="4"/>
                <w:szCs w:val="4"/>
              </w:rPr>
            </w:pPr>
            <w:r>
              <w:rPr>
                <w:sz w:val="4"/>
                <w:szCs w:val="4"/>
              </w:rPr>
            </w:r>
          </w:p>
        </w:tc>
        <w:tc>
          <w:tcPr>
            <w:tcW w:w="2431" w:type="dxa"/>
            <w:gridSpan w:val="2"/>
            <w:tcBorders/>
            <w:vAlign w:val="center"/>
          </w:tcPr>
          <w:p>
            <w:pPr>
              <w:pStyle w:val="TableContents"/>
              <w:bidi w:val="0"/>
              <w:spacing w:before="0" w:after="283"/>
              <w:jc w:val="left"/>
              <w:rPr>
                <w:sz w:val="4"/>
                <w:szCs w:val="4"/>
              </w:rPr>
            </w:pPr>
            <w:r>
              <w:rPr>
                <w:sz w:val="4"/>
                <w:szCs w:val="4"/>
              </w:rPr>
            </w:r>
          </w:p>
        </w:tc>
        <w:tc>
          <w:tcPr>
            <w:tcW w:w="5837" w:type="dxa"/>
            <w:gridSpan w:val="2"/>
            <w:tcBorders/>
            <w:vAlign w:val="center"/>
          </w:tcPr>
          <w:p>
            <w:pPr>
              <w:pStyle w:val="TableContents"/>
              <w:bidi w:val="0"/>
              <w:spacing w:before="0" w:after="283"/>
              <w:jc w:val="left"/>
              <w:rPr>
                <w:sz w:val="4"/>
                <w:szCs w:val="4"/>
              </w:rPr>
            </w:pPr>
            <w:r>
              <w:rPr>
                <w:sz w:val="4"/>
                <w:szCs w:val="4"/>
              </w:rPr>
            </w:r>
          </w:p>
        </w:tc>
      </w:tr>
      <w:tr>
        <w:trPr/>
        <w:tc>
          <w:tcPr>
            <w:tcW w:w="1937"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2333" w:type="dxa"/>
            <w:tcBorders/>
          </w:tcPr>
          <w:p>
            <w:pPr>
              <w:pStyle w:val="TableContents"/>
              <w:bidi w:val="0"/>
              <w:spacing w:before="0" w:after="0"/>
              <w:jc w:val="left"/>
              <w:rPr>
                <w:rFonts w:ascii="Times New Roman" w:hAnsi="Times New Roman"/>
                <w:sz w:val="20"/>
              </w:rPr>
            </w:pPr>
            <w:r>
              <w:rPr>
                <w:rFonts w:ascii="Times New Roman" w:hAnsi="Times New Roman"/>
                <w:sz w:val="20"/>
              </w:rPr>
              <w:t>Tax Identification</w:t>
            </w:r>
          </w:p>
          <w:p>
            <w:pPr>
              <w:pStyle w:val="TableContents"/>
              <w:bidi w:val="0"/>
              <w:spacing w:before="0" w:after="20"/>
              <w:jc w:val="left"/>
              <w:rPr>
                <w:rFonts w:ascii="Times New Roman" w:hAnsi="Times New Roman"/>
                <w:sz w:val="20"/>
              </w:rPr>
            </w:pPr>
            <w:r>
              <w:rPr>
                <w:rFonts w:ascii="Times New Roman" w:hAnsi="Times New Roman"/>
                <w:sz w:val="20"/>
              </w:rPr>
              <w:t>No.:</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5717"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INCREASES AND DECREASES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     . The following increases and decreases to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04"/>
        <w:gridCol w:w="120"/>
        <w:gridCol w:w="2111"/>
        <w:gridCol w:w="120"/>
        <w:gridCol w:w="2090"/>
        <w:gridCol w:w="250"/>
        <w:gridCol w:w="1543"/>
        <w:gridCol w:w="120"/>
        <w:gridCol w:w="1547"/>
      </w:tblGrid>
      <w:tr>
        <w:trPr/>
        <w:tc>
          <w:tcPr>
            <w:tcW w:w="23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2304"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Date of Increase or</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Decrease</w:t>
            </w:r>
          </w:p>
        </w:tc>
        <w:tc>
          <w:tcPr>
            <w:tcW w:w="120" w:type="dxa"/>
            <w:tcBorders/>
            <w:vAlign w:val="bottom"/>
          </w:tcPr>
          <w:p>
            <w:pPr>
              <w:pStyle w:val="TableContents"/>
              <w:bidi w:val="0"/>
              <w:spacing w:before="0" w:after="283"/>
              <w:jc w:val="left"/>
              <w:rPr/>
            </w:pPr>
            <w:r>
              <w:rPr/>
              <w:t>  </w:t>
            </w:r>
          </w:p>
        </w:tc>
        <w:tc>
          <w:tcPr>
            <w:tcW w:w="2111"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 Decrease in</w:t>
            </w:r>
          </w:p>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 this Global Note</w:t>
            </w:r>
          </w:p>
        </w:tc>
        <w:tc>
          <w:tcPr>
            <w:tcW w:w="120" w:type="dxa"/>
            <w:tcBorders/>
            <w:vAlign w:val="bottom"/>
          </w:tcPr>
          <w:p>
            <w:pPr>
              <w:pStyle w:val="TableContents"/>
              <w:bidi w:val="0"/>
              <w:spacing w:before="0" w:after="283"/>
              <w:jc w:val="left"/>
              <w:rPr/>
            </w:pPr>
            <w:r>
              <w:rPr/>
              <w:t>  </w:t>
            </w:r>
          </w:p>
        </w:tc>
        <w:tc>
          <w:tcPr>
            <w:tcW w:w="209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 Increase in</w:t>
            </w:r>
          </w:p>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 this Global Note</w:t>
            </w:r>
          </w:p>
        </w:tc>
        <w:tc>
          <w:tcPr>
            <w:tcW w:w="250" w:type="dxa"/>
            <w:tcBorders/>
            <w:vAlign w:val="bottom"/>
          </w:tcPr>
          <w:p>
            <w:pPr>
              <w:pStyle w:val="TableContents"/>
              <w:bidi w:val="0"/>
              <w:spacing w:before="0" w:after="283"/>
              <w:jc w:val="left"/>
              <w:rPr/>
            </w:pPr>
            <w:r>
              <w:rPr/>
              <w:t>  </w:t>
            </w:r>
          </w:p>
        </w:tc>
        <w:tc>
          <w:tcPr>
            <w:tcW w:w="154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 at</w:t>
            </w:r>
          </w:p>
          <w:p>
            <w:pPr>
              <w:pStyle w:val="TableContents"/>
              <w:bidi w:val="0"/>
              <w:spacing w:before="0" w:after="0"/>
              <w:jc w:val="center"/>
              <w:rPr>
                <w:rFonts w:ascii="Times New Roman" w:hAnsi="Times New Roman"/>
                <w:sz w:val="16"/>
              </w:rPr>
            </w:pPr>
            <w:r>
              <w:rPr>
                <w:rFonts w:ascii="Times New Roman" w:hAnsi="Times New Roman"/>
                <w:sz w:val="16"/>
              </w:rPr>
              <w:t>Maturity</w:t>
            </w:r>
          </w:p>
          <w:p>
            <w:pPr>
              <w:pStyle w:val="TableContents"/>
              <w:bidi w:val="0"/>
              <w:spacing w:before="0" w:after="0"/>
              <w:jc w:val="center"/>
              <w:rPr>
                <w:rFonts w:ascii="Times New Roman" w:hAnsi="Times New Roman"/>
                <w:sz w:val="16"/>
              </w:rPr>
            </w:pPr>
            <w:r>
              <w:rPr>
                <w:rFonts w:ascii="Times New Roman" w:hAnsi="Times New Roman"/>
                <w:sz w:val="16"/>
              </w:rPr>
              <w:t>of 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decrease (or increase)</w:t>
            </w:r>
          </w:p>
        </w:tc>
        <w:tc>
          <w:tcPr>
            <w:tcW w:w="120"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 Signatory</w:t>
            </w:r>
          </w:p>
          <w:p>
            <w:pPr>
              <w:pStyle w:val="TableContents"/>
              <w:bidi w:val="0"/>
              <w:spacing w:before="0" w:after="0"/>
              <w:jc w:val="center"/>
              <w:rPr>
                <w:rFonts w:ascii="Times New Roman" w:hAnsi="Times New Roman"/>
                <w:sz w:val="16"/>
              </w:rPr>
            </w:pPr>
            <w:r>
              <w:rPr>
                <w:rFonts w:ascii="Times New Roman" w:hAnsi="Times New Roman"/>
                <w:sz w:val="16"/>
              </w:rPr>
              <w:t>of Trustee or DTC</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Custodian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p>
    <w:p>
      <w:pPr>
        <w:pStyle w:val="TextBody"/>
        <w:bidi w:val="0"/>
        <w:spacing w:before="0" w:after="0"/>
        <w:jc w:val="right"/>
        <w:rPr>
          <w:rFonts w:ascii="Times New Roman" w:hAnsi="Times New Roman"/>
          <w:b/>
          <w:sz w:val="20"/>
        </w:rPr>
      </w:pPr>
      <w:bookmarkStart w:id="4" w:name="d254628dex51.htm"/>
      <w:bookmarkStart w:id="5" w:name="ksd254628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7"/>
        <w:gridCol w:w="109"/>
        <w:gridCol w:w="2792"/>
        <w:gridCol w:w="109"/>
        <w:gridCol w:w="1254"/>
        <w:gridCol w:w="122"/>
        <w:gridCol w:w="2832"/>
      </w:tblGrid>
      <w:tr>
        <w:trPr/>
        <w:tc>
          <w:tcPr>
            <w:tcW w:w="298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2987" w:type="dxa"/>
            <w:tcBorders/>
            <w:vAlign w:val="bottom"/>
          </w:tcPr>
          <w:p>
            <w:pPr>
              <w:pStyle w:val="TableContents"/>
              <w:bidi w:val="0"/>
              <w:spacing w:before="0" w:after="283"/>
              <w:jc w:val="left"/>
              <w:rPr/>
            </w:pPr>
            <w:r>
              <w:rPr/>
              <w:drawing>
                <wp:inline distT="0" distB="0" distL="0" distR="0">
                  <wp:extent cx="859790" cy="785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859790" cy="785495"/>
                          </a:xfrm>
                          <a:prstGeom prst="rect">
                            <a:avLst/>
                          </a:prstGeom>
                        </pic:spPr>
                      </pic:pic>
                    </a:graphicData>
                  </a:graphic>
                </wp:inline>
              </w:drawing>
            </w:r>
            <w:r>
              <w:rPr/>
              <w:t xml:space="preserve"> </w:t>
            </w:r>
          </w:p>
        </w:tc>
        <w:tc>
          <w:tcPr>
            <w:tcW w:w="109" w:type="dxa"/>
            <w:tcBorders/>
            <w:vAlign w:val="bottom"/>
          </w:tcPr>
          <w:p>
            <w:pPr>
              <w:pStyle w:val="TableContents"/>
              <w:bidi w:val="0"/>
              <w:spacing w:before="0" w:after="283"/>
              <w:jc w:val="left"/>
              <w:rPr/>
            </w:pPr>
            <w:r>
              <w:rPr/>
              <w:t> </w:t>
            </w:r>
          </w:p>
        </w:tc>
        <w:tc>
          <w:tcPr>
            <w:tcW w:w="279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25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32" w:type="dxa"/>
            <w:tcBorders/>
          </w:tcPr>
          <w:p>
            <w:pPr>
              <w:pStyle w:val="TableContents"/>
              <w:bidi w:val="0"/>
              <w:spacing w:before="0" w:after="0"/>
              <w:jc w:val="left"/>
              <w:rPr>
                <w:rFonts w:ascii="Times New Roman" w:hAnsi="Times New Roman"/>
                <w:b/>
                <w:sz w:val="20"/>
              </w:rPr>
            </w:pPr>
            <w:r>
              <w:rPr>
                <w:rFonts w:ascii="Times New Roman" w:hAnsi="Times New Roman"/>
                <w:b/>
                <w:sz w:val="20"/>
              </w:rPr>
              <w:t>Dechert LLP</w:t>
            </w:r>
          </w:p>
          <w:p>
            <w:pPr>
              <w:pStyle w:val="TableContents"/>
              <w:bidi w:val="0"/>
              <w:spacing w:before="0" w:after="0"/>
              <w:jc w:val="left"/>
              <w:rPr>
                <w:rFonts w:ascii="Times New Roman" w:hAnsi="Times New Roman"/>
                <w:sz w:val="20"/>
              </w:rPr>
            </w:pPr>
            <w:r>
              <w:rPr>
                <w:rFonts w:ascii="Times New Roman" w:hAnsi="Times New Roman"/>
                <w:sz w:val="20"/>
              </w:rPr>
              <w:t>One International Place, 40th Floor</w:t>
            </w:r>
          </w:p>
          <w:p>
            <w:pPr>
              <w:pStyle w:val="TableContents"/>
              <w:bidi w:val="0"/>
              <w:spacing w:before="0" w:after="0"/>
              <w:jc w:val="left"/>
              <w:rPr>
                <w:rFonts w:ascii="Times New Roman" w:hAnsi="Times New Roman"/>
                <w:sz w:val="20"/>
              </w:rPr>
            </w:pPr>
            <w:r>
              <w:rPr>
                <w:rFonts w:ascii="Times New Roman" w:hAnsi="Times New Roman"/>
                <w:sz w:val="20"/>
              </w:rPr>
              <w:t>100 Oliver Street</w:t>
            </w:r>
          </w:p>
          <w:p>
            <w:pPr>
              <w:pStyle w:val="TableContents"/>
              <w:bidi w:val="0"/>
              <w:spacing w:before="0" w:after="0"/>
              <w:jc w:val="left"/>
              <w:rPr>
                <w:rFonts w:ascii="Times New Roman" w:hAnsi="Times New Roman"/>
                <w:sz w:val="20"/>
              </w:rPr>
            </w:pPr>
            <w:r>
              <w:rPr>
                <w:rFonts w:ascii="Times New Roman" w:hAnsi="Times New Roman"/>
                <w:sz w:val="20"/>
              </w:rPr>
              <w:t>Boston, MA 02110-2605</w:t>
            </w:r>
          </w:p>
          <w:p>
            <w:pPr>
              <w:pStyle w:val="TableContents"/>
              <w:bidi w:val="0"/>
              <w:spacing w:before="0" w:after="0"/>
              <w:jc w:val="left"/>
              <w:rPr>
                <w:rFonts w:ascii="Times New Roman" w:hAnsi="Times New Roman"/>
                <w:sz w:val="20"/>
              </w:rPr>
            </w:pPr>
            <w:r>
              <w:rPr>
                <w:rFonts w:ascii="Times New Roman" w:hAnsi="Times New Roman"/>
                <w:sz w:val="20"/>
              </w:rPr>
              <w:t>+1 617 728 7100 Main</w:t>
            </w:r>
          </w:p>
          <w:p>
            <w:pPr>
              <w:pStyle w:val="TableContents"/>
              <w:bidi w:val="0"/>
              <w:spacing w:before="0" w:after="0"/>
              <w:jc w:val="left"/>
              <w:rPr>
                <w:rFonts w:ascii="Times New Roman" w:hAnsi="Times New Roman"/>
                <w:sz w:val="20"/>
              </w:rPr>
            </w:pPr>
            <w:r>
              <w:rPr>
                <w:rFonts w:ascii="Times New Roman" w:hAnsi="Times New Roman"/>
                <w:sz w:val="20"/>
              </w:rPr>
              <w:t>+1 617 275 8374 Fax</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March 4, 2026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Statement on Form N-2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PennantPark Floating Rate Capital Ltd., a Maryland corporation (the “</w:t>
      </w:r>
      <w:r>
        <w:rPr>
          <w:rFonts w:ascii="Times New Roman" w:hAnsi="Times New Roman"/>
          <w:sz w:val="20"/>
          <w:u w:val="single"/>
        </w:rPr>
        <w:t>Company</w:t>
      </w:r>
      <w:r>
        <w:rPr>
          <w:rFonts w:ascii="Times New Roman" w:hAnsi="Times New Roman"/>
          <w:sz w:val="20"/>
        </w:rPr>
        <w:t>”), in connection with the preparation and filing of (1) a registration statement on Form N-2 (Registration No. 333-279726), originally filed on May 24, 2024 and as subsequently amended on July 15, 2024, with the U.S.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w:t>
      </w:r>
      <w:r>
        <w:rPr>
          <w:rFonts w:ascii="Times New Roman" w:hAnsi="Times New Roman"/>
          <w:sz w:val="20"/>
          <w:u w:val="single"/>
        </w:rPr>
        <w:t>Registration Statement</w:t>
      </w:r>
      <w:r>
        <w:rPr>
          <w:rFonts w:ascii="Times New Roman" w:hAnsi="Times New Roman"/>
          <w:sz w:val="20"/>
        </w:rPr>
        <w:t>”) and (2) the final prospectus supplement, dated February 25, 2026 (including the base prospectus filed therewith, the “</w:t>
      </w:r>
      <w:r>
        <w:rPr>
          <w:rFonts w:ascii="Times New Roman" w:hAnsi="Times New Roman"/>
          <w:sz w:val="20"/>
          <w:u w:val="single"/>
        </w:rPr>
        <w:t>Prospectus Supplement</w:t>
      </w:r>
      <w:r>
        <w:rPr>
          <w:rFonts w:ascii="Times New Roman" w:hAnsi="Times New Roman"/>
          <w:sz w:val="20"/>
        </w:rPr>
        <w:t>”), filed with the Commission on February 25, 2026 pursuant to Rule 424(b)(2) under the Securities Act, relating to the proposed issuance by the Company of $200,000,000 aggregate principal amount of its 6.75% notes due 2029 (the “</w:t>
      </w:r>
      <w:r>
        <w:rPr>
          <w:rFonts w:ascii="Times New Roman" w:hAnsi="Times New Roman"/>
          <w:sz w:val="20"/>
          <w:u w:val="single"/>
        </w:rPr>
        <w:t>Notes</w:t>
      </w:r>
      <w:r>
        <w:rPr>
          <w:rFonts w:ascii="Times New Roman" w:hAnsi="Times New Roman"/>
          <w:sz w:val="20"/>
        </w:rPr>
        <w:t>”), to be sold to underwriters pursuant to an underwriting agreement in substantially the form filed as Exhibit 1.1 to the Company’s Current Report on Form 8-K filed with the Commission on February 27, 2026 (the “</w:t>
      </w:r>
      <w:r>
        <w:rPr>
          <w:rFonts w:ascii="Times New Roman" w:hAnsi="Times New Roman"/>
          <w:sz w:val="20"/>
          <w:u w:val="single"/>
        </w:rPr>
        <w:t>Underwriting Agreement</w:t>
      </w:r>
      <w:r>
        <w:rPr>
          <w:rFonts w:ascii="Times New Roman" w:hAnsi="Times New Roman"/>
          <w:sz w:val="20"/>
        </w:rPr>
        <w:t>”). This opinion letter is being furnished to the Company in accordance with the requirements of Item 25 of Form N-2 under the Investment Company Act of 1940, as amended (the “</w:t>
      </w:r>
      <w:r>
        <w:rPr>
          <w:rFonts w:ascii="Times New Roman" w:hAnsi="Times New Roman"/>
          <w:sz w:val="20"/>
          <w:u w:val="single"/>
        </w:rPr>
        <w:t>1940 Act</w:t>
      </w:r>
      <w:r>
        <w:rPr>
          <w:rFonts w:ascii="Times New Roman" w:hAnsi="Times New Roman"/>
          <w:sz w:val="20"/>
        </w:rPr>
        <w:t xml:space="preserve">”), and we express no opinion herein as to any matter other than as to the legality of the Indenture (as defined below) and the Notes. </w:t>
      </w:r>
    </w:p>
    <w:p>
      <w:pPr>
        <w:pStyle w:val="TextBody"/>
        <w:bidi w:val="0"/>
        <w:spacing w:before="240" w:after="0"/>
        <w:jc w:val="left"/>
        <w:rPr>
          <w:rFonts w:ascii="Times New Roman" w:hAnsi="Times New Roman"/>
          <w:sz w:val="20"/>
        </w:rPr>
      </w:pPr>
      <w:r>
        <w:rPr>
          <w:rFonts w:ascii="Times New Roman" w:hAnsi="Times New Roman"/>
          <w:sz w:val="20"/>
        </w:rPr>
        <w:t>The Notes are to be issued pursuant to the indenture dated as of March 23, 2021 (the “</w:t>
      </w:r>
      <w:r>
        <w:rPr>
          <w:rFonts w:ascii="Times New Roman" w:hAnsi="Times New Roman"/>
          <w:sz w:val="20"/>
          <w:u w:val="single"/>
        </w:rPr>
        <w:t>Base Indenture</w:t>
      </w:r>
      <w:r>
        <w:rPr>
          <w:rFonts w:ascii="Times New Roman" w:hAnsi="Times New Roman"/>
          <w:sz w:val="20"/>
        </w:rPr>
        <w:t>”), between the Company and Equiniti Trust Company, LLC, as trustee (the “</w:t>
      </w:r>
      <w:r>
        <w:rPr>
          <w:rFonts w:ascii="Times New Roman" w:hAnsi="Times New Roman"/>
          <w:sz w:val="20"/>
          <w:u w:val="single"/>
        </w:rPr>
        <w:t>Trustee</w:t>
      </w:r>
      <w:r>
        <w:rPr>
          <w:rFonts w:ascii="Times New Roman" w:hAnsi="Times New Roman"/>
          <w:sz w:val="20"/>
        </w:rPr>
        <w:t>”), as supplemented by the second supplemental indenture dated as of March 4, 2026 (together with the Base Indenture, the “</w:t>
      </w:r>
      <w:r>
        <w:rPr>
          <w:rFonts w:ascii="Times New Roman" w:hAnsi="Times New Roman"/>
          <w:sz w:val="20"/>
          <w:u w:val="single"/>
        </w:rPr>
        <w:t>Indenture</w:t>
      </w:r>
      <w:r>
        <w:rPr>
          <w:rFonts w:ascii="Times New Roman" w:hAnsi="Times New Roman"/>
          <w:sz w:val="20"/>
        </w:rPr>
        <w:t xml:space="preserve">”), between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specimen copy of the form of the Notes to be issued pursuant to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Articles of Amendment and Restatement of the Company, as amended;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55"/>
        <w:gridCol w:w="120"/>
        <w:gridCol w:w="3101"/>
        <w:gridCol w:w="120"/>
        <w:gridCol w:w="3209"/>
      </w:tblGrid>
      <w:tr>
        <w:trPr/>
        <w:tc>
          <w:tcPr>
            <w:tcW w:w="3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3655" w:type="dxa"/>
            <w:tcBorders/>
            <w:vAlign w:val="bottom"/>
          </w:tcPr>
          <w:p>
            <w:pPr>
              <w:pStyle w:val="TableContents"/>
              <w:bidi w:val="0"/>
              <w:spacing w:before="0" w:after="283"/>
              <w:jc w:val="left"/>
              <w:rPr/>
            </w:pPr>
            <w:r>
              <w:rPr/>
              <w:drawing>
                <wp:inline distT="0" distB="0" distL="0" distR="0">
                  <wp:extent cx="859790" cy="7854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859790" cy="78549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Floating Rate Capital Ltd.</w:t>
            </w:r>
          </w:p>
          <w:p>
            <w:pPr>
              <w:pStyle w:val="TableContents"/>
              <w:bidi w:val="0"/>
              <w:spacing w:before="0" w:after="0"/>
              <w:jc w:val="left"/>
              <w:rPr>
                <w:rFonts w:ascii="Times New Roman" w:hAnsi="Times New Roman"/>
                <w:sz w:val="20"/>
              </w:rPr>
            </w:pPr>
            <w:r>
              <w:rPr>
                <w:rFonts w:ascii="Times New Roman" w:hAnsi="Times New Roman"/>
                <w:sz w:val="20"/>
              </w:rPr>
              <w:t>March 4, 2026</w:t>
            </w:r>
          </w:p>
          <w:p>
            <w:pPr>
              <w:pStyle w:val="TableContents"/>
              <w:bidi w:val="0"/>
              <w:spacing w:before="0" w:after="20"/>
              <w:jc w:val="left"/>
              <w:rPr>
                <w:rFonts w:ascii="Times New Roman" w:hAnsi="Times New Roman"/>
                <w:sz w:val="20"/>
              </w:rPr>
            </w:pPr>
            <w:r>
              <w:rPr>
                <w:rFonts w:ascii="Times New Roman" w:hAnsi="Times New Roman"/>
                <w:sz w:val="20"/>
              </w:rPr>
              <w:t>Page 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Amended and Restated Bylaws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Status from the State Department of Assessments and Taxation of the State of Maryland as to the existence and good standing of the Company as of a recent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resolutions of the board of directors of the Company and resolutions approved by the pricing committee of the Board, relating to, among other things, the authorization and issuance of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to the facts upon which this opinion is based, we have relied, to the extent we deem proper, upon certificates of public officials (which we have assumed remain accurate as of the date of this opinion letter) and certificates and written statements of agents, officers, directors and representatives of the Company without having independently verified such factual matters. </w:t>
      </w:r>
    </w:p>
    <w:p>
      <w:pPr>
        <w:pStyle w:val="TextBody"/>
        <w:bidi w:val="0"/>
        <w:spacing w:before="240" w:after="0"/>
        <w:jc w:val="left"/>
        <w:rPr>
          <w:rFonts w:ascii="Times New Roman" w:hAnsi="Times New Roman"/>
          <w:sz w:val="20"/>
        </w:rPr>
      </w:pPr>
      <w:r>
        <w:rPr>
          <w:rFonts w:ascii="Times New Roman" w:hAnsi="Times New Roman"/>
          <w:sz w:val="20"/>
        </w:rPr>
        <w:t xml:space="preserve">In our examination, we have assumed the genuineness of all signatures, the authenticity of all documents submitted to us as original documents and the conformity to original documents of all documents submitted to us as copies, the legal capacity of natural persons who are signatories to the documents examined by us, and the legal power and authority of all persons signing on behalf of the parties to such documents (other than the Company). We have further assumed that there has been no oral modification of, or amendment or supplement (including any express or implied waiver, however arising) to, any of the agreements, documents or instruments used by us to form the basis of the opinion expressed below.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subject to the assumptions, qualifications and limitations set forth in this letter,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constitutes the valid and legally binding obligation of the Company, enforceable against the Company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duly executed by the Company and authenticated by the Trustee in accordance with the terms of the Indenture and delivered to the underwriters against payment therefor in accordance with the terms of the Underwriting Agreement, the Notes will constitute the legal and binding obligations of the Company, enforceable against the Company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set forth herein are subject to the following assumptions, qualifications, limitations and exceptions being true and correct at or before the issuance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duly incorporated and validly existing in good standing under the laws of the State of Maryland;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and the Notes have been duly authorized, executed and delivered by each party thereto (other than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Notes have been duly established and approved by all necessary corporate actions on the part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Notes as established comply with the requirements of the 1940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been duly executed by the Company and authenticated by the Trustee in accordance with the Indenture and delivered to and paid for by the purchasers thereof.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55"/>
        <w:gridCol w:w="120"/>
        <w:gridCol w:w="3101"/>
        <w:gridCol w:w="120"/>
        <w:gridCol w:w="3209"/>
      </w:tblGrid>
      <w:tr>
        <w:trPr/>
        <w:tc>
          <w:tcPr>
            <w:tcW w:w="36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3655" w:type="dxa"/>
            <w:tcBorders/>
            <w:vAlign w:val="bottom"/>
          </w:tcPr>
          <w:p>
            <w:pPr>
              <w:pStyle w:val="TableContents"/>
              <w:bidi w:val="0"/>
              <w:spacing w:before="0" w:after="283"/>
              <w:jc w:val="left"/>
              <w:rPr/>
            </w:pPr>
            <w:r>
              <w:rPr/>
              <w:drawing>
                <wp:inline distT="0" distB="0" distL="0" distR="0">
                  <wp:extent cx="859790" cy="785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859790" cy="78549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0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9"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Floating Rate Capital Ltd.</w:t>
            </w:r>
          </w:p>
          <w:p>
            <w:pPr>
              <w:pStyle w:val="TableContents"/>
              <w:bidi w:val="0"/>
              <w:spacing w:before="0" w:after="0"/>
              <w:jc w:val="left"/>
              <w:rPr>
                <w:rFonts w:ascii="Times New Roman" w:hAnsi="Times New Roman"/>
                <w:sz w:val="20"/>
              </w:rPr>
            </w:pPr>
            <w:r>
              <w:rPr>
                <w:rFonts w:ascii="Times New Roman" w:hAnsi="Times New Roman"/>
                <w:sz w:val="20"/>
              </w:rPr>
              <w:t>March 4, 2026</w:t>
            </w:r>
          </w:p>
          <w:p>
            <w:pPr>
              <w:pStyle w:val="TableContents"/>
              <w:bidi w:val="0"/>
              <w:spacing w:before="0" w:after="20"/>
              <w:jc w:val="left"/>
              <w:rPr>
                <w:rFonts w:ascii="Times New Roman" w:hAnsi="Times New Roman"/>
                <w:sz w:val="20"/>
              </w:rPr>
            </w:pPr>
            <w:r>
              <w:rPr>
                <w:rFonts w:ascii="Times New Roman" w:hAnsi="Times New Roman"/>
                <w:sz w:val="20"/>
              </w:rPr>
              <w:t>Page 3</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an implied covenant of good faith and fair dealing; (iv) provisions of law which may require that a judgment for money damages rendered by a court in the United States be expressed only in U.S. dollars; (v)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(vi) governmental authority to limit, delay or prohibit the making of payments outside the United States or in foreign currency or composite currency. 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opinions are limited to the federal laws of the United States of America and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has been prepared for the Company’s use solely in connection with the Registration Statement. We assume no obligation to advise you of any changes in the foregoing subsequent to the date of this opinion. We hereby consent to the filing of this opinion as an exhibit to the Company’s Current Report on Form 8-K filed with the Commission on March 4, 2026, and to the reference to this firm under the caption “Legal Matters” in the prospectus that is a part of the Registration Statement and the Prospectus Supplement.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Dechert LLP</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Dechert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TJF/RAM/as/may</w:t>
            </w:r>
          </w:p>
        </w:tc>
      </w:tr>
    </w:tbl>
    <w:p>
      <w:pPr>
        <w:pStyle w:val="TextBody"/>
        <w:bidi w:val="0"/>
        <w:spacing w:before="0" w:after="0"/>
        <w:jc w:val="right"/>
        <w:rPr>
          <w:rFonts w:ascii="Times New Roman" w:hAnsi="Times New Roman"/>
          <w:b/>
          <w:sz w:val="20"/>
        </w:rPr>
      </w:pPr>
      <w:bookmarkStart w:id="6" w:name="d254628dex52.htm"/>
      <w:bookmarkStart w:id="7" w:name="ksd254628dex52"/>
      <w:bookmarkEnd w:id="6"/>
      <w:bookmarkEnd w:id="7"/>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82765" cy="7753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6882765" cy="7753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March 4, 2026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590 Madison Avenue </w:t>
      </w:r>
    </w:p>
    <w:p>
      <w:pPr>
        <w:pStyle w:val="TextBody"/>
        <w:bidi w:val="0"/>
        <w:spacing w:before="0" w:after="0"/>
        <w:jc w:val="left"/>
        <w:rPr>
          <w:rFonts w:ascii="Times New Roman" w:hAnsi="Times New Roman"/>
          <w:sz w:val="20"/>
        </w:rPr>
      </w:pPr>
      <w:r>
        <w:rPr>
          <w:rFonts w:ascii="Times New Roman" w:hAnsi="Times New Roman"/>
          <w:sz w:val="20"/>
        </w:rPr>
        <w:t xml:space="preserve">15th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N-2: </w:t>
            </w:r>
          </w:p>
        </w:tc>
      </w:tr>
    </w:tbl>
    <w:p>
      <w:pPr>
        <w:pStyle w:val="TextBody"/>
        <w:bidi w:val="0"/>
        <w:spacing w:before="0" w:after="0"/>
        <w:jc w:val="left"/>
        <w:rPr>
          <w:rFonts w:ascii="Times New Roman" w:hAnsi="Times New Roman"/>
          <w:sz w:val="20"/>
        </w:rPr>
      </w:pPr>
      <w:r>
        <w:rPr>
          <w:rFonts w:ascii="Times New Roman" w:hAnsi="Times New Roman"/>
          <w:sz w:val="20"/>
          <w:u w:val="single"/>
        </w:rPr>
        <w:t>File No.: 333-279726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by the Company of $200,000,000 aggregate principal amount of the Company’s 6.75% Notes due 2029 (the “Notes”), covered by the above-referenced Registration Statement, and all amendments thereto (the “Registration Statement”), filed by the Company with the United States Securities and Exchange Commission (the “Commission”) under the Securities Act of 1933, as amended (the “1933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and the related form of prospectus included therein, substantially in the form in which it was transmitted to the Commission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2. The Prospectus Supplement, dated February 25, 2026, in the form filed by the Company with the Commission pursuant to Rule 424(b) under the 1933 Act; </w:t>
      </w:r>
    </w:p>
    <w:p>
      <w:pPr>
        <w:pStyle w:val="TextBody"/>
        <w:bidi w:val="0"/>
        <w:spacing w:before="240" w:after="0"/>
        <w:jc w:val="left"/>
        <w:rPr>
          <w:rFonts w:ascii="Times New Roman" w:hAnsi="Times New Roman"/>
          <w:sz w:val="20"/>
        </w:rPr>
      </w:pPr>
      <w:r>
        <w:rPr>
          <w:rFonts w:ascii="Times New Roman" w:hAnsi="Times New Roman"/>
          <w:sz w:val="20"/>
        </w:rPr>
        <w:t xml:space="preserve">3. The charter of the Company, certified by the State Department of Assessments and Taxation of Maryland (the “SDAT”); </w:t>
      </w:r>
    </w:p>
    <w:p>
      <w:pPr>
        <w:pStyle w:val="TextBody"/>
        <w:bidi w:val="0"/>
        <w:spacing w:before="240" w:after="0"/>
        <w:jc w:val="left"/>
        <w:rPr>
          <w:rFonts w:ascii="Times New Roman" w:hAnsi="Times New Roman"/>
          <w:sz w:val="20"/>
        </w:rPr>
      </w:pPr>
      <w:r>
        <w:rPr>
          <w:rFonts w:ascii="Times New Roman" w:hAnsi="Times New Roman"/>
          <w:sz w:val="20"/>
        </w:rPr>
        <w:t xml:space="preserve">4. The Bylaws of the Company,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6921500" cy="7658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6921500" cy="7658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March 4,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Resolutions (the “Resolutions”) adopted by the Board of Directors of the Company, and a duly authorized committee thereof, relating to the authorization of the filing of the Registration Statement and the sale and issuance of the Notes, certified as of the date hereof by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7. A certificate executed by an officer of the Company, dated as of the date hereof; and </w:t>
      </w:r>
    </w:p>
    <w:p>
      <w:pPr>
        <w:pStyle w:val="TextBody"/>
        <w:bidi w:val="0"/>
        <w:spacing w:before="240" w:after="0"/>
        <w:jc w:val="left"/>
        <w:rPr>
          <w:rFonts w:ascii="Times New Roman" w:hAnsi="Times New Roman"/>
          <w:sz w:val="20"/>
        </w:rPr>
      </w:pPr>
      <w:r>
        <w:rPr>
          <w:rFonts w:ascii="Times New Roman" w:hAnsi="Times New Roman"/>
          <w:sz w:val="20"/>
        </w:rPr>
        <w:t xml:space="preserve">8.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any other person, is legally competent to do so. </w:t>
      </w:r>
    </w:p>
    <w:p>
      <w:pPr>
        <w:pStyle w:val="TextBody"/>
        <w:bidi w:val="0"/>
        <w:spacing w:before="24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24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24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drawing>
          <wp:inline distT="0" distB="0" distL="0" distR="0">
            <wp:extent cx="6921500" cy="7658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6921500" cy="7658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March 4,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The issuance of the Notes has been duly authorized and, when and if issued and delivered against payment therefor in accordance with the Resolutions, the Notes will be validly issued.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issuance of the Notes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i/>
              </w:rPr>
            </w:pPr>
            <w:r>
              <w:rPr>
                <w:i/>
              </w:rPr>
              <w:t>/s/ Venable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04619/000119312521091350/d156339dex41.htm" TargetMode="External"/><Relationship Id="rId3" Type="http://schemas.openxmlformats.org/officeDocument/2006/relationships/hyperlink" Target="http://www.sec.gov/Archives/edgar/data/1504619/000119312521091350/d156339dex41.htm" TargetMode="External"/><Relationship Id="rId4" Type="http://schemas.openxmlformats.org/officeDocument/2006/relationships/hyperlink" Target="http://www.sec.gov/Archives/edgar/data/1504619/000119312521091350/d156339dex41.htm" TargetMode="External"/><Relationship Id="rId5" Type="http://schemas.openxmlformats.org/officeDocument/2006/relationships/hyperlink" Target="http://www.sec.gov/Archives/edgar/data/1504619/000119312521091350/d156339dex41.htm" TargetMode="External"/><Relationship Id="rId6" Type="http://schemas.openxmlformats.org/officeDocument/2006/relationships/hyperlink" Target="http://www.sec.gov/Archives/edgar/data/1504619/000119312521091350/d156339dex41.htm" TargetMode="External"/><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15888</Words>
  <Characters>80999</Characters>
  <CharactersWithSpaces>96978</CharactersWithSpaces>
  <Paragraphs>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