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2023</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13, 2023, PennantPark Floating Rate Capital Ltd. issued a press release, a copy of which is furnished as Exhibit 99.1 to this report on Form 8-K.</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Floating Rate Capital Ltd. Dated April 13, 2023</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2023</w:t>
            </w: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Ltd.’s Unconsolidated Joint Venture, PennantPark Senior Secured Loan Fund I, LLC Completes $297.8 Million CLO, Marking Continued Growth in PennantPark’s Middle Market CLO Platform with Six CLOs Under Management</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MIAMI, April 13, 2023 (GLOBE NEWSWIRE) -- PennantPark Floating Rate Capital Ltd.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(NYSE: PFLT) (TASE: PFLT) today announced that PennantPark Senior Secured Loan Fund I, LLC (“</w:t>
      </w:r>
      <w:r>
        <w:rPr>
          <w:rFonts w:ascii="Times New Roman" w:cs="Times New Roman" w:eastAsia="Times New Roman" w:hAnsi="Times New Roman"/>
          <w:sz w:val="22"/>
          <w:szCs w:val="22"/>
          <w:i w:val="1"/>
          <w:iCs w:val="1"/>
          <w:color w:val="auto"/>
        </w:rPr>
        <w:t>PSSL</w:t>
      </w:r>
      <w:r>
        <w:rPr>
          <w:rFonts w:ascii="Times New Roman" w:cs="Times New Roman" w:eastAsia="Times New Roman" w:hAnsi="Times New Roman"/>
          <w:sz w:val="22"/>
          <w:szCs w:val="22"/>
          <w:color w:val="auto"/>
        </w:rPr>
        <w:t>”) through PSSL’s wholly-owned and consolidated subsidiary, PennantPark CLO VI, LLC (“</w:t>
      </w:r>
      <w:r>
        <w:rPr>
          <w:rFonts w:ascii="Times New Roman" w:cs="Times New Roman" w:eastAsia="Times New Roman" w:hAnsi="Times New Roman"/>
          <w:sz w:val="22"/>
          <w:szCs w:val="22"/>
          <w:i w:val="1"/>
          <w:iCs w:val="1"/>
          <w:color w:val="auto"/>
        </w:rPr>
        <w:t>CLO VI</w:t>
      </w:r>
      <w:r>
        <w:rPr>
          <w:rFonts w:ascii="Times New Roman" w:cs="Times New Roman" w:eastAsia="Times New Roman" w:hAnsi="Times New Roman"/>
          <w:sz w:val="22"/>
          <w:szCs w:val="22"/>
          <w:color w:val="auto"/>
        </w:rPr>
        <w:t>”) has closed a four-year reinvestment period, twelve-year final maturity $297.8 million debt securitization in the form of a collateralized loan obligation (“</w:t>
      </w:r>
      <w:r>
        <w:rPr>
          <w:rFonts w:ascii="Times New Roman" w:cs="Times New Roman" w:eastAsia="Times New Roman" w:hAnsi="Times New Roman"/>
          <w:sz w:val="22"/>
          <w:szCs w:val="22"/>
          <w:i w:val="1"/>
          <w:iCs w:val="1"/>
          <w:color w:val="auto"/>
        </w:rPr>
        <w:t>CLO</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debt issued in the CLO (the “</w:t>
      </w:r>
      <w:r>
        <w:rPr>
          <w:rFonts w:ascii="Times New Roman" w:cs="Times New Roman" w:eastAsia="Times New Roman" w:hAnsi="Times New Roman"/>
          <w:sz w:val="22"/>
          <w:szCs w:val="22"/>
          <w:i w:val="1"/>
          <w:iCs w:val="1"/>
          <w:color w:val="auto"/>
        </w:rPr>
        <w:t>Debt</w:t>
      </w:r>
      <w:r>
        <w:rPr>
          <w:rFonts w:ascii="Times New Roman" w:cs="Times New Roman" w:eastAsia="Times New Roman" w:hAnsi="Times New Roman"/>
          <w:sz w:val="22"/>
          <w:szCs w:val="22"/>
          <w:color w:val="auto"/>
        </w:rPr>
        <w:t>”) is structured in the following manner: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18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Par Amount</w:t>
            </w:r>
          </w:p>
        </w:tc>
        <w:tc>
          <w:tcPr>
            <w:tcW w:w="23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Expected Rating</w:t>
            </w:r>
          </w:p>
        </w:tc>
        <w:tc>
          <w:tcPr>
            <w:tcW w:w="1640" w:type="dxa"/>
            <w:vAlign w:val="bottom"/>
          </w:tcPr>
          <w:p>
            <w:pPr>
              <w:spacing w:after="0"/>
              <w:rPr>
                <w:sz w:val="22"/>
                <w:szCs w:val="22"/>
                <w:color w:val="auto"/>
              </w:rPr>
            </w:pPr>
          </w:p>
        </w:tc>
      </w:tr>
      <w:tr>
        <w:trPr>
          <w:trHeight w:val="283"/>
        </w:trPr>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2"/>
                <w:szCs w:val="22"/>
                <w:color w:val="auto"/>
              </w:rPr>
              <w:t>Class</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 in millions)</w:t>
            </w:r>
          </w:p>
        </w:tc>
        <w:tc>
          <w:tcPr>
            <w:tcW w:w="2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of Capital Structure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Coupon</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(S&amp;P)</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Issuance Price</w:t>
            </w:r>
          </w:p>
        </w:tc>
      </w:tr>
      <w:tr>
        <w:trPr>
          <w:trHeight w:val="250"/>
        </w:trPr>
        <w:tc>
          <w:tcPr>
            <w:tcW w:w="11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A Notes</w:t>
            </w:r>
          </w:p>
        </w:tc>
        <w:tc>
          <w:tcPr>
            <w:tcW w:w="1800" w:type="dxa"/>
            <w:vAlign w:val="bottom"/>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rPr>
              <w:t>$141,000,000</w:t>
            </w:r>
          </w:p>
        </w:tc>
        <w:tc>
          <w:tcPr>
            <w:tcW w:w="2360" w:type="dxa"/>
            <w:vAlign w:val="bottom"/>
          </w:tcPr>
          <w:p>
            <w:pPr>
              <w:jc w:val="center"/>
              <w:ind w:right="12"/>
              <w:spacing w:after="0" w:line="250" w:lineRule="exact"/>
              <w:rPr>
                <w:sz w:val="20"/>
                <w:szCs w:val="20"/>
                <w:color w:val="auto"/>
              </w:rPr>
            </w:pPr>
            <w:r>
              <w:rPr>
                <w:rFonts w:ascii="Times New Roman" w:cs="Times New Roman" w:eastAsia="Times New Roman" w:hAnsi="Times New Roman"/>
                <w:sz w:val="22"/>
                <w:szCs w:val="22"/>
                <w:color w:val="auto"/>
                <w:w w:val="98"/>
              </w:rPr>
              <w:t>47.3%</w:t>
            </w:r>
          </w:p>
        </w:tc>
        <w:tc>
          <w:tcPr>
            <w:tcW w:w="238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9"/>
              </w:rPr>
              <w:t>3 Mo SOFR + 2.68%</w:t>
            </w:r>
          </w:p>
        </w:tc>
        <w:tc>
          <w:tcPr>
            <w:tcW w:w="190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AAA</w:t>
            </w:r>
          </w:p>
        </w:tc>
        <w:tc>
          <w:tcPr>
            <w:tcW w:w="164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Loans</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30,000,000</w:t>
            </w:r>
          </w:p>
        </w:tc>
        <w:tc>
          <w:tcPr>
            <w:tcW w:w="23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10.1%</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+ 2.68%</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AAA</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B-1</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28,000,000</w:t>
            </w:r>
          </w:p>
        </w:tc>
        <w:tc>
          <w:tcPr>
            <w:tcW w:w="23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5"/>
              </w:rPr>
              <w:t>9.4%</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+ 3.75%</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AA</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B-2</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5,000,000</w:t>
            </w:r>
          </w:p>
        </w:tc>
        <w:tc>
          <w:tcPr>
            <w:tcW w:w="23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5"/>
              </w:rPr>
              <w:t>1.7%</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7.634%</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AA</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24,000,000</w:t>
            </w:r>
          </w:p>
        </w:tc>
        <w:tc>
          <w:tcPr>
            <w:tcW w:w="23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5"/>
              </w:rPr>
              <w:t>8.1%</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+ 5.25%</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87"/>
              </w:rPr>
              <w:t>A</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70"/>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18,000,000</w:t>
            </w:r>
          </w:p>
        </w:tc>
        <w:tc>
          <w:tcPr>
            <w:tcW w:w="236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5"/>
              </w:rPr>
              <w:t>6.0%</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3 Mo SOFR + 7.00%</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BBB-</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100.0%</w:t>
            </w:r>
          </w:p>
        </w:tc>
      </w:tr>
      <w:tr>
        <w:trPr>
          <w:trHeight w:val="28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Sub Notes</w:t>
            </w:r>
          </w:p>
        </w:tc>
        <w:tc>
          <w:tcPr>
            <w:tcW w:w="1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51,800,000</w:t>
            </w:r>
          </w:p>
        </w:tc>
        <w:tc>
          <w:tcPr>
            <w:tcW w:w="23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8"/>
              </w:rPr>
              <w:t>17.4%</w:t>
            </w:r>
          </w:p>
        </w:tc>
        <w:tc>
          <w:tcPr>
            <w:tcW w:w="2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NR</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NA</w:t>
            </w:r>
          </w:p>
        </w:tc>
      </w:tr>
      <w:tr>
        <w:trPr>
          <w:trHeight w:val="277"/>
        </w:trPr>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18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$297,800,000</w:t>
            </w: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transaction demonstrates PennantPark’s resilience and ability to raise attractive long-term financing, even in the midst of a volatile market,” said Arthur Penn, Chief Executive Officer. “We are particularly pleased to enhance the strong capital position of our platform and to participate in today’s excellent vintage of both primary and secondary opportunities. With the closing of CLO VI, PennantPark now manages approximately $1.8 billion in CLO middle market assets, and we look forward to continued growth with the support of our current and new investors.”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PSSL will retain all the Subordinated Notes through a consolidated subsidiary. The reinvestment period for the term debt securitization ends in April 2027 and the Debt is scheduled to mature in April 2035. The term debt securitization is expected to be approximately 100% funded at close. The proceeds from the Debt will be used to repay a portion of PSSL’s $325 million secured credit facility. In addition, PSSL acts as retention holder in the transaction to retain exposure to the performance of the securitized assets. GreensLedge Capital Markets LLC acted as lead placement agent on the CLO Transaction.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notes offered as part of the term debt securitization have not been and will not be registered under the Securities Act of 1933, as amended (the “</w:t>
      </w:r>
      <w:r>
        <w:rPr>
          <w:rFonts w:ascii="Times New Roman" w:cs="Times New Roman" w:eastAsia="Times New Roman" w:hAnsi="Times New Roman"/>
          <w:sz w:val="21"/>
          <w:szCs w:val="21"/>
          <w:i w:val="1"/>
          <w:iCs w:val="1"/>
          <w:color w:val="auto"/>
        </w:rPr>
        <w:t>Securities Act</w:t>
      </w:r>
      <w:r>
        <w:rPr>
          <w:rFonts w:ascii="Times New Roman" w:cs="Times New Roman" w:eastAsia="Times New Roman" w:hAnsi="Times New Roman"/>
          <w:sz w:val="21"/>
          <w:szCs w:val="21"/>
          <w:color w:val="auto"/>
        </w:rPr>
        <w:t>”), or any state “blue sky” laws, and may not be offered or sold in the United States absent registration under Section 5 of the Securities Act or an applicable exemption from such registration requirements. The CLO is a form of secured financing incurred and consolidated by PSSL.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 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SENIOR SECURED LOAN FUND I, LLC</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Senior Secured Loan Fund I LLC, is a joint venture between PennantPark Floating Rate Capital Ltd. and a subsidiary of Kemper Corporation (NYSE: KMPR), Trinity Universal Insurance Company, and primarily invests in U.S. middle market companies whose debt is rated below investment grade.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is a leading middle market credit platform, managing approximately $6.1 billion of investable capital, including potential leverage. Since its inception in 2007, PennantPark has provided investors access to middle market credit by offering private equity firms and their portfolio companies as well as other middle market borrowers a comprehensive range of creative and flexible financing solutions. PennantPark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2023-04-13T08:19:42Z</dcterms:created>
  <dcterms:modified xsi:type="dcterms:W3CDTF">2023-04-13T08:19:42Z</dcterms:modified>
</cp:coreProperties>
</file>