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17,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17, 2021, PennantPark Floating Rate Capital Ltd., or the Company, issued a press release announcing its financial results for the fourth quarter and fiscal year ended September 30, 2021. A copy of the press release is furnished as Exhibit 99.1 to this report pursuant to Item 2.02 on Form 8-K and Regulation FD.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Annual Report on Form 10-K for the fiscal year ended September 30, 2021, including “Item 7. Management's Discussion and Analysis of Financial Condition and Results of Operations – COVID-19 Developments” and “Item 1A. Risk Factors” therein.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8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of PennantPark Floating Rate Capital Ltd. dated November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660" w:type="dxa"/>
            <w:vAlign w:val="bottom"/>
          </w:tcPr>
          <w:p>
            <w:pPr>
              <w:spacing w:after="0"/>
              <w:rPr>
                <w:sz w:val="20"/>
                <w:szCs w:val="20"/>
                <w:color w:val="auto"/>
              </w:rPr>
            </w:pPr>
            <w:r>
              <w:rPr>
                <w:rFonts w:ascii="Arial" w:cs="Arial" w:eastAsia="Arial" w:hAnsi="Arial"/>
                <w:sz w:val="18"/>
                <w:szCs w:val="18"/>
                <w:color w:val="auto"/>
              </w:rPr>
              <w:t>Date: November 17, 2021</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Richard Cheung</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2021</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NEW YORK, Nov. 17, 2021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fourth quarter and fiscal year ended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2021</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36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636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2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1,081.6</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PSSL investment portfolio</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564.8</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Net assets</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490.6</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GAAP net asset value per share</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12.62</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Decrease in GAAP net asset value per share</w:t>
            </w:r>
          </w:p>
        </w:tc>
        <w:tc>
          <w:tcPr>
            <w:tcW w:w="2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27"/>
        </w:trPr>
        <w:tc>
          <w:tcPr>
            <w:tcW w:w="6360" w:type="dxa"/>
            <w:vAlign w:val="bottom"/>
          </w:tcPr>
          <w:p>
            <w:pPr>
              <w:ind w:left="26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2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12.43</w:t>
            </w:r>
          </w:p>
        </w:tc>
        <w:tc>
          <w:tcPr>
            <w:tcW w:w="0" w:type="dxa"/>
            <w:vAlign w:val="bottom"/>
          </w:tcPr>
          <w:p>
            <w:pPr>
              <w:spacing w:after="0"/>
              <w:rPr>
                <w:sz w:val="1"/>
                <w:szCs w:val="1"/>
                <w:color w:val="auto"/>
              </w:rPr>
            </w:pPr>
          </w:p>
        </w:tc>
      </w:tr>
      <w:tr>
        <w:trPr>
          <w:trHeight w:val="471"/>
        </w:trPr>
        <w:tc>
          <w:tcPr>
            <w:tcW w:w="6360" w:type="dxa"/>
            <w:vAlign w:val="bottom"/>
          </w:tcPr>
          <w:p>
            <w:pPr>
              <w:ind w:left="260"/>
              <w:spacing w:after="0"/>
              <w:rPr>
                <w:sz w:val="20"/>
                <w:szCs w:val="20"/>
                <w:color w:val="auto"/>
              </w:rPr>
            </w:pPr>
            <w:r>
              <w:rPr>
                <w:rFonts w:ascii="Arial" w:cs="Arial" w:eastAsia="Arial" w:hAnsi="Arial"/>
                <w:sz w:val="22"/>
                <w:szCs w:val="22"/>
                <w:color w:val="auto"/>
              </w:rPr>
              <w:t xml:space="preserve">Decrease in adjusted net asset value per share </w:t>
            </w:r>
            <w:r>
              <w:rPr>
                <w:rFonts w:ascii="Arial" w:cs="Arial" w:eastAsia="Arial" w:hAnsi="Arial"/>
                <w:sz w:val="35"/>
                <w:szCs w:val="35"/>
                <w:color w:val="auto"/>
                <w:vertAlign w:val="superscript"/>
              </w:rPr>
              <w:t>(2)</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86"/>
        </w:trPr>
        <w:tc>
          <w:tcPr>
            <w:tcW w:w="636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2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218.9</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2023 Notes</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111.1</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2026 Notes</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97.2</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2031 Asset-Backed Debt</w:t>
            </w:r>
          </w:p>
        </w:tc>
        <w:tc>
          <w:tcPr>
            <w:tcW w:w="2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225.5</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Regulatory Debt to Equity</w:t>
            </w:r>
          </w:p>
        </w:tc>
        <w:tc>
          <w:tcPr>
            <w:tcW w:w="2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1.36x</w:t>
            </w:r>
          </w:p>
        </w:tc>
        <w:tc>
          <w:tcPr>
            <w:tcW w:w="0" w:type="dxa"/>
            <w:vAlign w:val="bottom"/>
          </w:tcPr>
          <w:p>
            <w:pPr>
              <w:spacing w:after="0"/>
              <w:rPr>
                <w:sz w:val="1"/>
                <w:szCs w:val="1"/>
                <w:color w:val="auto"/>
              </w:rPr>
            </w:pPr>
          </w:p>
        </w:tc>
      </w:tr>
      <w:tr>
        <w:trPr>
          <w:trHeight w:val="327"/>
        </w:trPr>
        <w:tc>
          <w:tcPr>
            <w:tcW w:w="6360" w:type="dxa"/>
            <w:vAlign w:val="bottom"/>
          </w:tcPr>
          <w:p>
            <w:pPr>
              <w:ind w:left="26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1.25x</w:t>
            </w:r>
          </w:p>
        </w:tc>
        <w:tc>
          <w:tcPr>
            <w:tcW w:w="0" w:type="dxa"/>
            <w:vAlign w:val="bottom"/>
          </w:tcPr>
          <w:p>
            <w:pPr>
              <w:spacing w:after="0"/>
              <w:rPr>
                <w:sz w:val="1"/>
                <w:szCs w:val="1"/>
                <w:color w:val="auto"/>
              </w:rPr>
            </w:pPr>
          </w:p>
        </w:tc>
      </w:tr>
      <w:tr>
        <w:trPr>
          <w:trHeight w:val="471"/>
        </w:trPr>
        <w:tc>
          <w:tcPr>
            <w:tcW w:w="6360" w:type="dxa"/>
            <w:vAlign w:val="bottom"/>
          </w:tcPr>
          <w:p>
            <w:pPr>
              <w:ind w:left="26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1.23x</w:t>
            </w:r>
          </w:p>
        </w:tc>
        <w:tc>
          <w:tcPr>
            <w:tcW w:w="0" w:type="dxa"/>
            <w:vAlign w:val="bottom"/>
          </w:tcPr>
          <w:p>
            <w:pPr>
              <w:spacing w:after="0"/>
              <w:rPr>
                <w:sz w:val="1"/>
                <w:szCs w:val="1"/>
                <w:color w:val="auto"/>
              </w:rPr>
            </w:pPr>
          </w:p>
        </w:tc>
      </w:tr>
      <w:tr>
        <w:trPr>
          <w:trHeight w:val="390"/>
        </w:trPr>
        <w:tc>
          <w:tcPr>
            <w:tcW w:w="636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908"/>
        </w:trPr>
        <w:tc>
          <w:tcPr>
            <w:tcW w:w="6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80" w:type="dxa"/>
            <w:vAlign w:val="bottom"/>
          </w:tcPr>
          <w:p>
            <w:pPr>
              <w:jc w:val="center"/>
              <w:ind w:right="232"/>
              <w:spacing w:after="0"/>
              <w:rPr>
                <w:sz w:val="20"/>
                <w:szCs w:val="20"/>
                <w:color w:val="auto"/>
              </w:rPr>
            </w:pPr>
            <w:r>
              <w:rPr>
                <w:rFonts w:ascii="Arial" w:cs="Arial" w:eastAsia="Arial" w:hAnsi="Arial"/>
                <w:sz w:val="22"/>
                <w:szCs w:val="22"/>
                <w:b w:val="1"/>
                <w:bCs w:val="1"/>
                <w:color w:val="auto"/>
                <w:w w:val="93"/>
              </w:rPr>
              <w:t>Quarter</w:t>
            </w:r>
          </w:p>
        </w:tc>
        <w:tc>
          <w:tcPr>
            <w:tcW w:w="1520" w:type="dxa"/>
            <w:vAlign w:val="bottom"/>
            <w:gridSpan w:val="2"/>
            <w:vMerge w:val="restart"/>
          </w:tcPr>
          <w:p>
            <w:pPr>
              <w:jc w:val="right"/>
              <w:ind w:right="132"/>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121"/>
        </w:trPr>
        <w:tc>
          <w:tcPr>
            <w:tcW w:w="6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80" w:type="dxa"/>
            <w:vAlign w:val="bottom"/>
            <w:vMerge w:val="restart"/>
          </w:tcPr>
          <w:p>
            <w:pPr>
              <w:jc w:val="center"/>
              <w:ind w:right="212"/>
              <w:spacing w:after="0" w:line="243" w:lineRule="exact"/>
              <w:rPr>
                <w:sz w:val="20"/>
                <w:szCs w:val="20"/>
                <w:color w:val="auto"/>
              </w:rPr>
            </w:pPr>
            <w:r>
              <w:rPr>
                <w:rFonts w:ascii="Arial" w:cs="Arial" w:eastAsia="Arial" w:hAnsi="Arial"/>
                <w:sz w:val="22"/>
                <w:szCs w:val="22"/>
                <w:b w:val="1"/>
                <w:bCs w:val="1"/>
                <w:color w:val="auto"/>
                <w:w w:val="89"/>
              </w:rPr>
              <w:t>Ended</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20" w:type="dxa"/>
            <w:vAlign w:val="bottom"/>
            <w:gridSpan w:val="2"/>
            <w:vMerge w:val="restart"/>
          </w:tcPr>
          <w:p>
            <w:pPr>
              <w:ind w:left="100"/>
              <w:spacing w:after="0" w:line="243" w:lineRule="exact"/>
              <w:rPr>
                <w:sz w:val="20"/>
                <w:szCs w:val="20"/>
                <w:color w:val="auto"/>
              </w:rPr>
            </w:pPr>
            <w:r>
              <w:rPr>
                <w:rFonts w:ascii="Arial" w:cs="Arial" w:eastAsia="Arial" w:hAnsi="Arial"/>
                <w:sz w:val="22"/>
                <w:szCs w:val="22"/>
                <w:b w:val="1"/>
                <w:bCs w:val="1"/>
                <w:color w:val="auto"/>
                <w:w w:val="93"/>
              </w:rPr>
              <w:t>September 30,</w:t>
            </w:r>
          </w:p>
        </w:tc>
        <w:tc>
          <w:tcPr>
            <w:tcW w:w="0" w:type="dxa"/>
            <w:vAlign w:val="bottom"/>
          </w:tcPr>
          <w:p>
            <w:pPr>
              <w:spacing w:after="0"/>
              <w:rPr>
                <w:sz w:val="1"/>
                <w:szCs w:val="1"/>
                <w:color w:val="auto"/>
              </w:rPr>
            </w:pPr>
          </w:p>
        </w:tc>
      </w:tr>
      <w:tr>
        <w:trPr>
          <w:trHeight w:val="122"/>
        </w:trPr>
        <w:tc>
          <w:tcPr>
            <w:tcW w:w="6360" w:type="dxa"/>
            <w:vAlign w:val="bottom"/>
          </w:tcPr>
          <w:p>
            <w:pPr>
              <w:spacing w:after="0"/>
              <w:rPr>
                <w:sz w:val="10"/>
                <w:szCs w:val="10"/>
                <w:color w:val="auto"/>
              </w:rPr>
            </w:pPr>
          </w:p>
        </w:tc>
        <w:tc>
          <w:tcPr>
            <w:tcW w:w="3320" w:type="dxa"/>
            <w:vAlign w:val="bottom"/>
            <w:gridSpan w:val="2"/>
            <w:vMerge w:val="restart"/>
          </w:tcPr>
          <w:p>
            <w:pPr>
              <w:ind w:left="1860"/>
              <w:spacing w:after="0" w:line="243" w:lineRule="exact"/>
              <w:rPr>
                <w:sz w:val="20"/>
                <w:szCs w:val="20"/>
                <w:color w:val="auto"/>
              </w:rPr>
            </w:pPr>
            <w:r>
              <w:rPr>
                <w:rFonts w:ascii="Arial" w:cs="Arial" w:eastAsia="Arial" w:hAnsi="Arial"/>
                <w:sz w:val="22"/>
                <w:szCs w:val="22"/>
                <w:b w:val="1"/>
                <w:bCs w:val="1"/>
                <w:color w:val="auto"/>
                <w:w w:val="95"/>
              </w:rPr>
              <w:t>September 30,</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360" w:type="dxa"/>
            <w:vAlign w:val="bottom"/>
          </w:tcPr>
          <w:p>
            <w:pPr>
              <w:spacing w:after="0"/>
              <w:rPr>
                <w:sz w:val="10"/>
                <w:szCs w:val="10"/>
                <w:color w:val="auto"/>
              </w:rPr>
            </w:pPr>
          </w:p>
        </w:tc>
        <w:tc>
          <w:tcPr>
            <w:tcW w:w="33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vMerge w:val="restart"/>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159"/>
        </w:trPr>
        <w:tc>
          <w:tcPr>
            <w:tcW w:w="6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80" w:type="dxa"/>
            <w:vAlign w:val="bottom"/>
            <w:vMerge w:val="restart"/>
          </w:tcPr>
          <w:p>
            <w:pPr>
              <w:jc w:val="center"/>
              <w:ind w:right="232"/>
              <w:spacing w:after="0"/>
              <w:rPr>
                <w:sz w:val="20"/>
                <w:szCs w:val="20"/>
                <w:color w:val="auto"/>
              </w:rPr>
            </w:pPr>
            <w:r>
              <w:rPr>
                <w:rFonts w:ascii="Arial" w:cs="Arial" w:eastAsia="Arial" w:hAnsi="Arial"/>
                <w:sz w:val="22"/>
                <w:szCs w:val="22"/>
                <w:b w:val="1"/>
                <w:bCs w:val="1"/>
                <w:color w:val="auto"/>
                <w:w w:val="85"/>
              </w:rPr>
              <w:t>2021</w:t>
            </w:r>
          </w:p>
        </w:tc>
        <w:tc>
          <w:tcPr>
            <w:tcW w:w="3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360" w:type="dxa"/>
            <w:vAlign w:val="bottom"/>
            <w:vMerge w:val="restart"/>
          </w:tcPr>
          <w:p>
            <w:pPr>
              <w:spacing w:after="0"/>
              <w:rPr>
                <w:sz w:val="20"/>
                <w:szCs w:val="20"/>
                <w:color w:val="auto"/>
              </w:rPr>
            </w:pPr>
            <w:r>
              <w:rPr>
                <w:rFonts w:ascii="Arial" w:cs="Arial" w:eastAsia="Arial" w:hAnsi="Arial"/>
                <w:sz w:val="22"/>
                <w:szCs w:val="22"/>
                <w:color w:val="auto"/>
              </w:rPr>
              <w:t>Operating Results:</w:t>
            </w:r>
          </w:p>
        </w:tc>
        <w:tc>
          <w:tcPr>
            <w:tcW w:w="20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360" w:type="dxa"/>
            <w:vAlign w:val="bottom"/>
            <w:vMerge w:val="continue"/>
          </w:tcPr>
          <w:p>
            <w:pPr>
              <w:spacing w:after="0"/>
              <w:rPr>
                <w:sz w:val="23"/>
                <w:szCs w:val="23"/>
                <w:color w:val="auto"/>
              </w:rPr>
            </w:pPr>
          </w:p>
        </w:tc>
        <w:tc>
          <w:tcPr>
            <w:tcW w:w="2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Net investment income</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9.3</w:t>
            </w:r>
          </w:p>
        </w:tc>
        <w:tc>
          <w:tcPr>
            <w:tcW w:w="380" w:type="dxa"/>
            <w:vAlign w:val="bottom"/>
          </w:tcPr>
          <w:p>
            <w:pPr>
              <w:ind w:left="10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39.6</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GAAP net investment income per share</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0.24</w:t>
            </w:r>
          </w:p>
        </w:tc>
        <w:tc>
          <w:tcPr>
            <w:tcW w:w="380" w:type="dxa"/>
            <w:vAlign w:val="bottom"/>
          </w:tcPr>
          <w:p>
            <w:pPr>
              <w:ind w:left="10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Credit facility amendment costs per share</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0.04</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0.04</w:t>
            </w:r>
          </w:p>
        </w:tc>
        <w:tc>
          <w:tcPr>
            <w:tcW w:w="0" w:type="dxa"/>
            <w:vAlign w:val="bottom"/>
          </w:tcPr>
          <w:p>
            <w:pPr>
              <w:spacing w:after="0"/>
              <w:rPr>
                <w:sz w:val="1"/>
                <w:szCs w:val="1"/>
                <w:color w:val="auto"/>
              </w:rPr>
            </w:pPr>
          </w:p>
        </w:tc>
      </w:tr>
      <w:tr>
        <w:trPr>
          <w:trHeight w:val="320"/>
        </w:trPr>
        <w:tc>
          <w:tcPr>
            <w:tcW w:w="636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(5)</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0.28</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Distributions declared per share</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0.285</w:t>
            </w:r>
          </w:p>
        </w:tc>
        <w:tc>
          <w:tcPr>
            <w:tcW w:w="380" w:type="dxa"/>
            <w:vAlign w:val="bottom"/>
          </w:tcPr>
          <w:p>
            <w:pPr>
              <w:ind w:left="10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536"/>
        </w:trPr>
        <w:tc>
          <w:tcPr>
            <w:tcW w:w="6360" w:type="dxa"/>
            <w:vAlign w:val="bottom"/>
          </w:tcPr>
          <w:p>
            <w:pPr>
              <w:spacing w:after="0"/>
              <w:rPr>
                <w:sz w:val="20"/>
                <w:szCs w:val="20"/>
                <w:color w:val="auto"/>
              </w:rPr>
            </w:pPr>
            <w:r>
              <w:rPr>
                <w:rFonts w:ascii="Arial" w:cs="Arial" w:eastAsia="Arial" w:hAnsi="Arial"/>
                <w:sz w:val="22"/>
                <w:szCs w:val="22"/>
                <w:color w:val="auto"/>
              </w:rPr>
              <w:t>Portfolio Activity:</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Purchases of investments</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185.7</w:t>
            </w:r>
          </w:p>
        </w:tc>
        <w:tc>
          <w:tcPr>
            <w:tcW w:w="380" w:type="dxa"/>
            <w:vAlign w:val="bottom"/>
          </w:tcPr>
          <w:p>
            <w:pPr>
              <w:ind w:left="10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661.1</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Sales and repayments of investments</w:t>
            </w:r>
          </w:p>
        </w:tc>
        <w:tc>
          <w:tcPr>
            <w:tcW w:w="2040" w:type="dxa"/>
            <w:vAlign w:val="bottom"/>
          </w:tcPr>
          <w:p>
            <w:pPr>
              <w:ind w:left="1840"/>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136.6</w:t>
            </w:r>
          </w:p>
        </w:tc>
        <w:tc>
          <w:tcPr>
            <w:tcW w:w="380" w:type="dxa"/>
            <w:vAlign w:val="bottom"/>
          </w:tcPr>
          <w:p>
            <w:pPr>
              <w:ind w:left="100"/>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702.1</w:t>
            </w:r>
          </w:p>
        </w:tc>
        <w:tc>
          <w:tcPr>
            <w:tcW w:w="0" w:type="dxa"/>
            <w:vAlign w:val="bottom"/>
          </w:tcPr>
          <w:p>
            <w:pPr>
              <w:spacing w:after="0"/>
              <w:rPr>
                <w:sz w:val="1"/>
                <w:szCs w:val="1"/>
                <w:color w:val="auto"/>
              </w:rPr>
            </w:pPr>
          </w:p>
        </w:tc>
      </w:tr>
      <w:tr>
        <w:trPr>
          <w:trHeight w:val="536"/>
        </w:trPr>
        <w:tc>
          <w:tcPr>
            <w:tcW w:w="6360" w:type="dxa"/>
            <w:vAlign w:val="bottom"/>
          </w:tcPr>
          <w:p>
            <w:pPr>
              <w:ind w:left="260"/>
              <w:spacing w:after="0"/>
              <w:rPr>
                <w:sz w:val="20"/>
                <w:szCs w:val="20"/>
                <w:color w:val="auto"/>
              </w:rPr>
            </w:pPr>
            <w:r>
              <w:rPr>
                <w:rFonts w:ascii="Arial" w:cs="Arial" w:eastAsia="Arial" w:hAnsi="Arial"/>
                <w:sz w:val="22"/>
                <w:szCs w:val="22"/>
                <w:color w:val="auto"/>
              </w:rPr>
              <w:t>Number of new portfolio companies invested</w:t>
            </w:r>
          </w:p>
        </w:tc>
        <w:tc>
          <w:tcPr>
            <w:tcW w:w="20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16</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0"/>
        </w:trPr>
        <w:tc>
          <w:tcPr>
            <w:tcW w:w="6360" w:type="dxa"/>
            <w:vAlign w:val="bottom"/>
          </w:tcPr>
          <w:p>
            <w:pPr>
              <w:ind w:left="260"/>
              <w:spacing w:after="0"/>
              <w:rPr>
                <w:sz w:val="20"/>
                <w:szCs w:val="20"/>
                <w:color w:val="auto"/>
              </w:rPr>
            </w:pPr>
            <w:r>
              <w:rPr>
                <w:rFonts w:ascii="Arial" w:cs="Arial" w:eastAsia="Arial" w:hAnsi="Arial"/>
                <w:sz w:val="22"/>
                <w:szCs w:val="22"/>
                <w:color w:val="auto"/>
              </w:rPr>
              <w:t>Number of existing portfolio companies invested</w:t>
            </w:r>
          </w:p>
        </w:tc>
        <w:tc>
          <w:tcPr>
            <w:tcW w:w="20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18</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74"/>
        </w:trPr>
        <w:tc>
          <w:tcPr>
            <w:tcW w:w="6360" w:type="dxa"/>
            <w:vAlign w:val="bottom"/>
          </w:tcPr>
          <w:p>
            <w:pPr>
              <w:ind w:left="260"/>
              <w:spacing w:after="0"/>
              <w:rPr>
                <w:sz w:val="20"/>
                <w:szCs w:val="20"/>
                <w:color w:val="auto"/>
              </w:rPr>
            </w:pPr>
            <w:r>
              <w:rPr>
                <w:rFonts w:ascii="Arial" w:cs="Arial" w:eastAsia="Arial" w:hAnsi="Arial"/>
                <w:sz w:val="22"/>
                <w:szCs w:val="22"/>
                <w:color w:val="auto"/>
              </w:rPr>
              <w:t>Number of ending portfolio companies</w:t>
            </w:r>
          </w:p>
        </w:tc>
        <w:tc>
          <w:tcPr>
            <w:tcW w:w="20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110</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20" w:hanging="339"/>
        <w:spacing w:after="0" w:line="245"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Includes investments in PennantPark Senior Secured Loan Fund I LLC (“PSSL”), an unconsolidated joint venture, totaling $185.7 million, at fair value.</w:t>
      </w:r>
    </w:p>
    <w:p>
      <w:pPr>
        <w:jc w:val="both"/>
        <w:ind w:left="360" w:right="20" w:hanging="339"/>
        <w:spacing w:after="0" w:line="285" w:lineRule="auto"/>
        <w:tabs>
          <w:tab w:leader="none" w:pos="3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$7.2 million unrealized loss on our multi-currency senior secured revolving credit facility, as amended and restated, with Truist Bank (formerly SunTrust Bank) and other lenders (the “Credit Facility”), which was refinanced on August 12, 2021, and our 4.3% Series A</w:t>
      </w:r>
    </w:p>
    <w:p>
      <w:pPr>
        <w:sectPr>
          <w:pgSz w:w="11900" w:h="16838" w:orient="portrait"/>
          <w:cols w:equalWidth="0" w:num="1">
            <w:col w:w="11240"/>
          </w:cols>
          <w:pgMar w:left="320" w:top="112" w:right="339" w:bottom="0" w:gutter="0" w:footer="0" w:header="0"/>
        </w:sectPr>
      </w:pPr>
    </w:p>
    <w:bookmarkStart w:id="4" w:name="page5"/>
    <w:bookmarkEnd w:id="4"/>
    <w:p>
      <w:pPr>
        <w:ind w:left="360" w:right="20"/>
        <w:spacing w:after="0" w:line="245" w:lineRule="auto"/>
        <w:rPr>
          <w:sz w:val="20"/>
          <w:szCs w:val="20"/>
          <w:color w:val="auto"/>
        </w:rPr>
      </w:pPr>
      <w:r>
        <w:rPr>
          <w:rFonts w:ascii="Arial" w:cs="Arial" w:eastAsia="Arial" w:hAnsi="Arial"/>
          <w:sz w:val="22"/>
          <w:szCs w:val="22"/>
          <w:color w:val="auto"/>
        </w:rPr>
        <w:t>notes due 2023, (the “2023 Notes”). The 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360" w:right="20" w:hanging="339"/>
        <w:spacing w:after="0" w:line="236" w:lineRule="auto"/>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$49.8 million of cash and equivalents.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22"/>
          <w:szCs w:val="22"/>
          <w:color w:val="auto"/>
        </w:rPr>
      </w:pPr>
    </w:p>
    <w:p>
      <w:pPr>
        <w:jc w:val="both"/>
        <w:ind w:left="360" w:right="20" w:hanging="339"/>
        <w:spacing w:after="0" w:line="235" w:lineRule="auto"/>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$7.2 million unrealized loss on the Credit Facility and the 2023 Notes net of $49.8 million of cash and equivalents. The presentation of this additional information is not meant to be considered in isolation or as a substitute for financial results prepared in accordance with GAAP.</w:t>
      </w:r>
    </w:p>
    <w:p>
      <w:pPr>
        <w:spacing w:after="0" w:line="3" w:lineRule="exact"/>
        <w:rPr>
          <w:rFonts w:ascii="Arial" w:cs="Arial" w:eastAsia="Arial" w:hAnsi="Arial"/>
          <w:sz w:val="22"/>
          <w:szCs w:val="22"/>
          <w:color w:val="auto"/>
        </w:rPr>
      </w:pPr>
    </w:p>
    <w:p>
      <w:pPr>
        <w:jc w:val="both"/>
        <w:ind w:left="360" w:right="20" w:hanging="339"/>
        <w:spacing w:after="0" w:line="233" w:lineRule="auto"/>
        <w:tabs>
          <w:tab w:leader="none" w:pos="3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a one-time expense of $2.9 million associated with entering into our multi-currency senior secured revolving credit facility with Truist Bank and other lenders on August 12, 2021 (the “New Credit Facility”) and the associated incentive fee reduction of $1.4 million. The presentation of this additional information is not meant to be considered in isolation or as a substitute for financial results prepared in accordance with GAAP. Unless otherwise specified, the term “Credit Facility” refers to the “New Credit Facility” when associated with the period subsequent to the termination of the Credit Facility on August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9:00 A.M. EST ON NOVEMBER 18,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9:00 a.m. (Eastern Time) on Thursday, November 18,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#6282998 or PennantPark Floating Rate Capital Ltd. An archived replay of the call will be available through December 2, 2021, by calling toll-free (888) 203-1112. International callers please dial (719) 457-0820. For all phone replays, please reference conference ID #6282998.</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“PFLT continues to be well positioned as a leading provider of consistent, credible first lien capital to the core middle market. Due to the relative lack of competition in the core middle market, lenders can generally achieve higher returns with lower risk,” said Arthur Penn, Chairman and CEO. “Additionally, PFLT is poised to grow Net Investment Income through growing its balance sheet to its target leverage ratio, growing the PSSL joint venture and rotating equity investments in its successful equity co-investment portfolio.”</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appreciation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 For more information on how the COVID-19 pandemic has affected our business and results of operations, see our Annual Report on Form 10-K for the fiscal year ended September 30, 2021, including “Item 7. Management's Discussion and Analysis of Financial Condition and Results of Operations – COVID-19 Developments” and “Item 1A. Risk Factors” therein.</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September 30, 2020, our portfolio totaled $1,086.9 million and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2021, we invested $185.7 million in 16 new and 18 existing portfolio companies with a weighted average yield on debt investments of 7.3%. Sales and repayments of investments for the same period totaled $136.6 million. This compares to the three months ended September 30, 2020, in which we invested $15.3 million in one new and nine existing portfolio companies with a weighted average yield on debt investments of 7.8%. Sales and repayments of investments for the same period totaled $49.7 million.</w:t>
      </w:r>
    </w:p>
    <w:p>
      <w:pPr>
        <w:sectPr>
          <w:pgSz w:w="11900" w:h="16838" w:orient="portrait"/>
          <w:cols w:equalWidth="0" w:num="1">
            <w:col w:w="11240"/>
          </w:cols>
          <w:pgMar w:left="320" w:top="118" w:right="339" w:bottom="210" w:gutter="0" w:footer="0" w:header="0"/>
        </w:sectPr>
      </w:pPr>
    </w:p>
    <w:bookmarkStart w:id="5" w:name="page6"/>
    <w:bookmarkEnd w:id="5"/>
    <w:p>
      <w:pPr>
        <w:jc w:val="both"/>
        <w:spacing w:after="0"/>
        <w:rPr>
          <w:sz w:val="20"/>
          <w:szCs w:val="20"/>
          <w:color w:val="auto"/>
        </w:rPr>
      </w:pPr>
      <w:r>
        <w:rPr>
          <w:rFonts w:ascii="Arial" w:cs="Arial" w:eastAsia="Arial" w:hAnsi="Arial"/>
          <w:sz w:val="22"/>
          <w:szCs w:val="22"/>
          <w:color w:val="auto"/>
        </w:rPr>
        <w:t>For the year ended September 30, 2021, we invested $661.1 million in 35 new and 68 existing portfolio companies with a weighted average yield on debt investments of 7.4%. Sales and repayments of investments for the same period totaled $702.1 million.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we invested $436.7 million in 19 new and 95 existing portfolio companies with a weighted average yield on debt investments of 8.0%. Sales and repayments of investments for the same period totaled $396.9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2021, PSSL’s portfolio totaled $564.8 million, consisted of 74 companies with an average investment size of $7.6 million and had a weighted average yield on debt investments of 7.1%. As of September 30, 2020, PSSL’s portfolio totaled $393.0 million, consisted of 45 companies with an average investment size of $8.7 million and had a weighted average yield on debt investments of 6.8%.</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three months ended September 30, 2021, PSSL invested $76.6 million in 12 new and three existing portfolio companies with a weighted average yield on debt investments of 7.3%. PSSL’s sales and repayments of investments for the same period totaled $36.7 million. For the three months ended September 30, 2020, PSSL did not make any investments. PSSL’s sales and repayments of investments for the same period totaled $69.9 million.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2021, PSSL invested $354.4 million (of which $285.7 million was purchased from the Company) in 42 new and 29 existing portfolio companies with a weighted average yield on debt investments of 7.2%. PSSL’s sales and repayments of investments for the same period totaled $199.8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PSSL invested $87.1 million (of which $86.7 million was purchased from the Company) in 11 new and two existing portfolio companies with a weighted average yield on debt investments of 7.4%. PSSL’s sales and repayments of investments for the same period totaled $172.6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October 6, 2021, we issued an additional $85 million aggregate principal amount of our 4.25% Notes due 2026 (the “Add-On Notes”) in an add-on offering (the “Add-On Offering”) pursuant to the Base Indenture, dated March 23, 2021 (the “Base Indenture”), between the Company and American Stock Transfer &amp; Trust Company, LLC (the “Trustee”), as supplemented by the First Supplemental Indenture, dated March 23, 2021, between the Company and the Trustee (together with the Base Indenture, the “Indenture”). In connection with the Add-On Offering, the Company entered into an underwriting agreement (the “Underwriting Agreement”), by and among the Company, PennantPark Investment Advisers, LLC (the “Investment Adviser”) and Goldman Sachs &amp; Co. LLC, Keefe, Bruyette &amp; Woods, Inc. and Truist Securities, Inc., as representatives of the several underwriters named on Schedule A to the Underwriting Agreement.</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Add-On Notes constitute a further issuance of the $100 million aggregate principal amount of the 2026 Notes issued by the Company on March 23, 2021 (the “Existing Notes”) under the Indenture.</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Add-On Notes are treated as a single series with the Existing Notes and have the same terms as the Existing Notes, other than the issue date and the offering price. The Add-On Notes have the same CUSIP number and are fungible and rank equally with the Existing Notes. Upon issuance of the Add-On Notes, the outstanding aggregate principal amount of the Company’s 4.25% notes due 2026 is $185 million.</w:t>
      </w:r>
    </w:p>
    <w:p>
      <w:pPr>
        <w:spacing w:after="0" w:line="185"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Subsequent to quarter end, PFLT had new funded investments of $82.3 million, net of sales and repayments. PSSL had new funded investments of $23.3 million, net of sales and repayments.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years ended September 30,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Investment income for the three months ended September 30, 2021 and 2020 was $21.6 million and $21.8 million, respectively, and was primarily attributable to $18.6 million and $19.3 million from first lien secured debt and $3.0 million and $2.5 million from other investments, respectively.</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Investment income for the year ended September 30, 2021 was $82.7 million and was attributable to $72.1 million from first lien secured debt and $10.6 million from other investments. The decrease in investment income compared to the same periods in the prior year was primarily due to a decrease in the size of our portfolio and in the London Inter-Bank Offered Rate (“LIBOR”).</w:t>
      </w:r>
    </w:p>
    <w:p>
      <w:pPr>
        <w:spacing w:after="0" w:line="13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Investment income for the year ended September 30, 2020 was $95.5 million and was attributable to $86.8 million from first lien secured debt and $8.7 million from other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ectPr>
          <w:pgSz w:w="11900" w:h="16838" w:orient="portrait"/>
          <w:cols w:equalWidth="0" w:num="1">
            <w:col w:w="11240"/>
          </w:cols>
          <w:pgMar w:left="320" w:top="118" w:right="339" w:bottom="113"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2"/>
          <w:szCs w:val="22"/>
          <w:color w:val="auto"/>
        </w:rPr>
        <w:t>Expenses for the three months ended September 30, 2021 and 2020 totaled $12.3 million and $10.3 million, respectively. Base management fee totaled $2.7 million and $2.8 million, incentive fee totaled $0.6 million and $2.1 million, debt related interest and expenses totaled $8.5 million (including $2.9 million attributable to fees associated with entering into the New Credit Facility) and $5.5 million, general and administrative expenses totaled $0.4 million and $1.0 million and provision for taxes totaled $0.1 million and $0.1 million, respectively, for the same periods.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Expenses for the years ended September 30, 2021 and 2020 totaled $43.1 million and $52.1 million, respectively. Base management fee for the same periods totaled $10.7 million and $11.4 million, incentive fee totaled $5.3 million and $9.3 million, debt related interest and expenses totaled $24.5 million (including $2.9 million attributable to fees associated with entering into the New Credit Facility) and $27.1 million, general and administrative expenses totaled $2.1 million and $3.9 million and provision for taxes totaled $0.4 million and $0.4 million, respectively, for the same periods. The decrease in expenses compared to the prior year was primarily due to a decrease in management fees under our Investment Management Agreement with the Investment Advisor and debt related interest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investment income totaled $9.3 million, or $0.24 per share, and $10.3 million, or $0.27 per share, for the three months ended September 30, 2021 and 2020,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$39.6 million, or $1.02 per share, and $43.4 million, or $1.12 per share, for the years ended September 30, 2021 and 2020, respectively. The decrease in net investment income compared to the prior year was primarily due to a decrease in the size of our portfolio and in LIBOR.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2021 and 2020 totaled $136.7 million and $49.7 million, respectively. Net realized gain (losses) totaled $2.5 million and $(4.7) million for the same periods, respectively.</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2021 and 2020 totaled $702.1 million and $396.9 million, respectively. Net realized losses totaled $12.8 million and $12.7 million for the same periods, respectively. The change in realized losses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For the three months ended September 30, 2021 and 2020, we reported a net change in unrealized (depreciation) appreciation on investments of $(7.5) million and $19.9 million, respectively. For the years ended September 30, 2021 and 2020, we reported net change in unrealized appreciation (depreciation) on investments of $41.3 million and $(26.5) million, respectively. As of September 30, 2021 and 2020, our net unrealized appreciation (depreciation) on investments totaled $11.0 million and $(29.9) million, respectively. The net change in unrealized appreciation/depreciation on our investments for the year ended September 30, 2021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2021, including “Item 7. Management's Discussion and Analysis of Financial Condition and Results of Operations – COVID-19 Developments” and “Item 1A. Risk Factors” therein.</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months ended September 30, 2021 and 2020, our Credit Facility and 2023 Notes had a net change in unrealized (appreciation) depreciation of $(0.3) million and $8.6 million, respectively. For the years ended September 30, 2021 and 2020, our Credit Facility and the 2023 Notes had a net change in unrealized (appreciation) depreciation of $(11.6) million and less than $14.2 million, respectively. As of September 30, 2021 and 2020, our net unrealized depreciation on our Credit Facility and the 2023 Notes totaled $7.2 million and $18.8 million, respectively. The net change in unrealized depreciation for the year ended September 30, 2021 compared to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$4.0 million, or $0.10 per share, and $17.0 million, or $0.44 per share, for the three months ended September 30, 2021 and 2020, respectively.</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change in net assets resulting from operations totaled $56.5 million, or $1.46 per share, and $18.4 million, or $0.47 per share, for the years ended September 30, 2021 and 2020, respectively. The increase in net assets from operations for the year ended September 30, 2021 compared to the prior year was primarily due to appreciation of the portfolio primarily driven by the recovery from the market disruption caused by the COVID-19 pandemic and the uncertainty surrounding its continued adverse economic impact.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w:t>
      </w:r>
    </w:p>
    <w:p>
      <w:pPr>
        <w:sectPr>
          <w:pgSz w:w="11900" w:h="16838" w:orient="portrait"/>
          <w:cols w:equalWidth="0" w:num="1">
            <w:col w:w="11240"/>
          </w:cols>
          <w:pgMar w:left="320" w:top="118" w:right="339" w:bottom="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2"/>
          <w:szCs w:val="22"/>
          <w:color w:val="auto"/>
        </w:rPr>
        <w:t>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Annual Report on Form 10-K for the fiscal year ended September 30, 2021, including “Item 7. Management's Discussion and Analysis of Financial Condition and Results of Operations – COVID-19 Developments” and “Item 1A. Risk Factors” therein.</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years ended September 30, 2021 and 2020, inclusive of the fee on the undrawn commitment on the Credit Facility, amendment costs and debt issuance costs, were 3.9% and 3.7%, respectively (excluding amendment and debt issuance costs, such amounts are 3.4% and 3.7%, respectively). As of September 30, 2021 and 2020, we had $80.6 million and $211.4 million of unused borrowing capacity under our Credit Facility, respectively, subject to leverage and borrowing base restrictions.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September 30, 2021 and 2020, PennantPark Floating Rate Funding I, LLC (“Funding I”), had $219.4 million and $308.6 million of outstanding borrowings under the Credit Facility, respectively. The Credit Facility had a weighted average interest rate of 2.3% and 2.2%, exclusive of the fee on undrawn commitments, as of September 30, 2021 and 2020, respectively.</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2021 and 2020, we had cash equivalents of $49.8 million and $57.5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$49.6 million for the year ended September 30, 2021, and our financing activities used cash of $56.3 million for the same period. Our operating activities used cash primarily for our investment activities and our financing activities used cash primarily for paying down our Credit Facility and paying distributions to stockholders.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$4.9 million for the year ended September 30, 2020, and our financing activities used cash of $0.9 million for the same period. Our operating activities used cash primarily for our investment activities and our financing activities used cash primarily for paying down our Credit Facility and paying distributions to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both years ended September 30, 2021 and 2020, we declared distributions of $1.14 per share for total distributions of $44.2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annual report on Form 10-K filed with the SEC, and stockholders may find the annual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Arial" w:cs="Arial" w:eastAsia="Arial" w:hAnsi="Arial"/>
                <w:sz w:val="22"/>
                <w:szCs w:val="22"/>
                <w:b w:val="1"/>
                <w:bCs w:val="1"/>
                <w:color w:val="auto"/>
              </w:rPr>
              <w:t>September 30,</w:t>
            </w:r>
          </w:p>
        </w:tc>
        <w:tc>
          <w:tcPr>
            <w:tcW w:w="1420" w:type="dxa"/>
            <w:vAlign w:val="bottom"/>
          </w:tcPr>
          <w:p>
            <w:pPr>
              <w:jc w:val="right"/>
              <w:spacing w:after="0"/>
              <w:rPr>
                <w:sz w:val="20"/>
                <w:szCs w:val="20"/>
                <w:color w:val="auto"/>
              </w:rPr>
            </w:pPr>
            <w:r>
              <w:rPr>
                <w:rFonts w:ascii="Arial" w:cs="Arial" w:eastAsia="Arial" w:hAnsi="Arial"/>
                <w:sz w:val="22"/>
                <w:szCs w:val="22"/>
                <w:b w:val="1"/>
                <w:bCs w:val="1"/>
                <w:color w:val="auto"/>
                <w:w w:val="89"/>
              </w:rPr>
              <w:t>September 30,</w:t>
            </w:r>
          </w:p>
        </w:tc>
        <w:tc>
          <w:tcPr>
            <w:tcW w:w="0" w:type="dxa"/>
            <w:vAlign w:val="bottom"/>
          </w:tcPr>
          <w:p>
            <w:pPr>
              <w:spacing w:after="0"/>
              <w:rPr>
                <w:sz w:val="1"/>
                <w:szCs w:val="1"/>
                <w:color w:val="auto"/>
              </w:rPr>
            </w:pPr>
          </w:p>
        </w:tc>
      </w:tr>
      <w:tr>
        <w:trPr>
          <w:trHeight w:val="282"/>
        </w:trPr>
        <w:tc>
          <w:tcPr>
            <w:tcW w:w="808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2021</w:t>
            </w:r>
          </w:p>
        </w:tc>
        <w:tc>
          <w:tcPr>
            <w:tcW w:w="200" w:type="dxa"/>
            <w:vAlign w:val="bottom"/>
          </w:tcPr>
          <w:p>
            <w:pPr>
              <w:spacing w:after="0"/>
              <w:rPr>
                <w:sz w:val="24"/>
                <w:szCs w:val="24"/>
                <w:color w:val="auto"/>
              </w:rPr>
            </w:pP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48"/>
        </w:trPr>
        <w:tc>
          <w:tcPr>
            <w:tcW w:w="808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60"/>
              <w:spacing w:after="0" w:line="243" w:lineRule="exact"/>
              <w:rPr>
                <w:sz w:val="20"/>
                <w:szCs w:val="20"/>
                <w:color w:val="auto"/>
              </w:rPr>
            </w:pPr>
            <w:r>
              <w:rPr>
                <w:rFonts w:ascii="Arial" w:cs="Arial" w:eastAsia="Arial" w:hAnsi="Arial"/>
                <w:sz w:val="22"/>
                <w:szCs w:val="22"/>
                <w:color w:val="auto"/>
                <w:w w:val="96"/>
              </w:rPr>
              <w:t>Non-controlled, non-affiliated investments (cost—$824,541,549 and $915,874,757,</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856,806,437</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910,552,309</w:t>
            </w:r>
          </w:p>
        </w:tc>
        <w:tc>
          <w:tcPr>
            <w:tcW w:w="0" w:type="dxa"/>
            <w:vAlign w:val="bottom"/>
          </w:tcPr>
          <w:p>
            <w:pPr>
              <w:spacing w:after="0"/>
              <w:rPr>
                <w:sz w:val="1"/>
                <w:szCs w:val="1"/>
                <w:color w:val="auto"/>
              </w:rPr>
            </w:pPr>
          </w:p>
        </w:tc>
      </w:tr>
      <w:tr>
        <w:trPr>
          <w:trHeight w:val="243"/>
        </w:trPr>
        <w:tc>
          <w:tcPr>
            <w:tcW w:w="80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(cost—$22,380,092 and $21,964,181,</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7,432,896</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11,086,834</w:t>
            </w:r>
          </w:p>
        </w:tc>
        <w:tc>
          <w:tcPr>
            <w:tcW w:w="0" w:type="dxa"/>
            <w:vAlign w:val="bottom"/>
          </w:tcPr>
          <w:p>
            <w:pPr>
              <w:spacing w:after="0"/>
              <w:rPr>
                <w:sz w:val="1"/>
                <w:szCs w:val="1"/>
                <w:color w:val="auto"/>
              </w:rPr>
            </w:pPr>
          </w:p>
        </w:tc>
      </w:tr>
      <w:tr>
        <w:trPr>
          <w:trHeight w:val="274"/>
        </w:trPr>
        <w:tc>
          <w:tcPr>
            <w:tcW w:w="8080" w:type="dxa"/>
            <w:vAlign w:val="bottom"/>
          </w:tcPr>
          <w:p>
            <w:pPr>
              <w:ind w:left="260"/>
              <w:spacing w:after="0"/>
              <w:rPr>
                <w:sz w:val="20"/>
                <w:szCs w:val="20"/>
                <w:color w:val="auto"/>
              </w:rPr>
            </w:pPr>
            <w:r>
              <w:rPr>
                <w:rFonts w:ascii="Arial" w:cs="Arial" w:eastAsia="Arial" w:hAnsi="Arial"/>
                <w:sz w:val="22"/>
                <w:szCs w:val="22"/>
                <w:color w:val="auto"/>
                <w:w w:val="91"/>
              </w:rPr>
              <w:t>Controlled, affiliated investments (cost— $223,714,366 and $179,112,500, respectively)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217,380,079</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165,289,324</w:t>
            </w:r>
          </w:p>
        </w:tc>
        <w:tc>
          <w:tcPr>
            <w:tcW w:w="0" w:type="dxa"/>
            <w:vAlign w:val="bottom"/>
          </w:tcPr>
          <w:p>
            <w:pPr>
              <w:spacing w:after="0"/>
              <w:rPr>
                <w:sz w:val="1"/>
                <w:szCs w:val="1"/>
                <w:color w:val="auto"/>
              </w:rPr>
            </w:pPr>
          </w:p>
        </w:tc>
      </w:tr>
      <w:tr>
        <w:trPr>
          <w:trHeight w:val="259"/>
        </w:trPr>
        <w:tc>
          <w:tcPr>
            <w:tcW w:w="8080" w:type="dxa"/>
            <w:vAlign w:val="bottom"/>
          </w:tcPr>
          <w:p>
            <w:pPr>
              <w:ind w:left="260"/>
              <w:spacing w:after="0"/>
              <w:rPr>
                <w:sz w:val="20"/>
                <w:szCs w:val="20"/>
                <w:color w:val="auto"/>
              </w:rPr>
            </w:pPr>
            <w:r>
              <w:rPr>
                <w:rFonts w:ascii="Arial" w:cs="Arial" w:eastAsia="Arial" w:hAnsi="Arial"/>
                <w:sz w:val="22"/>
                <w:szCs w:val="22"/>
                <w:color w:val="auto"/>
              </w:rPr>
              <w:t>Total of investments (cost—$1,070,636,007 and $1,116,951,438,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1,081,619,412</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1,086,928,467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(cost—$49,825,527 and $57,534,421,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49,825,527</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57,511,928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420" w:type="dxa"/>
            <w:vAlign w:val="bottom"/>
          </w:tcPr>
          <w:p>
            <w:pPr>
              <w:jc w:val="right"/>
              <w:spacing w:after="0"/>
              <w:rPr>
                <w:sz w:val="20"/>
                <w:szCs w:val="20"/>
                <w:color w:val="auto"/>
              </w:rPr>
            </w:pPr>
            <w:r>
              <w:rPr>
                <w:rFonts w:ascii="Arial" w:cs="Arial" w:eastAsia="Arial" w:hAnsi="Arial"/>
                <w:sz w:val="22"/>
                <w:szCs w:val="22"/>
                <w:color w:val="auto"/>
              </w:rPr>
              <w:t>5,445,726</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3,673,502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20" w:type="dxa"/>
            <w:vAlign w:val="bottom"/>
          </w:tcPr>
          <w:p>
            <w:pPr>
              <w:jc w:val="right"/>
              <w:spacing w:after="0"/>
              <w:rPr>
                <w:sz w:val="20"/>
                <w:szCs w:val="20"/>
                <w:color w:val="auto"/>
              </w:rPr>
            </w:pPr>
            <w:r>
              <w:rPr>
                <w:rFonts w:ascii="Arial" w:cs="Arial" w:eastAsia="Arial" w:hAnsi="Arial"/>
                <w:sz w:val="22"/>
                <w:szCs w:val="22"/>
                <w:color w:val="auto"/>
              </w:rPr>
              <w:t>33,965,807</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173,318</w:t>
            </w:r>
          </w:p>
        </w:tc>
        <w:tc>
          <w:tcPr>
            <w:tcW w:w="0" w:type="dxa"/>
            <w:vAlign w:val="bottom"/>
          </w:tcPr>
          <w:p>
            <w:pPr>
              <w:spacing w:after="0"/>
              <w:rPr>
                <w:sz w:val="1"/>
                <w:szCs w:val="1"/>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1,170,856,472</w:t>
            </w:r>
          </w:p>
        </w:tc>
        <w:tc>
          <w:tcPr>
            <w:tcW w:w="200" w:type="dxa"/>
            <w:vAlign w:val="bottom"/>
          </w:tcPr>
          <w:p>
            <w:pPr>
              <w:spacing w:after="0"/>
              <w:rPr>
                <w:sz w:val="23"/>
                <w:szCs w:val="2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1,148,287,215</w:t>
            </w: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20" w:type="dxa"/>
            <w:vAlign w:val="bottom"/>
          </w:tcPr>
          <w:p>
            <w:pPr>
              <w:jc w:val="right"/>
              <w:spacing w:after="0"/>
              <w:rPr>
                <w:sz w:val="20"/>
                <w:szCs w:val="20"/>
                <w:color w:val="auto"/>
              </w:rPr>
            </w:pPr>
            <w:r>
              <w:rPr>
                <w:rFonts w:ascii="Arial" w:cs="Arial" w:eastAsia="Arial" w:hAnsi="Arial"/>
                <w:sz w:val="22"/>
                <w:szCs w:val="22"/>
                <w:color w:val="auto"/>
              </w:rPr>
              <w:t>3,690,320</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3,683,347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0" w:gutter="0" w:footer="0" w:header="0"/>
        </w:sectPr>
      </w:pPr>
    </w:p>
    <w:bookmarkStart w:id="8" w:name="page9"/>
    <w:bookmarkEnd w:id="8"/>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13,545,522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3,800,000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2"/>
              </w:rPr>
              <w:t>Credit Facility payable, at fair value (cost—$219,400,000 and $308,598,500,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218,851,500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299,047,275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5"/>
              </w:rPr>
              <w:t>2023 Notes payable, at fair value (par—$117,792,879 and $138,579,858,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111,114,023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129,295,008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2026 Notes payable, net (par—$100,000,000 and zero,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97,170,665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2031 Asset-Backed Debt, net (par—$228,000,000 )</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225,497,177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224,866,334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5,454,784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3,601,479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2,706,828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2,776,477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623,718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2,071,622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1,590,679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1,875,281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680,245,216</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671,016,823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w w:val="93"/>
              </w:rPr>
              <w:t>Common stock, 38,880,728 and 38,772,074 shares issued and outstanding, respectively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22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38,881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538,814,549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538,151,528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Distributable income</w:t>
            </w:r>
          </w:p>
        </w:tc>
        <w:tc>
          <w:tcPr>
            <w:tcW w:w="14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2"/>
                <w:szCs w:val="22"/>
                <w:color w:val="auto"/>
              </w:rPr>
              <w:t>(48,242,174)</w:t>
            </w:r>
          </w:p>
        </w:tc>
        <w:tc>
          <w:tcPr>
            <w:tcW w:w="14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(60,919,908)</w:t>
            </w:r>
          </w:p>
        </w:tc>
        <w:tc>
          <w:tcPr>
            <w:tcW w:w="0" w:type="dxa"/>
            <w:vAlign w:val="bottom"/>
          </w:tcPr>
          <w:p>
            <w:pPr>
              <w:spacing w:after="0"/>
              <w:rPr>
                <w:sz w:val="1"/>
                <w:szCs w:val="1"/>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490,611,256</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477,270,392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1,170,856,472</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1,148,287,215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8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12.62</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900" w:type="dxa"/>
            <w:vAlign w:val="bottom"/>
            <w:gridSpan w:val="5"/>
          </w:tcPr>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3"/>
          </w:tcPr>
          <w:p>
            <w:pPr>
              <w:ind w:left="3080"/>
              <w:spacing w:after="0"/>
              <w:rPr>
                <w:sz w:val="20"/>
                <w:szCs w:val="20"/>
                <w:color w:val="auto"/>
              </w:rPr>
            </w:pPr>
            <w:r>
              <w:rPr>
                <w:rFonts w:ascii="Arial" w:cs="Arial" w:eastAsia="Arial" w:hAnsi="Arial"/>
                <w:sz w:val="22"/>
                <w:szCs w:val="22"/>
                <w:b w:val="1"/>
                <w:bCs w:val="1"/>
                <w:color w:val="auto"/>
              </w:rPr>
              <w:t>CONSOLIDATED STATEMENTS OF OPERATIONS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040" w:type="dxa"/>
            <w:vAlign w:val="bottom"/>
          </w:tcPr>
          <w:p>
            <w:pPr>
              <w:spacing w:after="0"/>
              <w:rPr>
                <w:sz w:val="24"/>
                <w:szCs w:val="24"/>
                <w:color w:val="auto"/>
              </w:rPr>
            </w:pPr>
          </w:p>
        </w:tc>
        <w:tc>
          <w:tcPr>
            <w:tcW w:w="4160" w:type="dxa"/>
            <w:vAlign w:val="bottom"/>
            <w:gridSpan w:val="6"/>
          </w:tcPr>
          <w:p>
            <w:pPr>
              <w:jc w:val="right"/>
              <w:ind w:right="860"/>
              <w:spacing w:after="0"/>
              <w:rPr>
                <w:sz w:val="20"/>
                <w:szCs w:val="20"/>
                <w:color w:val="auto"/>
              </w:rPr>
            </w:pPr>
            <w:r>
              <w:rPr>
                <w:rFonts w:ascii="Arial" w:cs="Arial" w:eastAsia="Arial" w:hAnsi="Arial"/>
                <w:sz w:val="22"/>
                <w:szCs w:val="22"/>
                <w:b w:val="1"/>
                <w:bCs w:val="1"/>
                <w:color w:val="auto"/>
              </w:rPr>
              <w:t>Years Ended September 30,</w:t>
            </w:r>
          </w:p>
        </w:tc>
        <w:tc>
          <w:tcPr>
            <w:tcW w:w="0" w:type="dxa"/>
            <w:vAlign w:val="bottom"/>
          </w:tcPr>
          <w:p>
            <w:pPr>
              <w:spacing w:after="0"/>
              <w:rPr>
                <w:sz w:val="1"/>
                <w:szCs w:val="1"/>
                <w:color w:val="auto"/>
              </w:rPr>
            </w:pPr>
          </w:p>
        </w:tc>
      </w:tr>
      <w:tr>
        <w:trPr>
          <w:trHeight w:val="265"/>
        </w:trPr>
        <w:tc>
          <w:tcPr>
            <w:tcW w:w="704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2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04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0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0" w:type="dxa"/>
            <w:vAlign w:val="bottom"/>
          </w:tcPr>
          <w:p>
            <w:pPr>
              <w:jc w:val="right"/>
              <w:spacing w:after="0"/>
              <w:rPr>
                <w:sz w:val="20"/>
                <w:szCs w:val="20"/>
                <w:color w:val="auto"/>
              </w:rPr>
            </w:pPr>
            <w:r>
              <w:rPr>
                <w:rFonts w:ascii="Arial" w:cs="Arial" w:eastAsia="Arial" w:hAnsi="Arial"/>
                <w:sz w:val="22"/>
                <w:szCs w:val="22"/>
                <w:color w:val="auto"/>
                <w:w w:val="91"/>
              </w:rPr>
              <w:t>$ 56,878,497</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$ 73,250,887</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$ 69,319,954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0" w:type="dxa"/>
            <w:vAlign w:val="bottom"/>
          </w:tcPr>
          <w:p>
            <w:pPr>
              <w:jc w:val="right"/>
              <w:spacing w:after="0"/>
              <w:rPr>
                <w:sz w:val="20"/>
                <w:szCs w:val="20"/>
                <w:color w:val="auto"/>
              </w:rPr>
            </w:pPr>
            <w:r>
              <w:rPr>
                <w:rFonts w:ascii="Arial" w:cs="Arial" w:eastAsia="Arial" w:hAnsi="Arial"/>
                <w:sz w:val="22"/>
                <w:szCs w:val="22"/>
                <w:color w:val="auto"/>
              </w:rPr>
              <w:t>4,153,310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3,565,134</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3,497,784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0" w:type="dxa"/>
            <w:vAlign w:val="bottom"/>
          </w:tcPr>
          <w:p>
            <w:pPr>
              <w:jc w:val="right"/>
              <w:spacing w:after="0"/>
              <w:rPr>
                <w:sz w:val="20"/>
                <w:szCs w:val="20"/>
                <w:color w:val="auto"/>
              </w:rPr>
            </w:pPr>
            <w:r>
              <w:rPr>
                <w:rFonts w:ascii="Arial" w:cs="Arial" w:eastAsia="Arial" w:hAnsi="Arial"/>
                <w:sz w:val="22"/>
                <w:szCs w:val="22"/>
                <w:color w:val="auto"/>
              </w:rPr>
              <w:t>1,309,001</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882,934</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1,237,675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0" w:type="dxa"/>
            <w:vAlign w:val="bottom"/>
          </w:tcPr>
          <w:p>
            <w:pPr>
              <w:jc w:val="right"/>
              <w:spacing w:after="0"/>
              <w:rPr>
                <w:sz w:val="20"/>
                <w:szCs w:val="20"/>
                <w:color w:val="auto"/>
              </w:rPr>
            </w:pPr>
            <w:r>
              <w:rPr>
                <w:rFonts w:ascii="Arial" w:cs="Arial" w:eastAsia="Arial" w:hAnsi="Arial"/>
                <w:sz w:val="22"/>
                <w:szCs w:val="22"/>
                <w:color w:val="auto"/>
              </w:rPr>
              <w:t>122,750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36,170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127,734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0" w:type="dxa"/>
            <w:vAlign w:val="bottom"/>
          </w:tcPr>
          <w:p>
            <w:pPr>
              <w:jc w:val="right"/>
              <w:spacing w:after="0"/>
              <w:rPr>
                <w:sz w:val="20"/>
                <w:szCs w:val="20"/>
                <w:color w:val="auto"/>
              </w:rPr>
            </w:pPr>
            <w:r>
              <w:rPr>
                <w:rFonts w:ascii="Arial" w:cs="Arial" w:eastAsia="Arial" w:hAnsi="Arial"/>
                <w:sz w:val="22"/>
                <w:szCs w:val="22"/>
                <w:color w:val="auto"/>
              </w:rPr>
              <w:t>11,240,574</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11,801,245</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12,464,035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200" w:type="dxa"/>
            <w:vAlign w:val="bottom"/>
          </w:tcPr>
          <w:p>
            <w:pPr>
              <w:jc w:val="right"/>
              <w:spacing w:after="0"/>
              <w:rPr>
                <w:sz w:val="20"/>
                <w:szCs w:val="20"/>
                <w:color w:val="auto"/>
              </w:rPr>
            </w:pPr>
            <w:r>
              <w:rPr>
                <w:rFonts w:ascii="Arial" w:cs="Arial" w:eastAsia="Arial" w:hAnsi="Arial"/>
                <w:sz w:val="22"/>
                <w:szCs w:val="22"/>
                <w:color w:val="auto"/>
              </w:rPr>
              <w:t>8,793,750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5,950,000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6,300,000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0" w:type="dxa"/>
            <w:vAlign w:val="bottom"/>
          </w:tcPr>
          <w:p>
            <w:pPr>
              <w:jc w:val="right"/>
              <w:spacing w:after="0"/>
              <w:rPr>
                <w:sz w:val="20"/>
                <w:szCs w:val="20"/>
                <w:color w:val="auto"/>
              </w:rPr>
            </w:pPr>
            <w:r>
              <w:rPr>
                <w:rFonts w:ascii="Arial" w:cs="Arial" w:eastAsia="Arial" w:hAnsi="Arial"/>
                <w:sz w:val="22"/>
                <w:szCs w:val="22"/>
                <w:color w:val="auto"/>
              </w:rPr>
              <w:t>195,630</w:t>
            </w:r>
          </w:p>
        </w:tc>
        <w:tc>
          <w:tcPr>
            <w:tcW w:w="22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82,693,512</w:t>
            </w:r>
          </w:p>
        </w:tc>
        <w:tc>
          <w:tcPr>
            <w:tcW w:w="22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95,486,370</w:t>
            </w:r>
          </w:p>
        </w:tc>
        <w:tc>
          <w:tcPr>
            <w:tcW w:w="22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92,947,182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00" w:type="dxa"/>
            <w:vAlign w:val="bottom"/>
          </w:tcPr>
          <w:p>
            <w:pPr>
              <w:jc w:val="right"/>
              <w:spacing w:after="0"/>
              <w:rPr>
                <w:sz w:val="20"/>
                <w:szCs w:val="20"/>
                <w:color w:val="auto"/>
              </w:rPr>
            </w:pPr>
            <w:r>
              <w:rPr>
                <w:rFonts w:ascii="Arial" w:cs="Arial" w:eastAsia="Arial" w:hAnsi="Arial"/>
                <w:sz w:val="22"/>
                <w:szCs w:val="22"/>
                <w:color w:val="auto"/>
              </w:rPr>
              <w:t>10,678,288</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11,428,302</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10,209,566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00" w:type="dxa"/>
            <w:vAlign w:val="bottom"/>
          </w:tcPr>
          <w:p>
            <w:pPr>
              <w:jc w:val="right"/>
              <w:spacing w:after="0"/>
              <w:rPr>
                <w:sz w:val="20"/>
                <w:szCs w:val="20"/>
                <w:color w:val="auto"/>
              </w:rPr>
            </w:pPr>
            <w:r>
              <w:rPr>
                <w:rFonts w:ascii="Arial" w:cs="Arial" w:eastAsia="Arial" w:hAnsi="Arial"/>
                <w:sz w:val="22"/>
                <w:szCs w:val="22"/>
                <w:color w:val="auto"/>
              </w:rPr>
              <w:t>5,339,895</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9,300,311</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6,204,112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00" w:type="dxa"/>
            <w:vAlign w:val="bottom"/>
          </w:tcPr>
          <w:p>
            <w:pPr>
              <w:jc w:val="right"/>
              <w:spacing w:after="0"/>
              <w:rPr>
                <w:sz w:val="20"/>
                <w:szCs w:val="20"/>
                <w:color w:val="auto"/>
              </w:rPr>
            </w:pPr>
            <w:r>
              <w:rPr>
                <w:rFonts w:ascii="Arial" w:cs="Arial" w:eastAsia="Arial" w:hAnsi="Arial"/>
                <w:sz w:val="22"/>
                <w:szCs w:val="22"/>
                <w:color w:val="auto"/>
              </w:rPr>
              <w:t>21,650,557</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27,108,452</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22,540,098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00" w:type="dxa"/>
            <w:vAlign w:val="bottom"/>
          </w:tcPr>
          <w:p>
            <w:pPr>
              <w:jc w:val="right"/>
              <w:spacing w:after="0"/>
              <w:rPr>
                <w:sz w:val="20"/>
                <w:szCs w:val="20"/>
                <w:color w:val="auto"/>
              </w:rPr>
            </w:pPr>
            <w:r>
              <w:rPr>
                <w:rFonts w:ascii="Arial" w:cs="Arial" w:eastAsia="Arial" w:hAnsi="Arial"/>
                <w:sz w:val="22"/>
                <w:szCs w:val="22"/>
                <w:color w:val="auto"/>
              </w:rPr>
              <w:t>900,000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1,400,000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1,550,000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1,200,000</w:t>
            </w:r>
          </w:p>
        </w:tc>
        <w:tc>
          <w:tcPr>
            <w:tcW w:w="2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2,464,306</w:t>
            </w:r>
          </w:p>
        </w:tc>
        <w:tc>
          <w:tcPr>
            <w:tcW w:w="2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2,464,306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0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6"/>
              </w:rPr>
              <w:t>Expenses before amendment costs, debt issuance costs and provision for</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taxes</w:t>
            </w:r>
          </w:p>
        </w:tc>
        <w:tc>
          <w:tcPr>
            <w:tcW w:w="1200" w:type="dxa"/>
            <w:vAlign w:val="bottom"/>
          </w:tcPr>
          <w:p>
            <w:pPr>
              <w:jc w:val="right"/>
              <w:spacing w:after="0"/>
              <w:rPr>
                <w:sz w:val="20"/>
                <w:szCs w:val="20"/>
                <w:color w:val="auto"/>
              </w:rPr>
            </w:pPr>
            <w:r>
              <w:rPr>
                <w:rFonts w:ascii="Arial" w:cs="Arial" w:eastAsia="Arial" w:hAnsi="Arial"/>
                <w:sz w:val="22"/>
                <w:szCs w:val="22"/>
                <w:color w:val="auto"/>
              </w:rPr>
              <w:t>39,768,740</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51,701,371</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42,968,082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1200" w:type="dxa"/>
            <w:vAlign w:val="bottom"/>
          </w:tcPr>
          <w:p>
            <w:pPr>
              <w:jc w:val="right"/>
              <w:spacing w:after="0"/>
              <w:rPr>
                <w:sz w:val="20"/>
                <w:szCs w:val="20"/>
                <w:color w:val="auto"/>
              </w:rPr>
            </w:pPr>
            <w:r>
              <w:rPr>
                <w:rFonts w:ascii="Arial" w:cs="Arial" w:eastAsia="Arial" w:hAnsi="Arial"/>
                <w:sz w:val="22"/>
                <w:szCs w:val="22"/>
                <w:color w:val="auto"/>
              </w:rPr>
              <w:t>2,898,401</w:t>
            </w:r>
          </w:p>
        </w:tc>
        <w:tc>
          <w:tcPr>
            <w:tcW w:w="22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4,517,292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00" w:type="dxa"/>
            <w:vAlign w:val="bottom"/>
          </w:tcPr>
          <w:p>
            <w:pPr>
              <w:jc w:val="right"/>
              <w:spacing w:after="0"/>
              <w:rPr>
                <w:sz w:val="20"/>
                <w:szCs w:val="20"/>
                <w:color w:val="auto"/>
              </w:rPr>
            </w:pPr>
            <w:r>
              <w:rPr>
                <w:rFonts w:ascii="Arial" w:cs="Arial" w:eastAsia="Arial" w:hAnsi="Arial"/>
                <w:sz w:val="22"/>
                <w:szCs w:val="22"/>
                <w:color w:val="auto"/>
              </w:rPr>
              <w:t>400,000</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400,000</w:t>
            </w:r>
          </w:p>
        </w:tc>
        <w:tc>
          <w:tcPr>
            <w:tcW w:w="22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43,067,141</w:t>
            </w:r>
          </w:p>
        </w:tc>
        <w:tc>
          <w:tcPr>
            <w:tcW w:w="22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52,101,371</w:t>
            </w:r>
          </w:p>
        </w:tc>
        <w:tc>
          <w:tcPr>
            <w:tcW w:w="22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47,485,374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39,626,371</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43,384,999</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45,461,808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22"/>
                <w:szCs w:val="22"/>
                <w:b w:val="1"/>
                <w:bCs w:val="1"/>
                <w:color w:val="auto"/>
              </w:rPr>
              <w:t>Realized and unrealized (loss) gain on investments and debt:</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Net realized loss on:</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0" w:type="dxa"/>
            <w:vAlign w:val="bottom"/>
          </w:tcPr>
          <w:p>
            <w:pPr>
              <w:jc w:val="right"/>
              <w:spacing w:after="0"/>
              <w:rPr>
                <w:sz w:val="20"/>
                <w:szCs w:val="20"/>
                <w:color w:val="auto"/>
              </w:rPr>
            </w:pPr>
            <w:r>
              <w:rPr>
                <w:rFonts w:ascii="Arial" w:cs="Arial" w:eastAsia="Arial" w:hAnsi="Arial"/>
                <w:sz w:val="22"/>
                <w:szCs w:val="22"/>
                <w:color w:val="auto"/>
              </w:rPr>
              <w:t>24,615,558</w:t>
            </w:r>
          </w:p>
        </w:tc>
        <w:tc>
          <w:tcPr>
            <w:tcW w:w="2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(6,998,886)</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(18,802,365)</w:t>
            </w:r>
          </w:p>
        </w:tc>
        <w:tc>
          <w:tcPr>
            <w:tcW w:w="0" w:type="dxa"/>
            <w:vAlign w:val="bottom"/>
          </w:tcPr>
          <w:p>
            <w:pPr>
              <w:spacing w:after="0"/>
              <w:rPr>
                <w:sz w:val="1"/>
                <w:szCs w:val="1"/>
                <w:color w:val="auto"/>
              </w:rPr>
            </w:pPr>
          </w:p>
        </w:tc>
      </w:tr>
      <w:tr>
        <w:trPr>
          <w:trHeight w:val="274"/>
        </w:trPr>
        <w:tc>
          <w:tcPr>
            <w:tcW w:w="70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2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(37,409,065 )</w:t>
            </w: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(5,683,145)</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w w:val="97"/>
              </w:rPr>
              <w:t>(12,621,504 )</w:t>
            </w:r>
          </w:p>
        </w:tc>
        <w:tc>
          <w:tcPr>
            <w:tcW w:w="0" w:type="dxa"/>
            <w:vAlign w:val="bottom"/>
          </w:tcPr>
          <w:p>
            <w:pPr>
              <w:spacing w:after="0"/>
              <w:rPr>
                <w:sz w:val="1"/>
                <w:szCs w:val="1"/>
                <w:color w:val="auto"/>
              </w:rPr>
            </w:pPr>
          </w:p>
        </w:tc>
      </w:tr>
      <w:tr>
        <w:trPr>
          <w:trHeight w:val="259"/>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Net realized loss on investments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4"/>
              </w:rPr>
              <w:t>(12,796,507)</w:t>
            </w:r>
          </w:p>
        </w:tc>
        <w:tc>
          <w:tcPr>
            <w:tcW w:w="220" w:type="dxa"/>
            <w:vAlign w:val="bottom"/>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6"/>
              </w:rPr>
              <w:t>(12,682,031)</w:t>
            </w:r>
          </w:p>
        </w:tc>
        <w:tc>
          <w:tcPr>
            <w:tcW w:w="220" w:type="dxa"/>
            <w:vAlign w:val="bottom"/>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6"/>
              </w:rPr>
              <w:t>(31,423,869)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0" w:type="dxa"/>
            <w:vAlign w:val="bottom"/>
          </w:tcPr>
          <w:p>
            <w:pPr>
              <w:jc w:val="right"/>
              <w:spacing w:after="0"/>
              <w:rPr>
                <w:sz w:val="20"/>
                <w:szCs w:val="20"/>
                <w:color w:val="auto"/>
              </w:rPr>
            </w:pPr>
            <w:r>
              <w:rPr>
                <w:rFonts w:ascii="Arial" w:cs="Arial" w:eastAsia="Arial" w:hAnsi="Arial"/>
                <w:sz w:val="22"/>
                <w:szCs w:val="22"/>
                <w:color w:val="auto"/>
              </w:rPr>
              <w:t>30,881,375</w:t>
            </w:r>
          </w:p>
        </w:tc>
        <w:tc>
          <w:tcPr>
            <w:tcW w:w="2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(7,390,333)</w:t>
            </w:r>
          </w:p>
        </w:tc>
        <w:tc>
          <w:tcPr>
            <w:tcW w:w="1220" w:type="dxa"/>
            <w:vAlign w:val="bottom"/>
          </w:tcPr>
          <w:p>
            <w:pPr>
              <w:jc w:val="right"/>
              <w:spacing w:after="0"/>
              <w:rPr>
                <w:sz w:val="20"/>
                <w:szCs w:val="20"/>
                <w:color w:val="auto"/>
              </w:rPr>
            </w:pPr>
            <w:r>
              <w:rPr>
                <w:rFonts w:ascii="Arial" w:cs="Arial" w:eastAsia="Arial" w:hAnsi="Arial"/>
                <w:sz w:val="22"/>
                <w:szCs w:val="22"/>
                <w:color w:val="auto"/>
              </w:rPr>
              <w:t>2,640,050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4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1200" w:type="dxa"/>
            <w:vAlign w:val="bottom"/>
          </w:tcPr>
          <w:p>
            <w:pPr>
              <w:jc w:val="right"/>
              <w:spacing w:after="0"/>
              <w:rPr>
                <w:sz w:val="20"/>
                <w:szCs w:val="20"/>
                <w:color w:val="auto"/>
              </w:rPr>
            </w:pPr>
            <w:r>
              <w:rPr>
                <w:rFonts w:ascii="Arial" w:cs="Arial" w:eastAsia="Arial" w:hAnsi="Arial"/>
                <w:sz w:val="22"/>
                <w:szCs w:val="22"/>
                <w:color w:val="auto"/>
              </w:rPr>
              <w:t>10,413,524</w:t>
            </w:r>
          </w:p>
        </w:tc>
        <w:tc>
          <w:tcPr>
            <w:tcW w:w="22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22"/>
                <w:szCs w:val="22"/>
                <w:color w:val="auto"/>
              </w:rPr>
              <w:t>(19,076,975)</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(5,245,396)</w:t>
            </w:r>
          </w:p>
        </w:tc>
        <w:tc>
          <w:tcPr>
            <w:tcW w:w="0" w:type="dxa"/>
            <w:vAlign w:val="bottom"/>
          </w:tcPr>
          <w:p>
            <w:pPr>
              <w:spacing w:after="0"/>
              <w:rPr>
                <w:sz w:val="1"/>
                <w:szCs w:val="1"/>
                <w:color w:val="auto"/>
              </w:rPr>
            </w:pPr>
          </w:p>
        </w:tc>
      </w:tr>
    </w:tbl>
    <w:p>
      <w:pPr>
        <w:sectPr>
          <w:pgSz w:w="11900" w:h="16901" w:orient="portrait"/>
          <w:cols w:equalWidth="0" w:num="1">
            <w:col w:w="11200"/>
          </w:cols>
          <w:pgMar w:left="340" w:top="118" w:right="359" w:bottom="0" w:gutter="0" w:footer="0" w:header="0"/>
        </w:sectPr>
      </w:pPr>
    </w:p>
    <w:bookmarkStart w:id="9" w:name="page10"/>
    <w:bookmarkEnd w:id="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704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w w:val="87"/>
              </w:rPr>
              <w:t>(11,608,720 )</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14,177,384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(16,487)</w:t>
            </w:r>
          </w:p>
        </w:tc>
        <w:tc>
          <w:tcPr>
            <w:tcW w:w="0" w:type="dxa"/>
            <w:vAlign w:val="bottom"/>
          </w:tcPr>
          <w:p>
            <w:pPr>
              <w:spacing w:after="0"/>
              <w:rPr>
                <w:sz w:val="1"/>
                <w:szCs w:val="1"/>
                <w:color w:val="auto"/>
              </w:rPr>
            </w:pPr>
          </w:p>
        </w:tc>
      </w:tr>
      <w:tr>
        <w:trPr>
          <w:trHeight w:val="213"/>
        </w:trPr>
        <w:tc>
          <w:tcPr>
            <w:tcW w:w="70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(depreciation) appreciation on investments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040" w:type="dxa"/>
            <w:vAlign w:val="bottom"/>
          </w:tcPr>
          <w:p>
            <w:pPr>
              <w:ind w:left="260"/>
              <w:spacing w:after="0"/>
              <w:rPr>
                <w:sz w:val="20"/>
                <w:szCs w:val="20"/>
                <w:color w:val="auto"/>
              </w:rPr>
            </w:pPr>
            <w:r>
              <w:rPr>
                <w:rFonts w:ascii="Arial" w:cs="Arial" w:eastAsia="Arial" w:hAnsi="Arial"/>
                <w:sz w:val="22"/>
                <w:szCs w:val="22"/>
                <w:b w:val="1"/>
                <w:bCs w:val="1"/>
                <w:color w:val="auto"/>
              </w:rPr>
              <w:t>and debt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29,686,179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2"/>
              <w:spacing w:after="0"/>
              <w:rPr>
                <w:sz w:val="20"/>
                <w:szCs w:val="20"/>
                <w:color w:val="auto"/>
              </w:rPr>
            </w:pPr>
            <w:r>
              <w:rPr>
                <w:rFonts w:ascii="Arial" w:cs="Arial" w:eastAsia="Arial" w:hAnsi="Arial"/>
                <w:sz w:val="22"/>
                <w:szCs w:val="22"/>
                <w:color w:val="auto"/>
                <w:w w:val="87"/>
              </w:rPr>
              <w:t>(12,289,924 )</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(2,621,833)</w:t>
            </w:r>
          </w:p>
        </w:tc>
        <w:tc>
          <w:tcPr>
            <w:tcW w:w="0" w:type="dxa"/>
            <w:vAlign w:val="bottom"/>
          </w:tcPr>
          <w:p>
            <w:pPr>
              <w:spacing w:after="0"/>
              <w:rPr>
                <w:sz w:val="1"/>
                <w:szCs w:val="1"/>
                <w:color w:val="auto"/>
              </w:rPr>
            </w:pPr>
          </w:p>
        </w:tc>
      </w:tr>
      <w:tr>
        <w:trPr>
          <w:trHeight w:val="267"/>
        </w:trPr>
        <w:tc>
          <w:tcPr>
            <w:tcW w:w="704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gain from investments and debt</w:t>
            </w: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16,889,672</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(24,971,955</w:t>
            </w:r>
          </w:p>
        </w:tc>
        <w:tc>
          <w:tcPr>
            <w:tcW w:w="22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(34,045,702</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63"/>
        </w:trPr>
        <w:tc>
          <w:tcPr>
            <w:tcW w:w="704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56,516,043</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18,413,044</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11,416,106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04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1.46</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0.47</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04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Cheung</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2021-11-17T15:43:24Z</dcterms:created>
  <dcterms:modified xsi:type="dcterms:W3CDTF">2021-11-17T15:43:24Z</dcterms:modified>
</cp:coreProperties>
</file>