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497</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333-215111</w:t>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$500,000,000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2440940</wp:posOffset>
            </wp:positionH>
            <wp:positionV relativeFrom="paragraph">
              <wp:posOffset>139700</wp:posOffset>
            </wp:positionV>
            <wp:extent cx="2383790"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79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Subscription Rights</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6" w:lineRule="exact"/>
        <w:rPr>
          <w:sz w:val="24"/>
          <w:szCs w:val="24"/>
          <w:color w:val="auto"/>
        </w:rPr>
      </w:pPr>
    </w:p>
    <w:p>
      <w:pPr>
        <w:ind w:right="500" w:firstLine="571"/>
        <w:spacing w:after="0" w:line="268" w:lineRule="auto"/>
        <w:rPr>
          <w:sz w:val="20"/>
          <w:szCs w:val="20"/>
          <w:color w:val="auto"/>
        </w:rPr>
      </w:pPr>
      <w:r>
        <w:rPr>
          <w:rFonts w:ascii="Arial" w:cs="Arial" w:eastAsia="Arial" w:hAnsi="Arial"/>
          <w:sz w:val="18"/>
          <w:szCs w:val="18"/>
          <w:color w:val="auto"/>
        </w:rPr>
        <w:t>PennantPark Floating Rate Capital Ltd. is a closed-end, externally managed, non-diversified investment company that has elected to be treated as a business development company under the Investment Company Act of 1940, as amended.</w:t>
      </w:r>
    </w:p>
    <w:p>
      <w:pPr>
        <w:spacing w:after="0" w:line="51" w:lineRule="exact"/>
        <w:rPr>
          <w:sz w:val="24"/>
          <w:szCs w:val="24"/>
          <w:color w:val="auto"/>
        </w:rPr>
      </w:pPr>
    </w:p>
    <w:p>
      <w:pPr>
        <w:ind w:right="280" w:firstLine="571"/>
        <w:spacing w:after="0" w:line="298" w:lineRule="auto"/>
        <w:rPr>
          <w:sz w:val="20"/>
          <w:szCs w:val="20"/>
          <w:color w:val="auto"/>
        </w:rPr>
      </w:pPr>
      <w:r>
        <w:rPr>
          <w:rFonts w:ascii="Arial" w:cs="Arial" w:eastAsia="Arial" w:hAnsi="Arial"/>
          <w:sz w:val="16"/>
          <w:szCs w:val="16"/>
          <w:color w:val="auto"/>
        </w:rPr>
        <w:t>Our investment objectives are to generate current income and capital appreciation while seeking to preserve capital by investing primarily in loans bearing a variable-rate of interest, or Floating Rate Loans, and other investments made to U.S. middle-market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32" w:lineRule="exact"/>
        <w:rPr>
          <w:sz w:val="24"/>
          <w:szCs w:val="24"/>
          <w:color w:val="auto"/>
        </w:rPr>
      </w:pPr>
    </w:p>
    <w:p>
      <w:pPr>
        <w:ind w:right="720" w:firstLine="571"/>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4"/>
          <w:szCs w:val="24"/>
          <w:color w:val="auto"/>
        </w:rPr>
      </w:pPr>
    </w:p>
    <w:p>
      <w:pPr>
        <w:ind w:right="60" w:firstLine="571"/>
        <w:spacing w:after="0" w:line="287" w:lineRule="auto"/>
        <w:rPr>
          <w:sz w:val="20"/>
          <w:szCs w:val="20"/>
          <w:color w:val="auto"/>
        </w:rPr>
      </w:pPr>
      <w:r>
        <w:rPr>
          <w:rFonts w:ascii="Arial" w:cs="Arial" w:eastAsia="Arial" w:hAnsi="Arial"/>
          <w:sz w:val="16"/>
          <w:szCs w:val="16"/>
          <w:color w:val="auto"/>
        </w:rPr>
        <w:t>We may offer, from time to time, in one or more offerings or series, together or separately, up to $500,000,000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8 and “Sales of Common Stock Below Net Asset Value” on page 49 of this prospectus for more information.</w:t>
      </w:r>
    </w:p>
    <w:p>
      <w:pPr>
        <w:spacing w:after="0" w:line="42" w:lineRule="exact"/>
        <w:rPr>
          <w:sz w:val="24"/>
          <w:szCs w:val="24"/>
          <w:color w:val="auto"/>
        </w:rPr>
      </w:pPr>
    </w:p>
    <w:p>
      <w:pPr>
        <w:ind w:right="160" w:firstLine="571"/>
        <w:spacing w:after="0" w:line="268" w:lineRule="auto"/>
        <w:rPr>
          <w:sz w:val="20"/>
          <w:szCs w:val="20"/>
          <w:color w:val="auto"/>
        </w:rPr>
      </w:pPr>
      <w:r>
        <w:rPr>
          <w:rFonts w:ascii="Arial" w:cs="Arial" w:eastAsia="Arial" w:hAnsi="Arial"/>
          <w:sz w:val="18"/>
          <w:szCs w:val="18"/>
          <w:color w:val="auto"/>
        </w:rPr>
        <w:t>Our common stock is traded on the NASDAQ Global Select Market under the symbol “PFLT.” The last reported closing price for our common stock on January 13, 2017 was $14.10 per share, and our net asset value on September 30, 2016 was $14.06 per share.</w:t>
      </w:r>
    </w:p>
    <w:p>
      <w:pPr>
        <w:spacing w:after="0" w:line="51" w:lineRule="exact"/>
        <w:rPr>
          <w:sz w:val="24"/>
          <w:szCs w:val="24"/>
          <w:color w:val="auto"/>
        </w:rPr>
      </w:pPr>
    </w:p>
    <w:p>
      <w:pPr>
        <w:ind w:firstLine="571"/>
        <w:spacing w:after="0" w:line="294"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4"/>
          <w:szCs w:val="24"/>
          <w:color w:val="auto"/>
        </w:rPr>
      </w:pPr>
    </w:p>
    <w:p>
      <w:pPr>
        <w:jc w:val="both"/>
        <w:ind w:right="100" w:firstLine="571"/>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11">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8 of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1" w:lineRule="exact"/>
        <w:rPr>
          <w:sz w:val="24"/>
          <w:szCs w:val="24"/>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Prospectus dated January 19, 2017</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20" w:type="dxa"/>
            <w:vAlign w:val="bottom"/>
            <w:gridSpan w:val="3"/>
          </w:tcPr>
          <w:p>
            <w:pPr>
              <w:jc w:val="center"/>
              <w:ind w:right="4100"/>
              <w:spacing w:after="0"/>
              <w:rPr>
                <w:sz w:val="20"/>
                <w:szCs w:val="20"/>
                <w:color w:val="auto"/>
              </w:rPr>
            </w:pPr>
            <w:r>
              <w:rPr>
                <w:rFonts w:ascii="Arial" w:cs="Arial" w:eastAsia="Arial" w:hAnsi="Arial"/>
                <w:sz w:val="18"/>
                <w:szCs w:val="18"/>
                <w:b w:val="1"/>
                <w:bCs w:val="1"/>
                <w:color w:val="auto"/>
                <w:w w:val="96"/>
              </w:rPr>
              <w:t>TABLE OF CONTENTS</w:t>
            </w:r>
          </w:p>
        </w:tc>
        <w:tc>
          <w:tcPr>
            <w:tcW w:w="540" w:type="dxa"/>
            <w:vAlign w:val="bottom"/>
          </w:tcPr>
          <w:p>
            <w:pPr>
              <w:spacing w:after="0"/>
              <w:rPr>
                <w:sz w:val="19"/>
                <w:szCs w:val="19"/>
                <w:color w:val="auto"/>
              </w:rPr>
            </w:pPr>
          </w:p>
        </w:tc>
      </w:tr>
      <w:tr>
        <w:trPr>
          <w:trHeight w:val="353"/>
        </w:trPr>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23"/>
        </w:trPr>
        <w:tc>
          <w:tcPr>
            <w:tcW w:w="10780" w:type="dxa"/>
            <w:vAlign w:val="bottom"/>
            <w:gridSpan w:val="3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17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2"/>
          </w:tcPr>
          <w:p>
            <w:pPr>
              <w:spacing w:after="0"/>
              <w:rPr>
                <w:sz w:val="22"/>
                <w:szCs w:val="22"/>
                <w:color w:val="auto"/>
              </w:rPr>
            </w:pPr>
          </w:p>
        </w:tc>
        <w:tc>
          <w:tcPr>
            <w:tcW w:w="8740" w:type="dxa"/>
            <w:vAlign w:val="bottom"/>
            <w:gridSpan w:val="21"/>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FORWARD-LOOKING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4"/>
        </w:trPr>
        <w:tc>
          <w:tcPr>
            <w:tcW w:w="2860" w:type="dxa"/>
            <w:vAlign w:val="bottom"/>
            <w:tcBorders>
              <w:top w:val="single" w:sz="8" w:color="0000EE"/>
            </w:tcBorders>
            <w:gridSpan w:val="1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USE OF PROCEEDS</w:t>
              </w:r>
            </w:hyperlink>
          </w:p>
        </w:tc>
        <w:tc>
          <w:tcPr>
            <w:tcW w:w="7920" w:type="dxa"/>
            <w:vAlign w:val="bottom"/>
            <w:gridSpan w:val="17"/>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2380" w:type="dxa"/>
            <w:vAlign w:val="bottom"/>
            <w:tcBorders>
              <w:bottom w:val="single" w:sz="8" w:color="0000EE"/>
            </w:tcBorders>
            <w:gridSpan w:val="12"/>
          </w:tcPr>
          <w:p>
            <w:pPr>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SELECTED FINANCIAL DATA</w:t>
              </w:r>
            </w:hyperlink>
          </w:p>
        </w:tc>
        <w:tc>
          <w:tcPr>
            <w:tcW w:w="8400" w:type="dxa"/>
            <w:vAlign w:val="bottom"/>
            <w:gridSpan w:val="20"/>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64"/>
        </w:trPr>
        <w:tc>
          <w:tcPr>
            <w:tcW w:w="8700" w:type="dxa"/>
            <w:vAlign w:val="bottom"/>
            <w:tcBorders>
              <w:top w:val="single" w:sz="8" w:color="0000EE"/>
            </w:tcBorders>
            <w:gridSpan w:val="31"/>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SENIOR SECURITIES</w:t>
              </w:r>
            </w:hyperlink>
          </w:p>
        </w:tc>
        <w:tc>
          <w:tcPr>
            <w:tcW w:w="20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290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PRICE RANGE OF COMMON STOCK</w:t>
              </w:r>
            </w:hyperlink>
          </w:p>
        </w:tc>
        <w:tc>
          <w:tcPr>
            <w:tcW w:w="7880" w:type="dxa"/>
            <w:vAlign w:val="bottom"/>
            <w:gridSpan w:val="16"/>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64"/>
        </w:trPr>
        <w:tc>
          <w:tcPr>
            <w:tcW w:w="4540" w:type="dxa"/>
            <w:vAlign w:val="bottom"/>
            <w:tcBorders>
              <w:bottom w:val="single" w:sz="8" w:color="0000EE"/>
            </w:tcBorders>
            <w:gridSpan w:val="27"/>
          </w:tcPr>
          <w:p>
            <w:pPr>
              <w:spacing w:after="0"/>
              <w:rPr>
                <w:rFonts w:ascii="Arial" w:cs="Arial" w:eastAsia="Arial" w:hAnsi="Arial"/>
                <w:sz w:val="18"/>
                <w:szCs w:val="18"/>
                <w:color w:val="0000EE"/>
                <w:w w:val="93"/>
              </w:rPr>
            </w:pPr>
            <w:hyperlink w:anchor="page52">
              <w:r>
                <w:rPr>
                  <w:rFonts w:ascii="Arial" w:cs="Arial" w:eastAsia="Arial" w:hAnsi="Arial"/>
                  <w:sz w:val="18"/>
                  <w:szCs w:val="18"/>
                  <w:color w:val="0000EE"/>
                  <w:w w:val="93"/>
                </w:rPr>
                <w:t>SALES OF COMMON STOCK BELOW NET ASSET VALUE</w:t>
              </w:r>
            </w:hyperlink>
          </w:p>
        </w:tc>
        <w:tc>
          <w:tcPr>
            <w:tcW w:w="6240" w:type="dxa"/>
            <w:vAlign w:val="bottom"/>
            <w:gridSpan w:val="5"/>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64"/>
        </w:trPr>
        <w:tc>
          <w:tcPr>
            <w:tcW w:w="134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DISTRIBUTIONS</w:t>
              </w:r>
            </w:hyperlink>
          </w:p>
        </w:tc>
        <w:tc>
          <w:tcPr>
            <w:tcW w:w="9440" w:type="dxa"/>
            <w:vAlign w:val="bottom"/>
            <w:gridSpan w:val="27"/>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64"/>
        </w:trPr>
        <w:tc>
          <w:tcPr>
            <w:tcW w:w="840" w:type="dxa"/>
            <w:vAlign w:val="bottom"/>
            <w:tcBorders>
              <w:bottom w:val="single" w:sz="8" w:color="0000EE"/>
            </w:tcBorders>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BUSINESS</w:t>
              </w:r>
            </w:hyperlink>
          </w:p>
        </w:tc>
        <w:tc>
          <w:tcPr>
            <w:tcW w:w="9940" w:type="dxa"/>
            <w:vAlign w:val="bottom"/>
            <w:gridSpan w:val="31"/>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INVESTMENT OBJECTIVES AND POLICIES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64"/>
        </w:trPr>
        <w:tc>
          <w:tcPr>
            <w:tcW w:w="3440" w:type="dxa"/>
            <w:vAlign w:val="bottom"/>
            <w:tcBorders>
              <w:top w:val="single" w:sz="8" w:color="0000EE"/>
            </w:tcBorders>
            <w:gridSpan w:val="20"/>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PORTFOLIO COMPANIES</w:t>
              </w:r>
            </w:hyperlink>
          </w:p>
        </w:tc>
        <w:tc>
          <w:tcPr>
            <w:tcW w:w="7340" w:type="dxa"/>
            <w:vAlign w:val="bottom"/>
            <w:gridSpan w:val="1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64"/>
        </w:trPr>
        <w:tc>
          <w:tcPr>
            <w:tcW w:w="12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7"/>
              </w:rPr>
            </w:pPr>
            <w:hyperlink w:anchor="page77">
              <w:r>
                <w:rPr>
                  <w:rFonts w:ascii="Arial" w:cs="Arial" w:eastAsia="Arial" w:hAnsi="Arial"/>
                  <w:sz w:val="18"/>
                  <w:szCs w:val="18"/>
                  <w:color w:val="0000EE"/>
                  <w:w w:val="97"/>
                </w:rPr>
                <w:t>MANAGEMENT</w:t>
              </w:r>
            </w:hyperlink>
          </w:p>
        </w:tc>
        <w:tc>
          <w:tcPr>
            <w:tcW w:w="720" w:type="dxa"/>
            <w:vAlign w:val="bottom"/>
            <w:tcBorders>
              <w:top w:val="single" w:sz="8" w:color="0000EE"/>
            </w:tcBorders>
            <w:gridSpan w:val="6"/>
          </w:tcPr>
          <w:p>
            <w:pPr>
              <w:spacing w:after="0"/>
              <w:rPr>
                <w:sz w:val="22"/>
                <w:szCs w:val="22"/>
                <w:color w:val="auto"/>
              </w:rPr>
            </w:pPr>
          </w:p>
        </w:tc>
        <w:tc>
          <w:tcPr>
            <w:tcW w:w="8780" w:type="dxa"/>
            <w:vAlign w:val="bottom"/>
            <w:gridSpan w:val="2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64"/>
        </w:trPr>
        <w:tc>
          <w:tcPr>
            <w:tcW w:w="4440" w:type="dxa"/>
            <w:vAlign w:val="bottom"/>
            <w:tcBorders>
              <w:bottom w:val="single" w:sz="8" w:color="0000EE"/>
            </w:tcBorders>
            <w:gridSpan w:val="26"/>
          </w:tcPr>
          <w:p>
            <w:pPr>
              <w:spacing w:after="0"/>
              <w:rPr>
                <w:rFonts w:ascii="Arial" w:cs="Arial" w:eastAsia="Arial" w:hAnsi="Arial"/>
                <w:sz w:val="18"/>
                <w:szCs w:val="18"/>
                <w:color w:val="0000EE"/>
                <w:w w:val="92"/>
              </w:rPr>
            </w:pPr>
            <w:hyperlink w:anchor="page83">
              <w:r>
                <w:rPr>
                  <w:rFonts w:ascii="Arial" w:cs="Arial" w:eastAsia="Arial" w:hAnsi="Arial"/>
                  <w:sz w:val="18"/>
                  <w:szCs w:val="18"/>
                  <w:color w:val="0000EE"/>
                  <w:w w:val="92"/>
                </w:rPr>
                <w:t>CONTROL PERSONS AND PRINCIPAL STOCKHOLDERS</w:t>
              </w:r>
            </w:hyperlink>
          </w:p>
        </w:tc>
        <w:tc>
          <w:tcPr>
            <w:tcW w:w="6340" w:type="dxa"/>
            <w:vAlign w:val="bottom"/>
            <w:gridSpan w:val="6"/>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CERTAIN RELATIONSHIPS AND TRANSACTIONS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64"/>
        </w:trPr>
        <w:tc>
          <w:tcPr>
            <w:tcW w:w="330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4"/>
              </w:rPr>
            </w:pPr>
            <w:hyperlink w:anchor="page91">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5"/>
          </w:tcPr>
          <w:p>
            <w:pPr>
              <w:spacing w:after="0"/>
              <w:rPr>
                <w:sz w:val="22"/>
                <w:szCs w:val="22"/>
                <w:color w:val="auto"/>
              </w:rPr>
            </w:pPr>
          </w:p>
        </w:tc>
        <w:tc>
          <w:tcPr>
            <w:tcW w:w="6860" w:type="dxa"/>
            <w:vAlign w:val="bottom"/>
            <w:gridSpan w:val="9"/>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64"/>
        </w:trPr>
        <w:tc>
          <w:tcPr>
            <w:tcW w:w="2760" w:type="dxa"/>
            <w:vAlign w:val="bottom"/>
            <w:tcBorders>
              <w:bottom w:val="single" w:sz="8" w:color="0000EE"/>
            </w:tcBorders>
            <w:gridSpan w:val="13"/>
          </w:tcPr>
          <w:p>
            <w:pPr>
              <w:spacing w:after="0"/>
              <w:rPr>
                <w:rFonts w:ascii="Arial" w:cs="Arial" w:eastAsia="Arial" w:hAnsi="Arial"/>
                <w:sz w:val="18"/>
                <w:szCs w:val="18"/>
                <w:color w:val="0000EE"/>
                <w:w w:val="96"/>
              </w:rPr>
            </w:pPr>
            <w:hyperlink w:anchor="page93">
              <w:r>
                <w:rPr>
                  <w:rFonts w:ascii="Arial" w:cs="Arial" w:eastAsia="Arial" w:hAnsi="Arial"/>
                  <w:sz w:val="18"/>
                  <w:szCs w:val="18"/>
                  <w:color w:val="0000EE"/>
                  <w:w w:val="96"/>
                </w:rPr>
                <w:t>DIVIDEND REINVESTMENT PLAN</w:t>
              </w:r>
            </w:hyperlink>
          </w:p>
        </w:tc>
        <w:tc>
          <w:tcPr>
            <w:tcW w:w="8020" w:type="dxa"/>
            <w:vAlign w:val="bottom"/>
            <w:gridSpan w:val="19"/>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64"/>
        </w:trPr>
        <w:tc>
          <w:tcPr>
            <w:tcW w:w="322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94">
              <w:r>
                <w:rPr>
                  <w:rFonts w:ascii="Arial" w:cs="Arial" w:eastAsia="Arial" w:hAnsi="Arial"/>
                  <w:sz w:val="18"/>
                  <w:szCs w:val="18"/>
                  <w:color w:val="0000EE"/>
                  <w:w w:val="92"/>
                </w:rPr>
                <w:t>DESCRIPTION OF OUR CAPITAL STOCK</w:t>
              </w:r>
            </w:hyperlink>
          </w:p>
        </w:tc>
        <w:tc>
          <w:tcPr>
            <w:tcW w:w="7560" w:type="dxa"/>
            <w:vAlign w:val="bottom"/>
            <w:gridSpan w:val="15"/>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DESCRIPTION OF OUR PREFERRED STOCK</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64"/>
        </w:trPr>
        <w:tc>
          <w:tcPr>
            <w:tcW w:w="3480" w:type="dxa"/>
            <w:vAlign w:val="bottom"/>
            <w:tcBorders>
              <w:top w:val="single" w:sz="8" w:color="0000EE"/>
            </w:tcBorders>
            <w:gridSpan w:val="21"/>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DESCRIPTION OF OUR WARRANTS</w:t>
              </w:r>
            </w:hyperlink>
          </w:p>
        </w:tc>
        <w:tc>
          <w:tcPr>
            <w:tcW w:w="7300" w:type="dxa"/>
            <w:vAlign w:val="bottom"/>
            <w:gridSpan w:val="11"/>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DESCRIPTION OF OUR SUBSCRIPTION RIGHTS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64"/>
        </w:trPr>
        <w:tc>
          <w:tcPr>
            <w:tcW w:w="338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2"/>
              </w:rPr>
            </w:pPr>
            <w:hyperlink w:anchor="page102">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3"/>
          </w:tcPr>
          <w:p>
            <w:pPr>
              <w:spacing w:after="0"/>
              <w:rPr>
                <w:sz w:val="22"/>
                <w:szCs w:val="22"/>
                <w:color w:val="auto"/>
              </w:rPr>
            </w:pPr>
          </w:p>
        </w:tc>
        <w:tc>
          <w:tcPr>
            <w:tcW w:w="6980" w:type="dxa"/>
            <w:vAlign w:val="bottom"/>
            <w:gridSpan w:val="10"/>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64"/>
        </w:trPr>
        <w:tc>
          <w:tcPr>
            <w:tcW w:w="112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113">
              <w:r>
                <w:rPr>
                  <w:rFonts w:ascii="Arial" w:cs="Arial" w:eastAsia="Arial" w:hAnsi="Arial"/>
                  <w:sz w:val="18"/>
                  <w:szCs w:val="18"/>
                  <w:color w:val="0000EE"/>
                  <w:w w:val="93"/>
                </w:rPr>
                <w:t>REGULATION</w:t>
              </w:r>
            </w:hyperlink>
          </w:p>
        </w:tc>
        <w:tc>
          <w:tcPr>
            <w:tcW w:w="9660" w:type="dxa"/>
            <w:vAlign w:val="bottom"/>
            <w:gridSpan w:val="30"/>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64"/>
        </w:trPr>
        <w:tc>
          <w:tcPr>
            <w:tcW w:w="4380" w:type="dxa"/>
            <w:vAlign w:val="bottom"/>
            <w:tcBorders>
              <w:bottom w:val="single" w:sz="8" w:color="0000EE"/>
            </w:tcBorders>
            <w:gridSpan w:val="25"/>
          </w:tcPr>
          <w:p>
            <w:pPr>
              <w:spacing w:after="0"/>
              <w:rPr>
                <w:rFonts w:ascii="Arial" w:cs="Arial" w:eastAsia="Arial" w:hAnsi="Arial"/>
                <w:sz w:val="18"/>
                <w:szCs w:val="18"/>
                <w:color w:val="0000EE"/>
                <w:w w:val="93"/>
              </w:rPr>
            </w:pPr>
            <w:hyperlink w:anchor="page117">
              <w:r>
                <w:rPr>
                  <w:rFonts w:ascii="Arial" w:cs="Arial" w:eastAsia="Arial" w:hAnsi="Arial"/>
                  <w:sz w:val="18"/>
                  <w:szCs w:val="18"/>
                  <w:color w:val="0000EE"/>
                  <w:w w:val="93"/>
                </w:rPr>
                <w:t>BROKERAGE ALLOCATIONS AND OTHER PRACTICES</w:t>
              </w:r>
            </w:hyperlink>
          </w:p>
        </w:tc>
        <w:tc>
          <w:tcPr>
            <w:tcW w:w="6400" w:type="dxa"/>
            <w:vAlign w:val="bottom"/>
            <w:gridSpan w:val="7"/>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64"/>
        </w:trPr>
        <w:tc>
          <w:tcPr>
            <w:tcW w:w="4760" w:type="dxa"/>
            <w:vAlign w:val="bottom"/>
            <w:tcBorders>
              <w:bottom w:val="single" w:sz="8" w:color="0000EE"/>
            </w:tcBorders>
            <w:gridSpan w:val="29"/>
          </w:tcPr>
          <w:p>
            <w:pPr>
              <w:spacing w:after="0"/>
              <w:rPr>
                <w:rFonts w:ascii="Arial" w:cs="Arial" w:eastAsia="Arial" w:hAnsi="Arial"/>
                <w:sz w:val="18"/>
                <w:szCs w:val="18"/>
                <w:color w:val="0000EE"/>
                <w:w w:val="94"/>
              </w:rPr>
            </w:pPr>
            <w:hyperlink w:anchor="page118">
              <w:r>
                <w:rPr>
                  <w:rFonts w:ascii="Arial" w:cs="Arial" w:eastAsia="Arial" w:hAnsi="Arial"/>
                  <w:sz w:val="18"/>
                  <w:szCs w:val="18"/>
                  <w:color w:val="0000EE"/>
                  <w:w w:val="94"/>
                </w:rPr>
                <w:t>MATERIAL U.S. FEDERAL INCOME TAX CONSIDERATIONS</w:t>
              </w:r>
            </w:hyperlink>
          </w:p>
        </w:tc>
        <w:tc>
          <w:tcPr>
            <w:tcW w:w="6020" w:type="dxa"/>
            <w:vAlign w:val="bottom"/>
            <w:gridSpan w:val="3"/>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PLAN OF DISTRIBUTION</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360" w:type="dxa"/>
            <w:vAlign w:val="bottom"/>
            <w:gridSpan w:val="1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5800" w:type="dxa"/>
            <w:vAlign w:val="bottom"/>
            <w:tcBorders>
              <w:bottom w:val="single" w:sz="8" w:color="0000EE"/>
            </w:tcBorders>
            <w:gridSpan w:val="30"/>
          </w:tcPr>
          <w:p>
            <w:pPr>
              <w:spacing w:after="0"/>
              <w:rPr>
                <w:rFonts w:ascii="Arial" w:cs="Arial" w:eastAsia="Arial" w:hAnsi="Arial"/>
                <w:sz w:val="18"/>
                <w:szCs w:val="18"/>
                <w:color w:val="0000EE"/>
                <w:w w:val="94"/>
              </w:rPr>
            </w:pPr>
            <w:hyperlink w:anchor="page125">
              <w:r>
                <w:rPr>
                  <w:rFonts w:ascii="Arial" w:cs="Arial" w:eastAsia="Arial" w:hAnsi="Arial"/>
                  <w:sz w:val="18"/>
                  <w:szCs w:val="18"/>
                  <w:color w:val="0000EE"/>
                  <w:w w:val="94"/>
                </w:rPr>
                <w:t>SUB-ADMINISTRATOR, CUSTODIAN, TRANSFER AGENT AND TRUSTEE</w:t>
              </w:r>
            </w:hyperlink>
          </w:p>
        </w:tc>
        <w:tc>
          <w:tcPr>
            <w:tcW w:w="4980" w:type="dxa"/>
            <w:vAlign w:val="bottom"/>
            <w:gridSpan w:val="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LEGAL MATTERS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2940" w:type="dxa"/>
            <w:vAlign w:val="bottom"/>
            <w:gridSpan w:val="18"/>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1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780" w:type="dxa"/>
            <w:vAlign w:val="bottom"/>
            <w:gridSpan w:val="32"/>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INDEPENDENT REGISTERED PUBLIC ACCOUNTING FIRM</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64"/>
        </w:trPr>
        <w:tc>
          <w:tcPr>
            <w:tcW w:w="4680" w:type="dxa"/>
            <w:vAlign w:val="bottom"/>
            <w:tcBorders>
              <w:top w:val="single" w:sz="8" w:color="0000EE"/>
            </w:tcBorders>
            <w:gridSpan w:val="28"/>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INDEX TO CONSOLIDATED FINANCIAL STATEMENTS</w:t>
              </w:r>
            </w:hyperlink>
          </w:p>
        </w:tc>
        <w:tc>
          <w:tcPr>
            <w:tcW w:w="6100" w:type="dxa"/>
            <w:vAlign w:val="bottom"/>
            <w:gridSpan w:val="4"/>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83"/>
        </w:trPr>
        <w:tc>
          <w:tcPr>
            <w:tcW w:w="8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20" w:type="dxa"/>
            <w:vAlign w:val="bottom"/>
            <w:gridSpan w:val="3"/>
          </w:tcPr>
          <w:p>
            <w:pPr>
              <w:jc w:val="center"/>
              <w:ind w:right="4120"/>
              <w:spacing w:after="0"/>
              <w:rPr>
                <w:sz w:val="20"/>
                <w:szCs w:val="20"/>
                <w:color w:val="auto"/>
              </w:rPr>
            </w:pPr>
            <w:r>
              <w:rPr>
                <w:rFonts w:ascii="Arial" w:cs="Arial" w:eastAsia="Arial" w:hAnsi="Arial"/>
                <w:sz w:val="18"/>
                <w:szCs w:val="18"/>
                <w:color w:val="auto"/>
              </w:rPr>
              <w:t>i</w:t>
            </w:r>
          </w:p>
        </w:tc>
        <w:tc>
          <w:tcPr>
            <w:tcW w:w="54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$500,000,000 of our common stock, preferred stock, warrants representing rights to purchase shares of our common stock, preferred stock or debt securities, subscription rights or debt securities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147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71475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1" w:lineRule="exact"/>
        <w:rPr>
          <w:sz w:val="20"/>
          <w:szCs w:val="20"/>
          <w:color w:val="auto"/>
        </w:rPr>
      </w:pPr>
    </w:p>
    <w:p>
      <w:pPr>
        <w:ind w:left="200" w:firstLine="553"/>
        <w:spacing w:after="0" w:line="285"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except where the context suggests otherwise: the terms “we,” “us,” “our” and “Company” refer to PennantPark Floating Rate Capital Ltd. and its wholly-owned consolidated subsidiaries; “Funding I” refers to PennantPark Floating Rate Funding I, LLC; “PennantPark Investment Advisers” or “Investment Adviser” refers to PennantPark Investment Advisers, LLC; “PennantPark Investment Administration” or “Administrator” refers to PennantPark Investment Administration, LLC; “Code” refers to the Internal Revenue Code of 1986, as amended; “RIC” refers to a regulated investment company under the Code; “1940 Act” refers to the Investment Company Act of 1940, as amended; “BDC” refers to a business development company under the 1940 Act; “MCG” refers to MCG Capital Corporation; and “Credit Facility” refers to our multi-currency senior secured revolving credit facility, as amended and restated with SunTrust Bank and other lenders, or the Lenders.</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96" w:lineRule="exact"/>
        <w:rPr>
          <w:sz w:val="20"/>
          <w:szCs w:val="20"/>
          <w:color w:val="auto"/>
        </w:rPr>
      </w:pPr>
    </w:p>
    <w:p>
      <w:pPr>
        <w:ind w:left="200" w:right="80" w:firstLine="553"/>
        <w:spacing w:after="0" w:line="268"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132" w:lineRule="exact"/>
        <w:rPr>
          <w:sz w:val="20"/>
          <w:szCs w:val="20"/>
          <w:color w:val="auto"/>
        </w:rPr>
      </w:pPr>
    </w:p>
    <w:p>
      <w:pPr>
        <w:ind w:left="200" w:right="20" w:firstLine="553"/>
        <w:spacing w:after="0" w:line="288" w:lineRule="auto"/>
        <w:rPr>
          <w:sz w:val="20"/>
          <w:szCs w:val="20"/>
          <w:color w:val="auto"/>
        </w:rPr>
      </w:pPr>
      <w:r>
        <w:rPr>
          <w:rFonts w:ascii="Arial" w:cs="Arial" w:eastAsia="Arial" w:hAnsi="Arial"/>
          <w:sz w:val="16"/>
          <w:szCs w:val="16"/>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20" w:lineRule="exact"/>
        <w:rPr>
          <w:sz w:val="20"/>
          <w:szCs w:val="20"/>
          <w:color w:val="auto"/>
        </w:rPr>
      </w:pPr>
    </w:p>
    <w:p>
      <w:pPr>
        <w:ind w:left="200" w:right="140" w:firstLine="553"/>
        <w:spacing w:after="0" w:line="291"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senior secured debt, or first lien loans, will represent at least 65% of our overall portfolio. We also generally expect to invest up to 35% of our overall portfolio opportunistically in other types of investments, including mezzanine securities and, to a lesser extent, equity investments. We seek to create a diversified portfolio by generally targeting an investment size between $3 million and $15 million, on average, although we expect that this investment size will vary proportionately with the size of our capital base.</w:t>
      </w:r>
    </w:p>
    <w:p>
      <w:pPr>
        <w:spacing w:after="0" w:line="120" w:lineRule="exact"/>
        <w:rPr>
          <w:sz w:val="20"/>
          <w:szCs w:val="20"/>
          <w:color w:val="auto"/>
        </w:rPr>
      </w:pPr>
    </w:p>
    <w:p>
      <w:pPr>
        <w:ind w:left="200" w:right="20" w:firstLine="553"/>
        <w:spacing w:after="0" w:line="294"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 For a description of our Credit Facility, see “Management’s Discussion and Analysis of Financial Condition and Results of Operations — Liquidity and Capital Resources.”</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96" w:lineRule="exact"/>
        <w:rPr>
          <w:sz w:val="20"/>
          <w:szCs w:val="20"/>
          <w:color w:val="auto"/>
        </w:rPr>
      </w:pPr>
    </w:p>
    <w:p>
      <w:pPr>
        <w:ind w:left="200" w:right="180" w:firstLine="553"/>
        <w:spacing w:after="0" w:line="259"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40" w:lineRule="exact"/>
        <w:rPr>
          <w:sz w:val="20"/>
          <w:szCs w:val="20"/>
          <w:color w:val="auto"/>
        </w:rPr>
      </w:pPr>
    </w:p>
    <w:p>
      <w:pPr>
        <w:ind w:left="200" w:right="340" w:firstLine="553"/>
        <w:spacing w:after="0" w:line="268"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May 2011. We formed Funding I in order to establish our Credit Facility.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250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72504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60" w:firstLine="553"/>
        <w:spacing w:after="0" w:line="259" w:lineRule="auto"/>
        <w:rPr>
          <w:sz w:val="20"/>
          <w:szCs w:val="20"/>
          <w:color w:val="auto"/>
        </w:rPr>
      </w:pPr>
      <w:r>
        <w:rPr>
          <w:rFonts w:ascii="Arial" w:cs="Arial" w:eastAsia="Arial" w:hAnsi="Arial"/>
          <w:sz w:val="18"/>
          <w:szCs w:val="18"/>
          <w:color w:val="auto"/>
        </w:rPr>
        <w:t>In August 2015, we completed the acquisition of MCG pursuant to the Agreement and Plan of Merger, or the Merger Agreement, by and among MCG, our Investment Adviser and the Company. As a result of the transactions completed by the Merger Agreement, MCG was ultimately merged with and into PFLT Funding II, LLC with PFLT Funding II, LLC as the surviving company.</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left="200" w:right="40" w:firstLine="553"/>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about $3.0 billion in debt and equity capital and has invested $5.5 billion in more than 400 companies with over 160 different financial sponsors through its managed funds.</w:t>
      </w:r>
    </w:p>
    <w:p>
      <w:pPr>
        <w:spacing w:after="0" w:line="120" w:lineRule="exact"/>
        <w:rPr>
          <w:sz w:val="20"/>
          <w:szCs w:val="20"/>
          <w:color w:val="auto"/>
        </w:rPr>
      </w:pPr>
    </w:p>
    <w:p>
      <w:pPr>
        <w:ind w:left="200" w:right="80" w:firstLine="553"/>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20" w:firstLine="553"/>
        <w:spacing w:after="0" w:line="291" w:lineRule="auto"/>
        <w:rPr>
          <w:sz w:val="20"/>
          <w:szCs w:val="20"/>
          <w:color w:val="auto"/>
        </w:rPr>
      </w:pPr>
      <w:r>
        <w:rPr>
          <w:rFonts w:ascii="Arial" w:cs="Arial" w:eastAsia="Arial" w:hAnsi="Arial"/>
          <w:sz w:val="16"/>
          <w:szCs w:val="16"/>
          <w:color w:val="auto"/>
        </w:rPr>
        <w:t>We believe that the limited amount of capital available to middle-market companies, coupled with the desire of these companies for flexible sources of capital, creates an attractive investment environment for us. From our perspective, middle market companies have faced difficulty in raising debt through the capital markets and private markets. We believe that, as a result of the difficulties in the credit markets and fewer sources of capital for middle-market companies, we see opportunities for improved risk-reward on our investments. Furthermore, we believe with a large pool of uninvested private equity capital seeking debt capital to complete private investments and a substantial supply of refinancing opportunities, there is an opportunity to attain attractive risk-reward with debt investments. See “Business” for more information.</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200" w:right="180" w:firstLine="553"/>
        <w:spacing w:after="0" w:line="255" w:lineRule="auto"/>
        <w:rPr>
          <w:sz w:val="20"/>
          <w:szCs w:val="20"/>
          <w:color w:val="auto"/>
        </w:rPr>
      </w:pPr>
      <w:r>
        <w:rPr>
          <w:rFonts w:ascii="Arial" w:cs="Arial" w:eastAsia="Arial" w:hAnsi="Arial"/>
          <w:sz w:val="18"/>
          <w:szCs w:val="18"/>
          <w:color w:val="auto"/>
        </w:rPr>
        <w:t>We believe that we have competitive advantages over other capital providers to middle-market companies, such as a management team with an average of over 25 years of experience in senior lending, mezzanine lending, leveraged finance, distressed debt and private equity businesses, a disciplined investment approach with strong value orientation, an ability to source and evaluate transactions through our Investment Adviser’s proactive research capability and established network and flexible transaction structuring that allows for us to invest across the capital structure. See “Business”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left="200" w:right="280" w:firstLine="553"/>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116" w:lineRule="exact"/>
        <w:rPr>
          <w:sz w:val="20"/>
          <w:szCs w:val="20"/>
          <w:color w:val="auto"/>
        </w:rPr>
      </w:pPr>
    </w:p>
    <w:p>
      <w:pPr>
        <w:ind w:left="200" w:firstLine="553"/>
        <w:spacing w:after="0" w:line="318" w:lineRule="auto"/>
        <w:rPr>
          <w:sz w:val="20"/>
          <w:szCs w:val="20"/>
          <w:color w:val="auto"/>
        </w:rPr>
      </w:pPr>
      <w:r>
        <w:rPr>
          <w:rFonts w:ascii="Arial" w:cs="Arial" w:eastAsia="Arial" w:hAnsi="Arial"/>
          <w:sz w:val="15"/>
          <w:szCs w:val="15"/>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 — Risk Relating to our Business and Structure — We operate in a highly competitive market for investment opportunities” for more information.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575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45751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left="200" w:firstLine="553"/>
        <w:spacing w:after="0" w:line="253" w:lineRule="auto"/>
        <w:rPr>
          <w:sz w:val="20"/>
          <w:szCs w:val="20"/>
          <w:color w:val="auto"/>
        </w:rPr>
      </w:pPr>
      <w:r>
        <w:rPr>
          <w:rFonts w:ascii="Arial" w:cs="Arial" w:eastAsia="Arial" w:hAnsi="Arial"/>
          <w:sz w:val="18"/>
          <w:szCs w:val="18"/>
          <w:color w:val="auto"/>
        </w:rPr>
        <w:t>We currently use and expect to continue to use leverage to make investments. As a result, we may continue to be exposed to the risks associated with leverage. See “Risk Factors — Risks Relating to our Business and Structure” for more information. We believe that our capital resources provide us with the flexibility to take advantage of market opportunities when they arise. Our use of leverage, as calculated under the asset coverage ratio of the 1940 Act, may generally range between 70% and 90% of our net assets, or 40% and 50% of our Managed Assets. We cannot assure investors that our leverage will remain within the range. The amount of leverage that we employ will depend on our assessment of the market and other factors at the time of any proposed borrowing. See “Management’s Discussion and Analysis of Financial Condition and Results of Operations — Liquidity and Capital Resources” for more information.</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177" w:lineRule="exact"/>
        <w:rPr>
          <w:sz w:val="20"/>
          <w:szCs w:val="20"/>
          <w:color w:val="auto"/>
        </w:rPr>
      </w:pPr>
    </w:p>
    <w:p>
      <w:pPr>
        <w:ind w:left="200" w:right="20" w:firstLine="553"/>
        <w:spacing w:after="0" w:line="255" w:lineRule="auto"/>
        <w:rPr>
          <w:sz w:val="20"/>
          <w:szCs w:val="20"/>
          <w:color w:val="auto"/>
        </w:rPr>
      </w:pPr>
      <w:r>
        <w:rPr>
          <w:rFonts w:ascii="Arial" w:cs="Arial" w:eastAsia="Arial" w:hAnsi="Arial"/>
          <w:sz w:val="18"/>
          <w:szCs w:val="18"/>
          <w:color w:val="auto"/>
        </w:rPr>
        <w:t>Our investment activities are managed by PennantPark Investment Advisers. Our board of directors, a majority of whom are independent of us, provides overall supervision of our activities, and the Investment Adviser supervises our day-to-day activities.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43" w:lineRule="exact"/>
        <w:rPr>
          <w:sz w:val="20"/>
          <w:szCs w:val="20"/>
          <w:color w:val="auto"/>
        </w:rPr>
      </w:pPr>
    </w:p>
    <w:p>
      <w:pPr>
        <w:ind w:left="200" w:right="120" w:firstLine="553"/>
        <w:spacing w:after="0" w:line="255"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 for more information.</w:t>
      </w:r>
    </w:p>
    <w:p>
      <w:pPr>
        <w:spacing w:after="0" w:line="143" w:lineRule="exact"/>
        <w:rPr>
          <w:sz w:val="20"/>
          <w:szCs w:val="20"/>
          <w:color w:val="auto"/>
        </w:rPr>
      </w:pPr>
    </w:p>
    <w:p>
      <w:pPr>
        <w:ind w:left="200" w:right="280" w:firstLine="553"/>
        <w:spacing w:after="0" w:line="306" w:lineRule="auto"/>
        <w:rPr>
          <w:sz w:val="20"/>
          <w:szCs w:val="20"/>
          <w:color w:val="auto"/>
        </w:rPr>
      </w:pPr>
      <w:r>
        <w:rPr>
          <w:rFonts w:ascii="Arial" w:cs="Arial" w:eastAsia="Arial" w:hAnsi="Arial"/>
          <w:sz w:val="16"/>
          <w:szCs w:val="16"/>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left="200" w:right="20" w:firstLine="553"/>
        <w:spacing w:after="0" w:line="306" w:lineRule="auto"/>
        <w:rPr>
          <w:sz w:val="20"/>
          <w:szCs w:val="20"/>
          <w:color w:val="auto"/>
        </w:rPr>
      </w:pPr>
      <w:r>
        <w:rPr>
          <w:rFonts w:ascii="Arial" w:cs="Arial" w:eastAsia="Arial" w:hAnsi="Arial"/>
          <w:sz w:val="16"/>
          <w:szCs w:val="16"/>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relating to an offering will more fully identify the use of the proceeds from such offering. See “Use of Proceeds” for more information.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808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28086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Common Stock</w:t>
      </w:r>
    </w:p>
    <w:p>
      <w:pPr>
        <w:spacing w:after="0" w:line="96" w:lineRule="exact"/>
        <w:rPr>
          <w:sz w:val="20"/>
          <w:szCs w:val="20"/>
          <w:color w:val="auto"/>
        </w:rPr>
      </w:pPr>
    </w:p>
    <w:p>
      <w:pPr>
        <w:ind w:left="200" w:right="80" w:firstLine="553"/>
        <w:spacing w:after="0" w:line="268" w:lineRule="auto"/>
        <w:rPr>
          <w:sz w:val="20"/>
          <w:szCs w:val="20"/>
          <w:color w:val="auto"/>
        </w:rPr>
      </w:pPr>
      <w:r>
        <w:rPr>
          <w:rFonts w:ascii="Arial" w:cs="Arial" w:eastAsia="Arial" w:hAnsi="Arial"/>
          <w:sz w:val="18"/>
          <w:szCs w:val="18"/>
          <w:color w:val="auto"/>
        </w:rPr>
        <w:t>We intend to continue our monthly distributions to our stockholders. Our monthly distributions, if any, are determined by our board of directors. See “Distributions” for more information.</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left="200" w:right="160" w:firstLine="553"/>
        <w:spacing w:after="0" w:line="294"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left="200" w:firstLine="553"/>
        <w:spacing w:after="0" w:line="294" w:lineRule="auto"/>
        <w:rPr>
          <w:sz w:val="20"/>
          <w:szCs w:val="20"/>
          <w:color w:val="auto"/>
        </w:rPr>
      </w:pPr>
      <w:r>
        <w:rPr>
          <w:rFonts w:ascii="Arial" w:cs="Arial" w:eastAsia="Arial" w:hAnsi="Arial"/>
          <w:sz w:val="16"/>
          <w:szCs w:val="16"/>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distributions automatically reinvested in additional shares of our common stock rather than receiving the cash distribution. Registered stockholders must notify our transfer agent in writing if they wish to ‘opt-out’ of the dividend reinvestment plan. See “Dividend Reinvestment Plan” for more information.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6830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36830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left="200" w:right="220" w:firstLine="553"/>
        <w:spacing w:after="0" w:line="268" w:lineRule="auto"/>
        <w:rPr>
          <w:sz w:val="20"/>
          <w:szCs w:val="20"/>
          <w:color w:val="auto"/>
        </w:rPr>
      </w:pPr>
      <w:r>
        <w:rPr>
          <w:rFonts w:ascii="Arial" w:cs="Arial" w:eastAsia="Arial" w:hAnsi="Arial"/>
          <w:sz w:val="18"/>
          <w:szCs w:val="18"/>
          <w:color w:val="auto"/>
        </w:rPr>
        <w:t>We may offer, from time to time, up to $500 million of our securities, on terms to be determined at the time of each such offering and set forth in a supplement to this prospectus.</w:t>
      </w:r>
    </w:p>
    <w:p>
      <w:pPr>
        <w:spacing w:after="0" w:line="132" w:lineRule="exact"/>
        <w:rPr>
          <w:sz w:val="20"/>
          <w:szCs w:val="20"/>
          <w:color w:val="auto"/>
        </w:rPr>
      </w:pPr>
    </w:p>
    <w:p>
      <w:pPr>
        <w:ind w:left="200" w:firstLine="553"/>
        <w:spacing w:after="0" w:line="290" w:lineRule="auto"/>
        <w:rPr>
          <w:sz w:val="20"/>
          <w:szCs w:val="20"/>
          <w:color w:val="auto"/>
        </w:rPr>
      </w:pPr>
      <w:r>
        <w:rPr>
          <w:rFonts w:ascii="Arial" w:cs="Arial" w:eastAsia="Arial" w:hAnsi="Arial"/>
          <w:sz w:val="16"/>
          <w:szCs w:val="16"/>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18" w:lineRule="exact"/>
        <w:rPr>
          <w:sz w:val="20"/>
          <w:szCs w:val="20"/>
          <w:color w:val="auto"/>
        </w:rPr>
      </w:pPr>
    </w:p>
    <w:p>
      <w:pPr>
        <w:ind w:left="200" w:right="120" w:firstLine="553"/>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ind w:left="200" w:right="20" w:firstLine="553"/>
        <w:spacing w:after="0" w:line="289" w:lineRule="auto"/>
        <w:rPr>
          <w:sz w:val="20"/>
          <w:szCs w:val="20"/>
          <w:color w:val="auto"/>
        </w:rPr>
      </w:pPr>
      <w:r>
        <w:rPr>
          <w:rFonts w:ascii="Arial" w:cs="Arial" w:eastAsia="Arial" w:hAnsi="Arial"/>
          <w:sz w:val="16"/>
          <w:szCs w:val="16"/>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Information contained on our website is not incorporated by reference into this prospectus or any supplements to this prospectus,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you should not consider information contained on our website to be part of this prospectus or any supplements to this prospectus.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i w:val="1"/>
          <w:iCs w:val="1"/>
          <w:color w:val="auto"/>
        </w:rPr>
        <w:t xml:space="preserve"> </w:t>
      </w:r>
      <w:r>
        <w:rPr>
          <w:rFonts w:ascii="Arial" w:cs="Arial" w:eastAsia="Arial" w:hAnsi="Arial"/>
          <w:sz w:val="16"/>
          <w:szCs w:val="16"/>
          <w:color w:val="auto"/>
        </w:rPr>
        <w:t>that contains material that we file with the SEC on the EDGAR Database.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or any prospectus supplements, if any, contains a reference to fees or expenses paid by “you” or “us” or that “we” will pay, stockholders will indirectly bear such fees or expenses as investors in us.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20" w:type="dxa"/>
            <w:vAlign w:val="bottom"/>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3220" w:type="dxa"/>
            <w:vAlign w:val="bottom"/>
          </w:tcPr>
          <w:p>
            <w:pPr>
              <w:spacing w:after="0"/>
              <w:rPr>
                <w:sz w:val="19"/>
                <w:szCs w:val="19"/>
                <w:color w:val="auto"/>
              </w:rPr>
            </w:pPr>
          </w:p>
        </w:tc>
      </w:tr>
      <w:tr>
        <w:trPr>
          <w:trHeight w:val="297"/>
        </w:trPr>
        <w:tc>
          <w:tcPr>
            <w:tcW w:w="8020" w:type="dxa"/>
            <w:vAlign w:val="bottom"/>
          </w:tcPr>
          <w:p>
            <w:pPr>
              <w:spacing w:after="0"/>
              <w:rPr>
                <w:sz w:val="20"/>
                <w:szCs w:val="20"/>
                <w:color w:val="auto"/>
              </w:rPr>
            </w:pPr>
            <w:r>
              <w:rPr>
                <w:rFonts w:ascii="Arial" w:cs="Arial" w:eastAsia="Arial" w:hAnsi="Arial"/>
                <w:sz w:val="18"/>
                <w:szCs w:val="18"/>
                <w:color w:val="auto"/>
              </w:rPr>
              <w:t>Sales load</w:t>
            </w:r>
          </w:p>
        </w:tc>
        <w:tc>
          <w:tcPr>
            <w:tcW w:w="32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p>
      <w:pPr>
        <w:spacing w:after="0"/>
        <w:rPr>
          <w:sz w:val="20"/>
          <w:szCs w:val="20"/>
          <w:color w:val="auto"/>
        </w:rPr>
      </w:pPr>
      <w:r>
        <w:rPr>
          <w:rFonts w:ascii="Arial" w:cs="Arial" w:eastAsia="Arial" w:hAnsi="Arial"/>
          <w:sz w:val="18"/>
          <w:szCs w:val="18"/>
          <w:color w:val="auto"/>
        </w:rPr>
        <w:t>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Total stockholder expenses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Estimated annual expenses (as a percentage of average net assets attributable to common shares)</w:t>
      </w:r>
      <w:r>
        <w:rPr>
          <w:rFonts w:ascii="Arial" w:cs="Arial" w:eastAsia="Arial" w:hAnsi="Arial"/>
          <w:sz w:val="10"/>
          <w:szCs w:val="10"/>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Management fees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Incentive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Interest on borrowed funds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estimated annual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15176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0"/>
          <w:szCs w:val="10"/>
          <w:color w:val="auto"/>
        </w:rPr>
        <w:t>(2)</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5"/>
          <w:szCs w:val="15"/>
          <w:color w:val="auto"/>
        </w:rPr>
        <w:t>1.63 %</w:t>
      </w:r>
      <w:r>
        <w:rPr>
          <w:rFonts w:ascii="Arial" w:cs="Arial" w:eastAsia="Arial" w:hAnsi="Arial"/>
          <w:sz w:val="10"/>
          <w:szCs w:val="10"/>
          <w:color w:val="auto"/>
        </w:rPr>
        <w:t>(4)</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1.30 %</w:t>
      </w:r>
      <w:r>
        <w:rPr>
          <w:rFonts w:ascii="Arial" w:cs="Arial" w:eastAsia="Arial" w:hAnsi="Arial"/>
          <w:sz w:val="10"/>
          <w:szCs w:val="10"/>
          <w:color w:val="auto"/>
        </w:rPr>
        <w:t>(5)</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1.58 %</w:t>
      </w:r>
      <w:r>
        <w:rPr>
          <w:rFonts w:ascii="Arial" w:cs="Arial" w:eastAsia="Arial" w:hAnsi="Arial"/>
          <w:sz w:val="10"/>
          <w:szCs w:val="10"/>
          <w:color w:val="auto"/>
        </w:rPr>
        <w:t>(6)</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0.90 %</w:t>
      </w: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33020</wp:posOffset>
            </wp:positionV>
            <wp:extent cx="231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5.41 %</w:t>
      </w:r>
      <w:r>
        <w:rPr>
          <w:rFonts w:ascii="Arial" w:cs="Arial" w:eastAsia="Arial" w:hAnsi="Arial"/>
          <w:sz w:val="10"/>
          <w:szCs w:val="10"/>
          <w:color w:val="auto"/>
        </w:rPr>
        <w:t>(8)</w:t>
      </w:r>
    </w:p>
    <w:p>
      <w:pPr>
        <w:spacing w:after="0" w:line="214" w:lineRule="exact"/>
        <w:rPr>
          <w:sz w:val="20"/>
          <w:szCs w:val="20"/>
          <w:color w:val="auto"/>
        </w:rPr>
      </w:pPr>
    </w:p>
    <w:p>
      <w:pPr>
        <w:sectPr>
          <w:pgSz w:w="11900" w:h="16838" w:orient="portrait"/>
          <w:cols w:equalWidth="0" w:num="2">
            <w:col w:w="9900" w:space="720"/>
            <w:col w:w="740"/>
          </w:cols>
          <w:pgMar w:left="240" w:top="459" w:right="299" w:bottom="1440" w:gutter="0" w:footer="0" w:header="0"/>
          <w:type w:val="continuous"/>
        </w:sectPr>
      </w:pPr>
    </w:p>
    <w:p>
      <w:pPr>
        <w:spacing w:after="0" w:line="42" w:lineRule="exact"/>
        <w:rPr>
          <w:sz w:val="20"/>
          <w:szCs w:val="20"/>
          <w:color w:val="auto"/>
        </w:rPr>
      </w:pPr>
    </w:p>
    <w:p>
      <w:pPr>
        <w:ind w:left="580" w:hanging="572"/>
        <w:spacing w:after="0"/>
        <w:tabs>
          <w:tab w:leader="none" w:pos="58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 the event that the securities to which this prospectus relates are sold to or through underwriters or agents, a corresponding prospectus supplement will disclose the applicable sales load.</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related prospectus supplement will disclose the estimated amount of offering expenses, the offering price and the offering expenses borne by us as a percentage of the offering price.</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1"/>
        </w:numPr>
        <w:rPr>
          <w:rFonts w:ascii="Arial" w:cs="Arial" w:eastAsia="Arial" w:hAnsi="Arial"/>
          <w:sz w:val="14"/>
          <w:szCs w:val="14"/>
          <w:color w:val="auto"/>
        </w:rPr>
      </w:pPr>
      <w:r>
        <w:rPr>
          <w:rFonts w:ascii="Arial" w:cs="Arial" w:eastAsia="Arial" w:hAnsi="Arial"/>
          <w:sz w:val="14"/>
          <w:szCs w:val="14"/>
          <w:color w:val="auto"/>
        </w:rPr>
        <w:t>Net assets attributable to common shares equals average net assets for the fiscal year ended September 30, 2016.</w:t>
      </w:r>
    </w:p>
    <w:p>
      <w:pPr>
        <w:spacing w:after="0" w:line="68" w:lineRule="exact"/>
        <w:rPr>
          <w:rFonts w:ascii="Arial" w:cs="Arial" w:eastAsia="Arial" w:hAnsi="Arial"/>
          <w:sz w:val="14"/>
          <w:szCs w:val="14"/>
          <w:color w:val="auto"/>
        </w:rPr>
      </w:pPr>
    </w:p>
    <w:p>
      <w:pPr>
        <w:ind w:left="580" w:right="400" w:hanging="572"/>
        <w:spacing w:after="0" w:line="239" w:lineRule="auto"/>
        <w:tabs>
          <w:tab w:leader="none" w:pos="58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1.00% of our average adjusted gross assets on September 30, 2016. See “Certain Relationships and Transactions—Investment Management Agreement” for more information.</w:t>
      </w:r>
    </w:p>
    <w:p>
      <w:pPr>
        <w:spacing w:after="0" w:line="57" w:lineRule="exact"/>
        <w:rPr>
          <w:rFonts w:ascii="Arial" w:cs="Arial" w:eastAsia="Arial" w:hAnsi="Arial"/>
          <w:sz w:val="14"/>
          <w:szCs w:val="14"/>
          <w:color w:val="auto"/>
        </w:rPr>
      </w:pPr>
    </w:p>
    <w:p>
      <w:pPr>
        <w:ind w:left="580" w:right="40" w:hanging="572"/>
        <w:spacing w:after="0" w:line="266" w:lineRule="auto"/>
        <w:tabs>
          <w:tab w:leader="none" w:pos="58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and capital gains, if any, is based on actual amounts incurred during the fiscal year ended September 30, 2016.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periods, if any, may be substantially different than the fee earned during the fiscal year ended September 30, 2016. For more detailed information about the incentive fee, please see “Certain Relationships and Transactions—Investment Management Agreement” for more information.</w:t>
      </w:r>
    </w:p>
    <w:p>
      <w:pPr>
        <w:spacing w:after="0" w:line="45" w:lineRule="exact"/>
        <w:rPr>
          <w:rFonts w:ascii="Arial" w:cs="Arial" w:eastAsia="Arial" w:hAnsi="Arial"/>
          <w:sz w:val="12"/>
          <w:szCs w:val="12"/>
          <w:color w:val="auto"/>
        </w:rPr>
      </w:pPr>
    </w:p>
    <w:p>
      <w:pPr>
        <w:ind w:left="580" w:right="80" w:hanging="572"/>
        <w:spacing w:after="0" w:line="273" w:lineRule="auto"/>
        <w:tabs>
          <w:tab w:leader="none" w:pos="580" w:val="left"/>
        </w:tabs>
        <w:numPr>
          <w:ilvl w:val="0"/>
          <w:numId w:val="1"/>
        </w:numPr>
        <w:rPr>
          <w:rFonts w:ascii="Arial" w:cs="Arial" w:eastAsia="Arial" w:hAnsi="Arial"/>
          <w:sz w:val="12"/>
          <w:szCs w:val="12"/>
          <w:color w:val="auto"/>
        </w:rPr>
      </w:pPr>
      <w:r>
        <w:rPr>
          <w:rFonts w:ascii="Arial" w:cs="Arial" w:eastAsia="Arial" w:hAnsi="Arial"/>
          <w:sz w:val="12"/>
          <w:szCs w:val="12"/>
          <w:color w:val="auto"/>
        </w:rPr>
        <w:t>As of September 30, 2016, we had $232.9 million in borrowings outstanding under our $350 million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Annual interest expense on borrowed funds represents actual interest expense and amendment costs incurred on our Credit Facility for the fiscal year ended September 30, 2016 and we caution you that our actual interest expense in the future will depend on prevailing interest rates and our rate of borrowing, which may be substantially higher than the amount provided in this table. See “Risk Factors— Risks Relating to our Business and Structure—We currently use borrowed funds to make investments and are exposed to the typical risks associated with leverage” for more information.</w:t>
      </w:r>
    </w:p>
    <w:p>
      <w:pPr>
        <w:spacing w:after="0" w:line="38" w:lineRule="exact"/>
        <w:rPr>
          <w:rFonts w:ascii="Arial" w:cs="Arial" w:eastAsia="Arial" w:hAnsi="Arial"/>
          <w:sz w:val="12"/>
          <w:szCs w:val="12"/>
          <w:color w:val="auto"/>
        </w:rPr>
      </w:pPr>
    </w:p>
    <w:p>
      <w:pPr>
        <w:jc w:val="both"/>
        <w:ind w:left="580" w:right="100" w:hanging="572"/>
        <w:spacing w:after="0" w:line="233" w:lineRule="auto"/>
        <w:tabs>
          <w:tab w:leader="none" w:pos="580" w:val="left"/>
        </w:tabs>
        <w:numPr>
          <w:ilvl w:val="0"/>
          <w:numId w:val="1"/>
        </w:numPr>
        <w:rPr>
          <w:rFonts w:ascii="Arial" w:cs="Arial" w:eastAsia="Arial" w:hAnsi="Arial"/>
          <w:sz w:val="14"/>
          <w:szCs w:val="14"/>
          <w:color w:val="auto"/>
        </w:rPr>
      </w:pPr>
      <w:r>
        <w:rPr>
          <w:rFonts w:ascii="Arial" w:cs="Arial" w:eastAsia="Arial" w:hAnsi="Arial"/>
          <w:sz w:val="14"/>
          <w:szCs w:val="14"/>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57" w:lineRule="exact"/>
        <w:rPr>
          <w:rFonts w:ascii="Arial" w:cs="Arial" w:eastAsia="Arial" w:hAnsi="Arial"/>
          <w:sz w:val="14"/>
          <w:szCs w:val="14"/>
          <w:color w:val="auto"/>
        </w:rPr>
      </w:pPr>
    </w:p>
    <w:p>
      <w:pPr>
        <w:ind w:left="580" w:right="60" w:hanging="572"/>
        <w:spacing w:after="0" w:line="278" w:lineRule="auto"/>
        <w:tabs>
          <w:tab w:leader="none" w:pos="580" w:val="left"/>
        </w:tabs>
        <w:numPr>
          <w:ilvl w:val="0"/>
          <w:numId w:val="1"/>
        </w:numPr>
        <w:rPr>
          <w:rFonts w:ascii="Arial" w:cs="Arial" w:eastAsia="Arial" w:hAnsi="Arial"/>
          <w:sz w:val="12"/>
          <w:szCs w:val="12"/>
          <w:color w:val="auto"/>
        </w:rPr>
      </w:pPr>
      <w:r>
        <w:rPr>
          <w:rFonts w:ascii="Arial" w:cs="Arial" w:eastAsia="Arial" w:hAnsi="Arial"/>
          <w:sz w:val="12"/>
          <w:szCs w:val="12"/>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For a presentation and calculation of total estimated annual expenses based on average total assets, see page 37 of this prospectus.</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177"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0.48%, (2) total net estimated annual expenses of 4.11% of average net assets attributable to common shares as set forth in the table above (other than performance-based incentive fees) and (3) a 5% annual return.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sz w:val="20"/>
                <w:szCs w:val="20"/>
                <w:color w:val="auto"/>
              </w:rPr>
            </w:pPr>
            <w:r>
              <w:rPr>
                <w:rFonts w:ascii="Arial" w:cs="Arial" w:eastAsia="Arial" w:hAnsi="Arial"/>
                <w:sz w:val="14"/>
                <w:szCs w:val="14"/>
                <w:b w:val="1"/>
                <w:bCs w:val="1"/>
                <w:color w:val="auto"/>
              </w:rPr>
              <w:t>You would pay the following expenses on a $1,000 common stock investment:</w:t>
            </w:r>
          </w:p>
        </w:tc>
        <w:tc>
          <w:tcPr>
            <w:tcW w:w="520" w:type="dxa"/>
            <w:vAlign w:val="bottom"/>
            <w:gridSpan w:val="3"/>
          </w:tcPr>
          <w:p>
            <w:pPr>
              <w:ind w:left="20"/>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3 years</w:t>
            </w:r>
          </w:p>
        </w:tc>
        <w:tc>
          <w:tcPr>
            <w:tcW w:w="2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w w:val="82"/>
              </w:rPr>
              <w:t>5 years</w:t>
            </w:r>
          </w:p>
        </w:tc>
        <w:tc>
          <w:tcPr>
            <w:tcW w:w="26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10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Assuming a 5% annual return (assumes no return from net realized capital gains or net unrealized capital appreciation)</w:t>
            </w: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75</w:t>
            </w:r>
          </w:p>
        </w:tc>
        <w:tc>
          <w:tcPr>
            <w:tcW w:w="28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155</w:t>
            </w:r>
          </w:p>
        </w:tc>
        <w:tc>
          <w:tcPr>
            <w:tcW w:w="400" w:type="dxa"/>
            <w:vAlign w:val="bottom"/>
            <w:gridSpan w:val="2"/>
            <w:shd w:val="clear" w:color="auto" w:fill="CCEEFF"/>
          </w:tcPr>
          <w:p>
            <w:pPr>
              <w:ind w:left="260"/>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238</w:t>
            </w:r>
          </w:p>
        </w:tc>
        <w:tc>
          <w:tcPr>
            <w:tcW w:w="440" w:type="dxa"/>
            <w:vAlign w:val="bottom"/>
            <w:gridSpan w:val="2"/>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00" w:type="dxa"/>
            <w:vAlign w:val="bottom"/>
            <w:gridSpan w:val="2"/>
          </w:tcPr>
          <w:p>
            <w:pPr>
              <w:spacing w:after="0"/>
              <w:rPr>
                <w:sz w:val="20"/>
                <w:szCs w:val="20"/>
                <w:color w:val="auto"/>
              </w:rPr>
            </w:pPr>
            <w:r>
              <w:rPr>
                <w:rFonts w:ascii="Arial" w:cs="Arial" w:eastAsia="Arial" w:hAnsi="Arial"/>
                <w:sz w:val="14"/>
                <w:szCs w:val="14"/>
                <w:color w:val="auto"/>
              </w:rPr>
              <w:t>Assuming a 5% annual return (assumes return from only realized capital gains and thus subject to the capital gains incentive fee)</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84</w:t>
            </w:r>
          </w:p>
        </w:tc>
        <w:tc>
          <w:tcPr>
            <w:tcW w:w="2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183</w:t>
            </w:r>
          </w:p>
        </w:tc>
        <w:tc>
          <w:tcPr>
            <w:tcW w:w="4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281</w:t>
            </w:r>
          </w:p>
        </w:tc>
        <w:tc>
          <w:tcPr>
            <w:tcW w:w="44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525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Reinvestment of distributions under our dividend reinvestment plan may occur at a price per share that differs from NAV. See “Distributions” and “Dividend Reinvestment Plan” for more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i w:val="1"/>
          <w:iCs w:val="1"/>
          <w:color w:val="auto"/>
        </w:rPr>
        <w:t>Before you invest in our securities, you should be aware of various risks, including those described below. You should carefully consider these risk factors, together with all of the other information included in this prospectus,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or any securities we may issue, may decline, and you may lose all or part of your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77" w:lineRule="exact"/>
        <w:rPr>
          <w:sz w:val="20"/>
          <w:szCs w:val="20"/>
          <w:color w:val="auto"/>
        </w:rPr>
      </w:pPr>
    </w:p>
    <w:p>
      <w:pPr>
        <w:ind w:right="300" w:firstLine="228"/>
        <w:spacing w:after="0" w:line="259" w:lineRule="auto"/>
        <w:rPr>
          <w:sz w:val="20"/>
          <w:szCs w:val="20"/>
          <w:color w:val="auto"/>
        </w:rPr>
      </w:pPr>
      <w:r>
        <w:rPr>
          <w:rFonts w:ascii="Arial" w:cs="Arial" w:eastAsia="Arial" w:hAnsi="Arial"/>
          <w:sz w:val="18"/>
          <w:szCs w:val="18"/>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140"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The U.S. and global capital markets have experienced periods of disruption characterized by the freezing of available credit, a lack of liquidity in the debt capital markets, significant losses in the principal value of investments, the re-pricing of credit risk in the broadly syndicated credit market, the failure of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uncertainty regarding the United Kingdom referendum decision to leave the European Union (the so called “Brexit”), continuing signs of deteriorating sovereign debt conditions in Europe and an economic slowdown in China create uncertainty that could lead to further disruptions, instability and weakening consumer, corporate and financial confidence. We may in the future have difficulty accessing debt and equity capital markets, and a severe disruption in the global financial markets, deterioration in credit and financing conditions or uncertainty regarding U.S. government spending and deficit levels, Brexit, European sovereign debt, Chinese economic slowdown or other global economic conditions could have a material adverse effect on our business, financial condition and results of operations.</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Volatility or a prolonged disruption in the credit markets could materially damage our business.</w:t>
      </w:r>
    </w:p>
    <w:p>
      <w:pPr>
        <w:spacing w:after="0" w:line="90" w:lineRule="exact"/>
        <w:rPr>
          <w:sz w:val="20"/>
          <w:szCs w:val="20"/>
          <w:color w:val="auto"/>
        </w:rPr>
      </w:pPr>
    </w:p>
    <w:p>
      <w:pPr>
        <w:ind w:right="20" w:firstLine="571"/>
        <w:spacing w:after="0" w:line="309" w:lineRule="auto"/>
        <w:rPr>
          <w:sz w:val="20"/>
          <w:szCs w:val="20"/>
          <w:color w:val="auto"/>
        </w:rPr>
      </w:pPr>
      <w:r>
        <w:rPr>
          <w:rFonts w:ascii="Arial" w:cs="Arial" w:eastAsia="Arial" w:hAnsi="Arial"/>
          <w:sz w:val="15"/>
          <w:szCs w:val="15"/>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requirements for a BDC, as defined under the 1940 Act. Declining portfolio values negatively impact our ability to borrow additional funds under our Credit Facility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lengthy disruption in the credit markets could also materially decrease demand for our investments and could materially damage our business, financial condition and results of operations.</w:t>
      </w:r>
    </w:p>
    <w:p>
      <w:pPr>
        <w:spacing w:after="0" w:line="108"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 significant disruption in the capital markets experienced in the past has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lengthy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could be subject to reduced availability and/or mandatory prepayments under Funding I’s Credit Facility.</w:t>
      </w:r>
    </w:p>
    <w:p>
      <w:pPr>
        <w:spacing w:after="0" w:line="90" w:lineRule="exact"/>
        <w:rPr>
          <w:sz w:val="20"/>
          <w:szCs w:val="20"/>
          <w:color w:val="auto"/>
        </w:rPr>
      </w:pPr>
    </w:p>
    <w:p>
      <w:pPr>
        <w:ind w:right="120" w:firstLine="571"/>
        <w:spacing w:after="0" w:line="290" w:lineRule="auto"/>
        <w:rPr>
          <w:sz w:val="20"/>
          <w:szCs w:val="20"/>
          <w:color w:val="auto"/>
        </w:rPr>
      </w:pPr>
      <w:r>
        <w:rPr>
          <w:rFonts w:ascii="Arial" w:cs="Arial" w:eastAsia="Arial" w:hAnsi="Arial"/>
          <w:sz w:val="16"/>
          <w:szCs w:val="16"/>
          <w:color w:val="auto"/>
        </w:rPr>
        <w:t>In addition to the asset coverage ratio requirements, our Credit Facility contains various covenants applicable to Funding I, which restricts our ability to borrow funds. For example, the income coverage covenant, or test, requires us to maintain a ratio whereby the aggregate amount of interest received on the portfolio loans must equal at least 125% of the interest payable in respect to the Lenders and other parties. Failure to satisfy the various covenants under the Credit Facility could accelerate repayment under the Credit Facility or otherwise prevent us from receiving distributions under the payment waterfall. This could materially and adversely affect our liquidity, financial condition and results of operations. Funding I’s borrowings under the Credit Facility are collateralized by the assets in Funding I’s investment portfolio. The agreements governing the Credit Facility require Funding I to comply with certain financial and operational covenants. These covenants include:</w:t>
      </w:r>
    </w:p>
    <w:p>
      <w:pPr>
        <w:spacing w:after="0" w:line="159"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requirement to retain our tax status as a RIC;</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requirement to maintain a minimum amount of stockholder’s equity; and</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requirement that our outstanding borrowings under the Credit Facility not exceed a certain percentage of the value of our portfolio.</w:t>
      </w:r>
    </w:p>
    <w:p>
      <w:pPr>
        <w:spacing w:after="0" w:line="171" w:lineRule="exact"/>
        <w:rPr>
          <w:sz w:val="20"/>
          <w:szCs w:val="20"/>
          <w:color w:val="auto"/>
        </w:rPr>
      </w:pPr>
    </w:p>
    <w:p>
      <w:pPr>
        <w:ind w:right="260" w:firstLine="571"/>
        <w:spacing w:after="0" w:line="298" w:lineRule="auto"/>
        <w:rPr>
          <w:sz w:val="20"/>
          <w:szCs w:val="20"/>
          <w:color w:val="auto"/>
        </w:rPr>
      </w:pPr>
      <w:r>
        <w:rPr>
          <w:rFonts w:ascii="Arial" w:cs="Arial" w:eastAsia="Arial" w:hAnsi="Arial"/>
          <w:sz w:val="16"/>
          <w:szCs w:val="16"/>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in Funding I. This could have a material adverse effect on our operations, as it would reduce availability under the Credit Facility and could trigger mandatory prepayment obligations under the terms of the Credit Facility.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borrowers may default on their payments, which may have a materially negative effect on our financial performance.</w:t>
      </w:r>
    </w:p>
    <w:p>
      <w:pPr>
        <w:spacing w:after="0" w:line="90"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85"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143"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We make long-term loans and debt investments, which may involve a high degree of repayment risk. Our investments with a deferred interest feature, such as original issue discount, or OID, income and payment-in-kind, or PIK, interest, could represent a higher credit risk than investments that must pay interest in full in cash on a regular basis. We invest in companies that may have limited financial resources, typically are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205"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b w:val="1"/>
          <w:bCs w:val="1"/>
          <w:i w:val="1"/>
          <w:iCs w:val="1"/>
          <w:color w:val="auto"/>
        </w:rPr>
        <w:t>Any unrealized losses we experience on our investment portfolio may be an indication of future realized losses, which could reduce our income available for distribution.</w:t>
      </w:r>
    </w:p>
    <w:p>
      <w:pPr>
        <w:spacing w:after="0" w:line="51" w:lineRule="exact"/>
        <w:rPr>
          <w:sz w:val="20"/>
          <w:szCs w:val="20"/>
          <w:color w:val="auto"/>
        </w:rPr>
      </w:pPr>
    </w:p>
    <w:p>
      <w:pPr>
        <w:ind w:right="60" w:firstLine="571"/>
        <w:spacing w:after="0" w:line="255" w:lineRule="auto"/>
        <w:rPr>
          <w:sz w:val="20"/>
          <w:szCs w:val="20"/>
          <w:color w:val="auto"/>
        </w:rPr>
      </w:pPr>
      <w:r>
        <w:rPr>
          <w:rFonts w:ascii="Arial" w:cs="Arial" w:eastAsia="Arial" w:hAnsi="Arial"/>
          <w:sz w:val="18"/>
          <w:szCs w:val="18"/>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143" w:lineRule="exact"/>
        <w:rPr>
          <w:sz w:val="20"/>
          <w:szCs w:val="20"/>
          <w:color w:val="auto"/>
        </w:rPr>
      </w:pPr>
    </w:p>
    <w:p>
      <w:pPr>
        <w:ind w:right="360" w:firstLine="571"/>
        <w:spacing w:after="0" w:line="259" w:lineRule="auto"/>
        <w:rPr>
          <w:sz w:val="20"/>
          <w:szCs w:val="20"/>
          <w:color w:val="auto"/>
        </w:rPr>
      </w:pPr>
      <w:r>
        <w:rPr>
          <w:rFonts w:ascii="Arial" w:cs="Arial" w:eastAsia="Arial" w:hAnsi="Arial"/>
          <w:sz w:val="18"/>
          <w:szCs w:val="18"/>
          <w:color w:val="auto"/>
        </w:rPr>
        <w:t>If the fair value of our portfolio companies reflects unrealized losses that are subsequently realized, we could experience reductions of our income available for distribution in future periods that could materially harm our results of operations and cause a material decline in the value of our publicly traded common stock.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the target of litigation.</w:t>
      </w:r>
    </w:p>
    <w:p>
      <w:pPr>
        <w:spacing w:after="0" w:line="90" w:lineRule="exact"/>
        <w:rPr>
          <w:sz w:val="20"/>
          <w:szCs w:val="20"/>
          <w:color w:val="auto"/>
        </w:rPr>
      </w:pPr>
    </w:p>
    <w:p>
      <w:pPr>
        <w:ind w:right="380" w:firstLine="571"/>
        <w:spacing w:after="0" w:line="306" w:lineRule="auto"/>
        <w:rPr>
          <w:sz w:val="20"/>
          <w:szCs w:val="20"/>
          <w:color w:val="auto"/>
        </w:rPr>
      </w:pPr>
      <w:r>
        <w:rPr>
          <w:rFonts w:ascii="Arial" w:cs="Arial" w:eastAsia="Arial" w:hAnsi="Arial"/>
          <w:sz w:val="16"/>
          <w:szCs w:val="16"/>
          <w:color w:val="auto"/>
        </w:rPr>
        <w:t>We may be the target of securities litigation in the future, particularly if the trading price of our common stock fluctuates significantly. We could also generally be subject to litigation, including derivative actions by our stockholders. Any litigation could result in substantial costs and divert management’s attention and resources from our business and cause a material adverse effect on our business, financial condition and results of operations.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59" w:lineRule="exact"/>
        <w:rPr>
          <w:sz w:val="20"/>
          <w:szCs w:val="20"/>
          <w:color w:val="auto"/>
        </w:rPr>
      </w:pPr>
    </w:p>
    <w:p>
      <w:pPr>
        <w:ind w:right="20" w:firstLine="436"/>
        <w:spacing w:after="0" w:line="289" w:lineRule="auto"/>
        <w:rPr>
          <w:sz w:val="20"/>
          <w:szCs w:val="20"/>
          <w:color w:val="auto"/>
        </w:rPr>
      </w:pPr>
      <w:r>
        <w:rPr>
          <w:rFonts w:ascii="Arial" w:cs="Arial" w:eastAsia="Arial" w:hAnsi="Arial"/>
          <w:sz w:val="16"/>
          <w:szCs w:val="16"/>
          <w:color w:val="auto"/>
        </w:rPr>
        <w:t>We depend on the diligence, skill and network of business contacts of the senior investment professionals of our Investment Adviser for our future success. We also depend, to a significant extent, on PennantPark Investment Advisers’ access to the investment information and deal flow generated by these senior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18"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 that may affect our cost of capital and net investment income.</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will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which may diminish the actual benefits of any hedging strategy we employ. See “Management’s Discussion and Analysis of Financial Condition and Results of Operations—Quantitative and Qualitative Disclosures about Market Risk” for more information.</w:t>
      </w:r>
    </w:p>
    <w:p>
      <w:pPr>
        <w:spacing w:after="0" w:line="127" w:lineRule="exact"/>
        <w:rPr>
          <w:sz w:val="20"/>
          <w:szCs w:val="20"/>
          <w:color w:val="auto"/>
        </w:rPr>
      </w:pPr>
    </w:p>
    <w:p>
      <w:pPr>
        <w:jc w:val="both"/>
        <w:ind w:firstLine="571"/>
        <w:spacing w:after="0" w:line="306"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once the interest rate exceeds the applicable floor.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07"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on our Credit Facility, thereby decreasing our net investment income. Also, an increase in interest rates available to investors could make an investment in our common stock less attractive if we are not able to increase our dividend rate, which could reduce the value of our common stock.</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financial condition and results of operation depend on our ability to manage future growth effectively.</w:t>
      </w:r>
    </w:p>
    <w:p>
      <w:pPr>
        <w:spacing w:after="0" w:line="90" w:lineRule="exact"/>
        <w:rPr>
          <w:sz w:val="20"/>
          <w:szCs w:val="20"/>
          <w:color w:val="auto"/>
        </w:rPr>
      </w:pPr>
    </w:p>
    <w:p>
      <w:pPr>
        <w:ind w:right="120" w:firstLine="571"/>
        <w:spacing w:after="0" w:line="287" w:lineRule="auto"/>
        <w:rPr>
          <w:sz w:val="20"/>
          <w:szCs w:val="20"/>
          <w:color w:val="auto"/>
        </w:rPr>
      </w:pPr>
      <w:r>
        <w:rPr>
          <w:rFonts w:ascii="Arial" w:cs="Arial" w:eastAsia="Arial" w:hAnsi="Arial"/>
          <w:sz w:val="16"/>
          <w:szCs w:val="16"/>
          <w:color w:val="auto"/>
        </w:rPr>
        <w:t>Our ability to achieve our investment objectives depends on our ability to grow, which depends, in turn, on our Investment Adviser’s ability to identify, invest in and monitor companies that meet our investment selection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for us to grow, our Investment Adviser will need to hire, train, supervise and manage new employees. However, we can offer no assurance that any current or future employees will contribute effectively to the work of, or remain associated with, the Investment Adviser. We caution you that the principals of our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have a material adverse effect on our business, financial condition and results of operations.</w:t>
      </w:r>
    </w:p>
    <w:p>
      <w:pPr>
        <w:spacing w:after="0" w:line="51" w:lineRule="exact"/>
        <w:rPr>
          <w:sz w:val="20"/>
          <w:szCs w:val="20"/>
          <w:color w:val="auto"/>
        </w:rPr>
      </w:pPr>
    </w:p>
    <w:p>
      <w:pPr>
        <w:ind w:right="260" w:firstLine="571"/>
        <w:spacing w:after="0" w:line="259" w:lineRule="auto"/>
        <w:rPr>
          <w:sz w:val="20"/>
          <w:szCs w:val="20"/>
          <w:color w:val="auto"/>
        </w:rPr>
      </w:pPr>
      <w:r>
        <w:rPr>
          <w:rFonts w:ascii="Arial" w:cs="Arial" w:eastAsia="Arial" w:hAnsi="Arial"/>
          <w:sz w:val="18"/>
          <w:szCs w:val="18"/>
          <w:color w:val="auto"/>
        </w:rPr>
        <w:t>Our business depends on the communications and information systems, including financial and accounting systems, of the Investment Adviser, the Administrator and our sub-administrator. Any failure or interruption of such systems could cause delays or other problems in our activities. This, in turn, could have a material adverse effect on our business, financial condition and results of operations.</w:t>
      </w:r>
    </w:p>
    <w:p>
      <w:pPr>
        <w:spacing w:after="0" w:line="221"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b w:val="1"/>
          <w:bCs w:val="1"/>
          <w:i w:val="1"/>
          <w:iCs w:val="1"/>
          <w:color w:val="auto"/>
        </w:rPr>
        <w:t>We may not replicate the historical performance of other investment companies and funds with which our senior and other investment professionals have been affiliated.</w:t>
      </w:r>
    </w:p>
    <w:p>
      <w:pPr>
        <w:spacing w:after="0" w:line="51" w:lineRule="exact"/>
        <w:rPr>
          <w:sz w:val="20"/>
          <w:szCs w:val="20"/>
          <w:color w:val="auto"/>
        </w:rPr>
      </w:pPr>
    </w:p>
    <w:p>
      <w:pPr>
        <w:ind w:right="60" w:firstLine="571"/>
        <w:spacing w:after="0" w:line="253" w:lineRule="auto"/>
        <w:rPr>
          <w:sz w:val="20"/>
          <w:szCs w:val="20"/>
          <w:color w:val="auto"/>
        </w:rPr>
      </w:pPr>
      <w:r>
        <w:rPr>
          <w:rFonts w:ascii="Arial" w:cs="Arial" w:eastAsia="Arial" w:hAnsi="Arial"/>
          <w:sz w:val="18"/>
          <w:szCs w:val="18"/>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senior and other investment professionals have been affiliated, and we caution that our investment returns could be substantially lower than the returns achieved by such other companies.</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Any failure on our part to maintain our status as a BDC would reduce our operating flexibility.</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of RIC tax status would substantially reduce our net assets and income available for debt service and distributions.</w:t>
      </w:r>
    </w:p>
    <w:p>
      <w:pPr>
        <w:spacing w:after="0" w:line="90" w:lineRule="exact"/>
        <w:rPr>
          <w:sz w:val="20"/>
          <w:szCs w:val="20"/>
          <w:color w:val="auto"/>
        </w:rPr>
      </w:pPr>
    </w:p>
    <w:p>
      <w:pPr>
        <w:ind w:right="60" w:firstLine="571"/>
        <w:spacing w:after="0" w:line="286" w:lineRule="auto"/>
        <w:rPr>
          <w:sz w:val="20"/>
          <w:szCs w:val="20"/>
          <w:color w:val="auto"/>
        </w:rPr>
      </w:pPr>
      <w:r>
        <w:rPr>
          <w:rFonts w:ascii="Arial" w:cs="Arial" w:eastAsia="Arial" w:hAnsi="Arial"/>
          <w:sz w:val="16"/>
          <w:szCs w:val="16"/>
          <w:color w:val="auto"/>
        </w:rPr>
        <w:t>We have operated and continue to operate so as to maintain our election to be treated as a RIC under Subchapter M of the Code. If we meet the annual source of income, quarterly asset diversification, and distribution requirements, we generally will not be subject to corporate-level income taxation on income we timely distribute, or deem to distribute, as dividends for U.S. federal income tax purposes to our stockholders.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to our stockholders in respect of each calendar year of an amount at least equal to the sum of (1) 98% of our net ordinary income (subject to certain deferrals and elections) for the calendar year, (2) 98.2% of our capital gain net income (adjusted for certain ordinary losses) generally for the one-year period ending on October 31 of the calendar year plus (3) any net ordinary income or capital gain net income for preceding years that was not distributed during such years and on which we were not subject to corporate income tax.</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have difficulty paying our required distributions if we recognize income before or without receiving cash representing such income.</w:t>
      </w:r>
    </w:p>
    <w:p>
      <w:pPr>
        <w:spacing w:after="0" w:line="113" w:lineRule="exact"/>
        <w:rPr>
          <w:sz w:val="20"/>
          <w:szCs w:val="20"/>
          <w:color w:val="auto"/>
        </w:rPr>
      </w:pPr>
    </w:p>
    <w:p>
      <w:pPr>
        <w:ind w:right="140" w:firstLine="571"/>
        <w:spacing w:after="0" w:line="253" w:lineRule="auto"/>
        <w:rPr>
          <w:sz w:val="20"/>
          <w:szCs w:val="20"/>
          <w:color w:val="auto"/>
        </w:rPr>
      </w:pPr>
      <w:r>
        <w:rPr>
          <w:rFonts w:ascii="Arial" w:cs="Arial" w:eastAsia="Arial" w:hAnsi="Arial"/>
          <w:sz w:val="18"/>
          <w:szCs w:val="18"/>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 such as amounts attributable to foreign currency transactions. Our investments with a deferred interest feature, such as PIK interest, may represent a higher credit risk than loans for which interest must be paid in full in cash on a regular basis. For example, even if the accounting conditions for income accrual are met, the borrower could still default when our actual collection is scheduled to occur upon maturity of the obligation.</w:t>
      </w:r>
    </w:p>
    <w:p>
      <w:pPr>
        <w:spacing w:after="0" w:line="147" w:lineRule="exact"/>
        <w:rPr>
          <w:sz w:val="20"/>
          <w:szCs w:val="20"/>
          <w:color w:val="auto"/>
        </w:rPr>
      </w:pPr>
    </w:p>
    <w:p>
      <w:pPr>
        <w:jc w:val="both"/>
        <w:ind w:right="260" w:firstLine="571"/>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PIK or OID interest, it is possible that accrued interest previously used in the calculation of the incentive fee will become uncollectible.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may have difficulty meeting the tax requirement to distribute at least 90% of the sum of our ordinary income and realized net short-term capital gains, if any, to obtain RIC tax benefits. Accordingly,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lose our RIC tax status and thus be subject to corporate-level income tax.</w:t>
      </w:r>
    </w:p>
    <w:p>
      <w:pPr>
        <w:spacing w:after="0" w:line="62" w:lineRule="exact"/>
        <w:rPr>
          <w:sz w:val="20"/>
          <w:szCs w:val="20"/>
          <w:color w:val="auto"/>
        </w:rPr>
      </w:pPr>
    </w:p>
    <w:p>
      <w:pPr>
        <w:ind w:right="300" w:firstLine="228"/>
        <w:spacing w:after="0" w:line="357" w:lineRule="auto"/>
        <w:rPr>
          <w:sz w:val="20"/>
          <w:szCs w:val="20"/>
          <w:color w:val="auto"/>
        </w:rPr>
      </w:pPr>
      <w:r>
        <w:rPr>
          <w:rFonts w:ascii="Arial" w:cs="Arial" w:eastAsia="Arial" w:hAnsi="Arial"/>
          <w:sz w:val="15"/>
          <w:szCs w:val="15"/>
          <w:b w:val="1"/>
          <w:bCs w:val="1"/>
          <w:i w:val="1"/>
          <w:iCs w:val="1"/>
          <w:color w:val="auto"/>
        </w:rPr>
        <w:t>Because we intend to distribute substantially all of our income to our stockholders to maintain our tax status as a RIC, we will need to raise additional capital to finance our growth. If funds are not available to us, we may need to curtail new investments, and our common stock value could decline.</w:t>
      </w:r>
    </w:p>
    <w:p>
      <w:pPr>
        <w:ind w:right="120" w:firstLine="571"/>
        <w:spacing w:after="0" w:line="306" w:lineRule="auto"/>
        <w:rPr>
          <w:sz w:val="20"/>
          <w:szCs w:val="20"/>
          <w:color w:val="auto"/>
        </w:rPr>
      </w:pPr>
      <w:r>
        <w:rPr>
          <w:rFonts w:ascii="Arial" w:cs="Arial" w:eastAsia="Arial" w:hAnsi="Arial"/>
          <w:sz w:val="16"/>
          <w:szCs w:val="16"/>
          <w:color w:val="auto"/>
        </w:rPr>
        <w:t>In order to satisfy the requirements to be treated as a RIC for federal income tax purposes, we intend to distribute to our stockholders substantially all of our investment company taxable income and net capital gains each taxable year. However, we may retain all or a portion of our net capital gains and pay applicable income taxes with respect thereto and elect to treat such retained net capital gains as deemed dividend distributions to our stockholders.</w:t>
      </w:r>
    </w:p>
    <w:p>
      <w:pPr>
        <w:spacing w:after="0" w:line="107"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As a BDC, we are required to meet a 200% asset coverage ratio of total assets to total senior securities, which includes all of our borrowings,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16" w:lineRule="exact"/>
        <w:rPr>
          <w:sz w:val="20"/>
          <w:szCs w:val="20"/>
          <w:color w:val="auto"/>
        </w:rPr>
      </w:pPr>
    </w:p>
    <w:p>
      <w:pPr>
        <w:ind w:right="100" w:firstLine="571"/>
        <w:spacing w:after="0" w:line="294" w:lineRule="auto"/>
        <w:rPr>
          <w:sz w:val="20"/>
          <w:szCs w:val="20"/>
          <w:color w:val="auto"/>
        </w:rPr>
      </w:pPr>
      <w:r>
        <w:rPr>
          <w:rFonts w:ascii="Arial" w:cs="Arial" w:eastAsia="Arial" w:hAnsi="Arial"/>
          <w:sz w:val="16"/>
          <w:szCs w:val="16"/>
          <w:color w:val="auto"/>
        </w:rPr>
        <w:t>We are partially dependent on our subsidiary Funding I for cash distributions to enable us to meet the RIC distribution requirements. Funding I may be limited by its covenants from making certain distributions to us that may be necessary to fulfill our requirements to be subject to tax as a RIC for federal income tax purposes. We may have to request a waiver of these covenants’ restrictions for Funding I to make certain distributions to enable us to be treated as a RIC for federal income tax purposes. We cannot assure you that Funding I will be granted such a waiver, and if Funding I is unable to obtain a waiver, compliance with the covenants may cause us to incur a corporate-level income tax.</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Regulations governing our operation as a BDC will affect our ability to, and the way in which we, raise additional capital.</w:t>
      </w:r>
    </w:p>
    <w:p>
      <w:pPr>
        <w:spacing w:after="0" w:line="90" w:lineRule="exact"/>
        <w:rPr>
          <w:sz w:val="20"/>
          <w:szCs w:val="20"/>
          <w:color w:val="auto"/>
        </w:rPr>
      </w:pPr>
    </w:p>
    <w:p>
      <w:pPr>
        <w:ind w:right="20" w:firstLine="571"/>
        <w:spacing w:after="0" w:line="288"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Under the 1940 Act, the asset coverage ratio requirements permit us to issue senior securities or incur indebtedness subject to certain limits. Our ability to pay distributions or issue additional senior securities would be restricted if our asset coverage ratio was not met. If the value of our assets declines, we may be unable to satisfy the asset coverage ratio. If that happens, we may be required to liquidate a portion of our investments and repay a portion of our indebtedness at a time when such sales may be disadvantageous, which could materially damage our business, financial condition and results of operations.</w:t>
      </w:r>
    </w:p>
    <w:p>
      <w:pPr>
        <w:spacing w:after="0" w:line="160" w:lineRule="exact"/>
        <w:rPr>
          <w:sz w:val="20"/>
          <w:szCs w:val="20"/>
          <w:color w:val="auto"/>
        </w:rPr>
      </w:pPr>
    </w:p>
    <w:p>
      <w:pPr>
        <w:ind w:left="460" w:hanging="452"/>
        <w:spacing w:after="0" w:line="291"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Senior Securities. </w:t>
      </w:r>
      <w:r>
        <w:rPr>
          <w:rFonts w:ascii="Arial" w:cs="Arial" w:eastAsia="Arial" w:hAnsi="Arial"/>
          <w:sz w:val="16"/>
          <w:szCs w:val="16"/>
          <w:color w:val="auto"/>
        </w:rPr>
        <w:t>As a result of issuing senior securities, we are exposed to typical risks associated with leverage, including an increased risk of loss. If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160" w:lineRule="exact"/>
        <w:rPr>
          <w:rFonts w:ascii="Arial" w:cs="Arial" w:eastAsia="Arial" w:hAnsi="Arial"/>
          <w:sz w:val="16"/>
          <w:szCs w:val="16"/>
          <w:color w:val="auto"/>
        </w:rPr>
      </w:pPr>
    </w:p>
    <w:p>
      <w:pPr>
        <w:ind w:left="460" w:right="20" w:hanging="452"/>
        <w:spacing w:after="0" w:line="290"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Additional Common Stock. </w:t>
      </w:r>
      <w:r>
        <w:rPr>
          <w:rFonts w:ascii="Arial" w:cs="Arial" w:eastAsia="Arial" w:hAnsi="Arial"/>
          <w:sz w:val="16"/>
          <w:szCs w:val="16"/>
          <w:color w:val="auto"/>
        </w:rPr>
        <w:t>Our board of directors may decide to issue common stock to finance our operations rather than issuing debt or other senior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As a BDC, we 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86" w:lineRule="auto"/>
        <w:rPr>
          <w:sz w:val="20"/>
          <w:szCs w:val="20"/>
          <w:color w:val="auto"/>
        </w:rPr>
      </w:pPr>
      <w:r>
        <w:rPr>
          <w:rFonts w:ascii="Arial" w:cs="Arial" w:eastAsia="Arial" w:hAnsi="Arial"/>
          <w:sz w:val="16"/>
          <w:szCs w:val="16"/>
          <w:color w:val="auto"/>
        </w:rPr>
        <w:t>of our common stock may differ materially from and will necessarily be more abbreviated than the procedures used by the board of directors to determine the NAV per share of our common stock at the end of each quarter because there is a time-intensive process each quarter to determine the NAV per share of our common stock which cannot be completed in 48 hours. The quarterly process includes preliminary valuation conclusions, engagement of independent valuation firms and review by those firms of preliminary valuation conclusions. See “Determination of Net Asset Value.” By contrast, the procedures in connection with an offering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165" w:lineRule="exact"/>
        <w:rPr>
          <w:sz w:val="20"/>
          <w:szCs w:val="20"/>
          <w:color w:val="auto"/>
        </w:rPr>
      </w:pPr>
    </w:p>
    <w:p>
      <w:pPr>
        <w:ind w:left="460" w:hanging="452"/>
        <w:spacing w:after="0" w:line="285"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Securitization. </w:t>
      </w:r>
      <w:r>
        <w:rPr>
          <w:rFonts w:ascii="Arial" w:cs="Arial" w:eastAsia="Arial" w:hAnsi="Arial"/>
          <w:sz w:val="16"/>
          <w:szCs w:val="16"/>
          <w:color w:val="auto"/>
        </w:rPr>
        <w:t>In addition to issuing securities to raise capital as described above, we anticipate that in the future, as market conditions permit, we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currently use borrowed funds to make investments and are exposed to the typical risks associated with leverage.</w:t>
      </w:r>
    </w:p>
    <w:p>
      <w:pPr>
        <w:spacing w:after="0" w:line="90"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Because we borrow funds through Funding I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may be restricted when our asset coverage ratio is not met and any cash that we use to service our indebtedness is not available for distribution to our common stockholders.</w:t>
      </w:r>
    </w:p>
    <w:p>
      <w:pPr>
        <w:spacing w:after="0" w:line="143" w:lineRule="exact"/>
        <w:rPr>
          <w:sz w:val="20"/>
          <w:szCs w:val="20"/>
          <w:color w:val="auto"/>
        </w:rPr>
      </w:pPr>
    </w:p>
    <w:p>
      <w:pPr>
        <w:ind w:right="200" w:firstLine="571"/>
        <w:spacing w:after="0" w:line="298" w:lineRule="auto"/>
        <w:rPr>
          <w:sz w:val="20"/>
          <w:szCs w:val="20"/>
          <w:color w:val="auto"/>
        </w:rPr>
      </w:pPr>
      <w:r>
        <w:rPr>
          <w:rFonts w:ascii="Arial" w:cs="Arial" w:eastAsia="Arial" w:hAnsi="Arial"/>
          <w:sz w:val="16"/>
          <w:szCs w:val="16"/>
          <w:color w:val="auto"/>
        </w:rPr>
        <w:t>Our current debt is governed by the terms of the Credit Facility and future debt may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 and may also carry leverage related risks. Leverage magnifies the potential risks for loss and the risks of investing in us, both as detailed below.</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incur additional debt, it could increase the risk of investing in our shares.</w:t>
      </w:r>
    </w:p>
    <w:p>
      <w:pPr>
        <w:spacing w:after="0" w:line="90" w:lineRule="exact"/>
        <w:rPr>
          <w:sz w:val="20"/>
          <w:szCs w:val="20"/>
          <w:color w:val="auto"/>
        </w:rPr>
      </w:pPr>
    </w:p>
    <w:p>
      <w:pPr>
        <w:ind w:right="20" w:firstLine="571"/>
        <w:spacing w:after="0" w:line="307" w:lineRule="auto"/>
        <w:rPr>
          <w:sz w:val="20"/>
          <w:szCs w:val="20"/>
          <w:color w:val="auto"/>
        </w:rPr>
      </w:pPr>
      <w:r>
        <w:rPr>
          <w:rFonts w:ascii="Arial" w:cs="Arial" w:eastAsia="Arial" w:hAnsi="Arial"/>
          <w:sz w:val="15"/>
          <w:szCs w:val="15"/>
          <w:color w:val="auto"/>
        </w:rPr>
        <w:t>We have indebtedness outstanding pursuant to our Credit Facility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12"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As of September 30, 2016, we had outstanding borrowings of $232.9 million under our Credit Facility with a current interest rate of 2.57% exclusive of the fees on the undrawn commitment. To cover the annual interest on our borrowings of $232.9 million outstanding at September 30, 2016, at the weighted average annual rate of 2.57%, we would have to receive an annual yield of at least 0.98%.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116" w:lineRule="exact"/>
        <w:rPr>
          <w:sz w:val="20"/>
          <w:szCs w:val="20"/>
          <w:color w:val="auto"/>
        </w:rPr>
      </w:pPr>
    </w:p>
    <w:p>
      <w:pPr>
        <w:ind w:right="260" w:firstLine="571"/>
        <w:spacing w:after="0" w:line="254" w:lineRule="auto"/>
        <w:rPr>
          <w:sz w:val="20"/>
          <w:szCs w:val="20"/>
          <w:color w:val="auto"/>
        </w:rPr>
      </w:pPr>
      <w:r>
        <w:rPr>
          <w:rFonts w:ascii="Arial" w:cs="Arial" w:eastAsia="Arial" w:hAnsi="Arial"/>
          <w:sz w:val="18"/>
          <w:szCs w:val="18"/>
          <w:color w:val="auto"/>
        </w:rPr>
        <w:t>The following table is designed to illustrate the effect on the return to a holder of our common stock of the leverage created by our use of borrowing at September 30, 2016 of 37% of total assets (including such borrowed funds), at the current interest rate at the time of 2.57%,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Assumed return on portfolio (net of expenses) </w:t>
            </w:r>
            <w:r>
              <w:rPr>
                <w:rFonts w:ascii="Arial" w:cs="Arial" w:eastAsia="Arial" w:hAnsi="Arial"/>
                <w:sz w:val="11"/>
                <w:szCs w:val="11"/>
                <w:color w:val="auto"/>
              </w:rPr>
              <w:t>(1)</w:t>
            </w:r>
          </w:p>
        </w:tc>
        <w:tc>
          <w:tcPr>
            <w:tcW w:w="2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(10.0)%</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(5.0)%</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5600" w:type="dxa"/>
            <w:vAlign w:val="bottom"/>
          </w:tcPr>
          <w:p>
            <w:pPr>
              <w:spacing w:after="0"/>
              <w:rPr>
                <w:sz w:val="20"/>
                <w:szCs w:val="20"/>
                <w:color w:val="auto"/>
              </w:rPr>
            </w:pPr>
            <w:r>
              <w:rPr>
                <w:rFonts w:ascii="Arial" w:cs="Arial" w:eastAsia="Arial" w:hAnsi="Arial"/>
                <w:sz w:val="18"/>
                <w:szCs w:val="18"/>
                <w:color w:val="auto"/>
              </w:rPr>
              <w:t xml:space="preserve">Corresponding return to common stockholders </w:t>
            </w:r>
            <w:r>
              <w:rPr>
                <w:rFonts w:ascii="Arial" w:cs="Arial" w:eastAsia="Arial" w:hAnsi="Arial"/>
                <w:sz w:val="11"/>
                <w:szCs w:val="11"/>
                <w:color w:val="auto"/>
              </w:rPr>
              <w:t>(2)</w:t>
            </w:r>
          </w:p>
        </w:tc>
        <w:tc>
          <w:tcPr>
            <w:tcW w:w="2860" w:type="dxa"/>
            <w:vAlign w:val="bottom"/>
          </w:tcPr>
          <w:p>
            <w:pPr>
              <w:jc w:val="right"/>
              <w:ind w:right="52"/>
              <w:spacing w:after="0"/>
              <w:rPr>
                <w:sz w:val="20"/>
                <w:szCs w:val="20"/>
                <w:color w:val="auto"/>
              </w:rPr>
            </w:pPr>
            <w:r>
              <w:rPr>
                <w:rFonts w:ascii="Arial" w:cs="Arial" w:eastAsia="Arial" w:hAnsi="Arial"/>
                <w:sz w:val="18"/>
                <w:szCs w:val="18"/>
                <w:color w:val="auto"/>
              </w:rPr>
              <w:t>(18.4)%</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(10.0)%</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6.8%</w:t>
            </w:r>
          </w:p>
        </w:tc>
        <w:tc>
          <w:tcPr>
            <w:tcW w:w="660" w:type="dxa"/>
            <w:vAlign w:val="bottom"/>
          </w:tcPr>
          <w:p>
            <w:pPr>
              <w:jc w:val="right"/>
              <w:spacing w:after="0"/>
              <w:rPr>
                <w:sz w:val="20"/>
                <w:szCs w:val="20"/>
                <w:color w:val="auto"/>
              </w:rPr>
            </w:pPr>
            <w:r>
              <w:rPr>
                <w:rFonts w:ascii="Arial" w:cs="Arial" w:eastAsia="Arial" w:hAnsi="Arial"/>
                <w:sz w:val="18"/>
                <w:szCs w:val="18"/>
                <w:color w:val="auto"/>
              </w:rPr>
              <w:t>15.2%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8865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11"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ind w:left="220" w:right="20" w:hanging="212"/>
        <w:spacing w:after="0" w:line="277" w:lineRule="auto"/>
        <w:tabs>
          <w:tab w:leader="none" w:pos="22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201" w:lineRule="exact"/>
        <w:rPr>
          <w:sz w:val="20"/>
          <w:szCs w:val="20"/>
          <w:color w:val="auto"/>
        </w:rPr>
      </w:pPr>
    </w:p>
    <w:p>
      <w:pPr>
        <w:ind w:right="500" w:firstLine="228"/>
        <w:spacing w:after="0" w:line="268"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debt securities, which would magnify the potential for loss and the risks of investing in us.</w:t>
      </w:r>
    </w:p>
    <w:p>
      <w:pPr>
        <w:spacing w:after="0" w:line="51" w:lineRule="exact"/>
        <w:rPr>
          <w:sz w:val="20"/>
          <w:szCs w:val="20"/>
          <w:color w:val="auto"/>
        </w:rPr>
      </w:pPr>
    </w:p>
    <w:p>
      <w:pPr>
        <w:ind w:right="260" w:firstLine="571"/>
        <w:spacing w:after="0" w:line="256" w:lineRule="auto"/>
        <w:rPr>
          <w:sz w:val="20"/>
          <w:szCs w:val="20"/>
          <w:color w:val="auto"/>
        </w:rPr>
      </w:pPr>
      <w:r>
        <w:rPr>
          <w:rFonts w:ascii="Arial" w:cs="Arial" w:eastAsia="Arial" w:hAnsi="Arial"/>
          <w:sz w:val="18"/>
          <w:szCs w:val="18"/>
          <w:color w:val="auto"/>
        </w:rPr>
        <w:t>As a result of any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debt securities in the future, it is likely that such securities will be governed by an indenture or other instrument containing covenants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credit ratings may not reflect all risks of an investment in our debt securities.</w:t>
      </w:r>
    </w:p>
    <w:p>
      <w:pPr>
        <w:spacing w:after="0" w:line="90" w:lineRule="exact"/>
        <w:rPr>
          <w:sz w:val="20"/>
          <w:szCs w:val="20"/>
          <w:color w:val="auto"/>
        </w:rPr>
      </w:pPr>
    </w:p>
    <w:p>
      <w:pPr>
        <w:ind w:right="20" w:firstLine="571"/>
        <w:spacing w:after="0" w:line="306" w:lineRule="auto"/>
        <w:rPr>
          <w:sz w:val="20"/>
          <w:szCs w:val="20"/>
          <w:color w:val="auto"/>
        </w:rPr>
      </w:pPr>
      <w:r>
        <w:rPr>
          <w:rFonts w:ascii="Arial" w:cs="Arial" w:eastAsia="Arial" w:hAnsi="Arial"/>
          <w:sz w:val="16"/>
          <w:szCs w:val="16"/>
          <w:color w:val="auto"/>
        </w:rPr>
        <w:t>Our credit ratings, if any, are an assessment of our ability to pay our obligations. Consequently, real or anticipated changes in our credit ratings will generally affect the market value of any publicly issued debt securities. Our credit ratings, generally may not reflect the potential impact of risks related to market conditions or other factors discussed above on the market value of, or trading market for, any publicly issued debt securities.</w:t>
      </w:r>
    </w:p>
    <w:p>
      <w:pPr>
        <w:spacing w:after="0" w:line="188"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b w:val="1"/>
          <w:bCs w:val="1"/>
          <w:i w:val="1"/>
          <w:iCs w:val="1"/>
          <w:color w:val="auto"/>
        </w:rPr>
        <w:t>Market conditions may make it difficult to extend the maturity of or refinance our existing indebtedness and any failure to do so would have a material adverse effect on our business.</w:t>
      </w:r>
    </w:p>
    <w:p>
      <w:pPr>
        <w:spacing w:after="0" w:line="51"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Our Credit Facility expires in August 2020. We utilize proceeds from the Credit Facility to make investments in our portfolio companies. The duration of many of our investments exceeds the duration of our indebtedness under our Credit Facility. This means that we will have to extend the maturity of our Credit Facility or refinance our indebtedness under our Credit Facility in order to avoid selling investments at maturity of the Credit Facility, at which time such sales may be at prices that are disadvantageous to us, which could materially damage our business. In addition, future market conditions may affect our ability to renew or refinance our Credit Facility on terms as favorable as those in our existing Credit Facility.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204" w:lineRule="exact"/>
        <w:rPr>
          <w:sz w:val="20"/>
          <w:szCs w:val="20"/>
          <w:color w:val="auto"/>
        </w:rPr>
      </w:pPr>
    </w:p>
    <w:p>
      <w:pPr>
        <w:ind w:right="500" w:firstLine="228"/>
        <w:spacing w:after="0" w:line="268"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51"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your best interest.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interests in Funding I are subordinated.</w:t>
      </w:r>
    </w:p>
    <w:p>
      <w:pPr>
        <w:spacing w:after="0" w:line="90"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We own 100% of the equity interests in Funding I. We consolidate Funding I in our Consolidated Financial Statements and treat the indebtedness of Funding I as our leverage. Our interests in Funding I (other than the management fees that the Investment Adviser has irrevocably directed to be paid to us) are subordinate in priority of payment to every other obligation of Funding I and are subject to certain payment restrictions set forth in the Credit Facility documents. We may receive cash distributions on our equity interests in Funding I only after it has made all (1)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120" w:lineRule="exact"/>
        <w:rPr>
          <w:sz w:val="20"/>
          <w:szCs w:val="20"/>
          <w:color w:val="auto"/>
        </w:rPr>
      </w:pPr>
    </w:p>
    <w:p>
      <w:pPr>
        <w:ind w:right="180" w:firstLine="571"/>
        <w:spacing w:after="0" w:line="298" w:lineRule="auto"/>
        <w:rPr>
          <w:sz w:val="20"/>
          <w:szCs w:val="20"/>
          <w:color w:val="auto"/>
        </w:rPr>
      </w:pPr>
      <w:r>
        <w:rPr>
          <w:rFonts w:ascii="Arial" w:cs="Arial" w:eastAsia="Arial" w:hAnsi="Arial"/>
          <w:sz w:val="16"/>
          <w:szCs w:val="16"/>
          <w:color w:val="auto"/>
        </w:rPr>
        <w:t>Our equity interests in Funding I are subordinate to all of the secured and unsecured creditors, known or unknown, of Funding I, including the Lenders. Consequently, to the extent that the value of Funding I’s portfolio of loan investments has been reduced as a result of conditions in the credit markets, defaulted loans, capital losses exceeding gains on the underlying assets, prepayments or changes in interest rates, the return on our investment in Funding I could be reduced. Accordingly, our investment in Funding I is subject to a complete risk of loss.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receive cash on our equity interests from Funding I.</w:t>
      </w:r>
    </w:p>
    <w:p>
      <w:pPr>
        <w:spacing w:after="0" w:line="90"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color w:val="auto"/>
        </w:rPr>
        <w:t>Except for management fees that PennantPark Investment Advisers has irrevocably directed to be paid to us, we receive cash from Funding I only to the extent that we receive distributions on our equity interests in Funding I. Funding I may make equity distributions on such interests only to the extent permitted by the payment priority provisions of the Credit Facility. The Credit Facility generally provides that payments on such interests may not be made on any payment date unless all amounts owing to the Lenders and other secured parties are paid in full. In the event that we fail to receive cash from Funding I, we could be unable to make distributions to our stockholders in amounts sufficient to maintain our ability to be subject to tax as a RIC. We also could be forced to sell investments in portfolio companies at less than their fair value in order to continue making such distributions.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are significant potential conflicts of interest which could impact our investment returns.</w:t>
      </w:r>
    </w:p>
    <w:p>
      <w:pPr>
        <w:spacing w:after="0" w:line="90" w:lineRule="exact"/>
        <w:rPr>
          <w:sz w:val="20"/>
          <w:szCs w:val="20"/>
          <w:color w:val="auto"/>
        </w:rPr>
      </w:pPr>
    </w:p>
    <w:p>
      <w:pPr>
        <w:ind w:firstLine="571"/>
        <w:spacing w:after="0" w:line="306" w:lineRule="auto"/>
        <w:rPr>
          <w:sz w:val="20"/>
          <w:szCs w:val="20"/>
          <w:color w:val="auto"/>
        </w:rPr>
      </w:pPr>
      <w:r>
        <w:rPr>
          <w:rFonts w:ascii="Arial" w:cs="Arial" w:eastAsia="Arial" w:hAnsi="Arial"/>
          <w:sz w:val="15"/>
          <w:szCs w:val="15"/>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our exemptive relief and our allocation procedures.</w:t>
      </w:r>
    </w:p>
    <w:p>
      <w:pPr>
        <w:spacing w:after="0" w:line="112"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 For example, the Investment Adviser may seek to invest in more speculative investments in order to increase its incentive fee, which practice could result in higher investment losses, particularly during economic downturns.</w:t>
      </w:r>
    </w:p>
    <w:p>
      <w:pPr>
        <w:spacing w:after="0" w:line="144" w:lineRule="exact"/>
        <w:rPr>
          <w:sz w:val="20"/>
          <w:szCs w:val="20"/>
          <w:color w:val="auto"/>
        </w:rPr>
      </w:pPr>
    </w:p>
    <w:p>
      <w:pPr>
        <w:ind w:right="80" w:firstLine="571"/>
        <w:spacing w:after="0" w:line="254" w:lineRule="auto"/>
        <w:rPr>
          <w:sz w:val="20"/>
          <w:szCs w:val="20"/>
          <w:color w:val="auto"/>
        </w:rPr>
      </w:pPr>
      <w:r>
        <w:rPr>
          <w:rFonts w:ascii="Arial" w:cs="Arial" w:eastAsia="Arial" w:hAnsi="Arial"/>
          <w:sz w:val="18"/>
          <w:szCs w:val="18"/>
          <w:color w:val="auto"/>
        </w:rPr>
        <w:t>We have entered into a license agreement, or the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144"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9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is expected to have a corresponding increase to our NAV. Similarly, future increases in the fair value of our debt may have a corresponding decrease to our NAV. Any future indebtedness that we elect the fair value option for may have similar effects on our NAV as our Credit Facility. This is expected to mitigate volatility in our earnings and NAV. As a result of these factors, results for any period should not be relied upon as being indicative of performance in future periods.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b w:val="1"/>
          <w:bCs w:val="1"/>
          <w:i w:val="1"/>
          <w:iCs w:val="1"/>
          <w:color w:val="auto"/>
        </w:rPr>
        <w:t>Holders of any preferred stock that we may issue will have the right to elect members of the board of directors and have class voting rights on certain matters.</w:t>
      </w:r>
    </w:p>
    <w:p>
      <w:pPr>
        <w:spacing w:after="0" w:line="51"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conversion to open-end status and, accordingly, preferred stockholders could veto any such changes in addition to any ability of common and preferred stockholders, voting together as a single class, to veto such matters. Restrictions imposed on the declarations and payment of distributions to the holders of our common stock and preferred stock, both by the 1940 Act and by requirements imposed by rating agencies, might impair our ability to maintain our ability to be subject to tax as a RIC for U.S. federal income tax purposes, which could have a material adverse effect on our business, financial condition and results of operations.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in the future issue securities for which there is no public market and for which we expect no public market to develop.</w:t>
      </w:r>
    </w:p>
    <w:p>
      <w:pPr>
        <w:spacing w:after="0" w:line="90"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If we issue preferred stock, debt securities or convertible debt securities the NAV and market value of our common stock may become more volatile.</w:t>
      </w:r>
    </w:p>
    <w:p>
      <w:pPr>
        <w:spacing w:after="0" w:line="125" w:lineRule="exact"/>
        <w:rPr>
          <w:sz w:val="20"/>
          <w:szCs w:val="20"/>
          <w:color w:val="auto"/>
        </w:rPr>
      </w:pPr>
    </w:p>
    <w:p>
      <w:pPr>
        <w:ind w:right="20" w:firstLine="571"/>
        <w:spacing w:after="0" w:line="288"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debt securities and/or convertible debt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120"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or other covenants which may be required by the preferred stock, debt securities and/or convertible debt or risk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any combination of these securities may have different interests than holders of common stock and may at times have disproportionate influence over our business.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ability to sell investments held by Funding I is limited.</w:t>
      </w:r>
    </w:p>
    <w:p>
      <w:pPr>
        <w:spacing w:after="0" w:line="90" w:lineRule="exact"/>
        <w:rPr>
          <w:sz w:val="20"/>
          <w:szCs w:val="20"/>
          <w:color w:val="auto"/>
        </w:rPr>
      </w:pPr>
    </w:p>
    <w:p>
      <w:pPr>
        <w:ind w:right="380" w:firstLine="571"/>
        <w:spacing w:after="0" w:line="268" w:lineRule="auto"/>
        <w:rPr>
          <w:sz w:val="20"/>
          <w:szCs w:val="20"/>
          <w:color w:val="auto"/>
        </w:rPr>
      </w:pPr>
      <w:r>
        <w:rPr>
          <w:rFonts w:ascii="Arial" w:cs="Arial" w:eastAsia="Arial" w:hAnsi="Arial"/>
          <w:sz w:val="18"/>
          <w:szCs w:val="18"/>
          <w:color w:val="auto"/>
        </w:rPr>
        <w:t>The Credit Facility places restrictions on the collateral manager’s ability to sell investments. As a result, there may be times or circumstances during which the collateral manager is unable to sell investments or take other actions that might be in our best interests.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trading market or market value of any publicly issued debt or convertible debt securities may be volatile.</w:t>
      </w:r>
    </w:p>
    <w:p>
      <w:pPr>
        <w:spacing w:after="0" w:line="90"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If we publicly issue debt or convertible debt securities,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These factors include the following:</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or similar to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redemption, repayment or convertible features, if any, of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90"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Terms relating to debt redemption may have a material adverse effect on the return on any debt securities.</w:t>
      </w:r>
    </w:p>
    <w:p>
      <w:pPr>
        <w:spacing w:after="0" w:line="90" w:lineRule="exact"/>
        <w:rPr>
          <w:sz w:val="20"/>
          <w:szCs w:val="20"/>
          <w:color w:val="auto"/>
        </w:rPr>
      </w:pPr>
    </w:p>
    <w:p>
      <w:pPr>
        <w:ind w:firstLine="571"/>
        <w:spacing w:after="0" w:line="323" w:lineRule="auto"/>
        <w:rPr>
          <w:sz w:val="20"/>
          <w:szCs w:val="20"/>
          <w:color w:val="auto"/>
        </w:rPr>
      </w:pPr>
      <w:r>
        <w:rPr>
          <w:rFonts w:ascii="Arial" w:cs="Arial" w:eastAsia="Arial" w:hAnsi="Arial"/>
          <w:sz w:val="15"/>
          <w:szCs w:val="15"/>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we issue subscription rights or warrants for our common stock, your interest in us may be diluted as a result of such rights or warrants offering.</w:t>
      </w:r>
    </w:p>
    <w:p>
      <w:pPr>
        <w:spacing w:after="0" w:line="113"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62"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impact of recent financial reform legislation on us is uncertain.</w:t>
      </w:r>
    </w:p>
    <w:p>
      <w:pPr>
        <w:spacing w:after="0" w:line="90"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became effective in 2010. Although many provisions of the Dodd-Frank Act have delayed effectiveness or will not become effective until the relevant federal agencies issue new rules to implement the Dodd-Frank Act, the Dodd-Frank Act may nevertheless have a material adverse impact on the financial services industry as a whole and on our business, financial condition and results of operations. Accordingly, we are continuing to evaluate the effect the Dodd-Frank Act or implementing its regulations will have on our business, financial condition and results of operations.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or those of our portfolio companies may adversely affect our business.</w:t>
      </w:r>
    </w:p>
    <w:p>
      <w:pPr>
        <w:spacing w:after="0" w:line="90" w:lineRule="exact"/>
        <w:rPr>
          <w:sz w:val="20"/>
          <w:szCs w:val="20"/>
          <w:color w:val="auto"/>
        </w:rPr>
      </w:pPr>
    </w:p>
    <w:p>
      <w:pPr>
        <w:jc w:val="both"/>
        <w:ind w:right="500" w:firstLine="571"/>
        <w:spacing w:after="0" w:line="335" w:lineRule="auto"/>
        <w:rPr>
          <w:sz w:val="20"/>
          <w:szCs w:val="20"/>
          <w:color w:val="auto"/>
        </w:rPr>
      </w:pPr>
      <w:r>
        <w:rPr>
          <w:rFonts w:ascii="Arial" w:cs="Arial" w:eastAsia="Arial" w:hAnsi="Arial"/>
          <w:sz w:val="15"/>
          <w:szCs w:val="15"/>
          <w:color w:val="auto"/>
        </w:rPr>
        <w:t>We and our portfolio companies are subject to laws and regulation at the local, state and federal levels. These laws and regulations, as well as their interpretation, may be changed from time to time. Accordingly, any change in these laws or regulations that govern our operations or those of our portfolio companies could have a material adverse effect on our business, financial condition and results of operations. See “Regulation” for more information.</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board of directors may change our investment objectives, operating policies and strategies without prior notice or stockholder approval.</w:t>
      </w:r>
    </w:p>
    <w:p>
      <w:pPr>
        <w:spacing w:after="0" w:line="113" w:lineRule="exact"/>
        <w:rPr>
          <w:sz w:val="20"/>
          <w:szCs w:val="20"/>
          <w:color w:val="auto"/>
        </w:rPr>
      </w:pPr>
    </w:p>
    <w:p>
      <w:pPr>
        <w:ind w:right="100" w:firstLine="571"/>
        <w:spacing w:after="0" w:line="298"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subject to risks associated with cybersecurity and cyber incidents.</w:t>
      </w:r>
    </w:p>
    <w:p>
      <w:pPr>
        <w:spacing w:after="0" w:line="90"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Our business relies on secure information technology systems. These systems are subject to potential attacks, including through adverse events that threaten the confidentiality, integrity or availability of our information resources (i.e., cyber incidents). These attacks could involve gaining unauthorized access to our information systems for purposes of misappropriating assets, stealing confidential information, corrupting data or causing operational disruption and result in disrupted operations, misstated or unreliable financial data, liability for stolen assets or information, increased cybersecurity protection and insurance costs, litigation and damage to our business relationships, any of which could have a material adverse effect on our business, financial condition and results of operations. As our reliance on technology has increased, so have the risks posed to our information systems, both internal and those provided by the Investment Adviser and third-party service providers. We, along with our Investment Adviser, have implemented processes, procedures and internal controls to help mitigate cybersecurity risks and cyber intrusions, but these measures, as well as our increased awareness of the nature and extent of the risk of a cyber incident, may be ineffective and do not guarantee that a cyber incident will not occur or that our financial results, operations or confidential information will not be negatively impacted by such an incident.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6"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51" w:lineRule="exact"/>
        <w:rPr>
          <w:sz w:val="20"/>
          <w:szCs w:val="20"/>
          <w:color w:val="auto"/>
        </w:rPr>
      </w:pPr>
    </w:p>
    <w:p>
      <w:pPr>
        <w:ind w:right="80" w:firstLine="571"/>
        <w:spacing w:after="0" w:line="284" w:lineRule="auto"/>
        <w:rPr>
          <w:sz w:val="20"/>
          <w:szCs w:val="20"/>
          <w:color w:val="auto"/>
        </w:rPr>
      </w:pPr>
      <w:r>
        <w:rPr>
          <w:rFonts w:ascii="Arial" w:cs="Arial" w:eastAsia="Arial" w:hAnsi="Arial"/>
          <w:sz w:val="16"/>
          <w:szCs w:val="16"/>
          <w:color w:val="auto"/>
        </w:rPr>
        <w:t>All of our investments are recorded using broker or dealer quotes, if available, or at fair value as determined in good faith by our board of directors. We expect that most, if not all, of our investments (other than cash and cash equivalents) and the fair value of the Credit Facility will be classified as Level 3 under the Financial Accounting Standards Board, or FASB, Accounting Standards Codification, or ASC, Topic 820, Fair Value Measurements and Disclosures, or ASC</w:t>
      </w:r>
    </w:p>
    <w:p>
      <w:pPr>
        <w:spacing w:after="0" w:line="1" w:lineRule="exact"/>
        <w:rPr>
          <w:sz w:val="20"/>
          <w:szCs w:val="20"/>
          <w:color w:val="auto"/>
        </w:rPr>
      </w:pPr>
    </w:p>
    <w:p>
      <w:pPr>
        <w:ind w:right="60" w:firstLine="8"/>
        <w:spacing w:after="0" w:line="290" w:lineRule="auto"/>
        <w:tabs>
          <w:tab w:leader="none" w:pos="35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 As a result, there will be uncertainty as to the value of our portfolio investments.</w:t>
      </w:r>
    </w:p>
    <w:p>
      <w:pPr>
        <w:spacing w:after="0" w:line="118" w:lineRule="exact"/>
        <w:rPr>
          <w:sz w:val="20"/>
          <w:szCs w:val="20"/>
          <w:color w:val="auto"/>
        </w:rPr>
      </w:pPr>
    </w:p>
    <w:p>
      <w:pPr>
        <w:ind w:right="20" w:firstLine="571"/>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our investment has appreciated in value. Likewise, we record unrealized depreciation if we believe that our investment has depreciated in value. 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145"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All of our investments are recorded at fair value as determined in good faith by our board of directors. Our board of directors uses the services of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lower than the values that we ultimately realize upon the disposal of such investments.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90" w:lineRule="exact"/>
        <w:rPr>
          <w:sz w:val="20"/>
          <w:szCs w:val="20"/>
          <w:color w:val="auto"/>
        </w:rPr>
      </w:pPr>
    </w:p>
    <w:p>
      <w:pPr>
        <w:ind w:right="180" w:firstLine="571"/>
        <w:spacing w:after="0" w:line="306" w:lineRule="auto"/>
        <w:rPr>
          <w:sz w:val="20"/>
          <w:szCs w:val="20"/>
          <w:color w:val="auto"/>
        </w:rPr>
      </w:pPr>
      <w:r>
        <w:rPr>
          <w:rFonts w:ascii="Arial" w:cs="Arial" w:eastAsia="Arial" w:hAnsi="Arial"/>
          <w:sz w:val="16"/>
          <w:szCs w:val="16"/>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107" w:lineRule="exact"/>
        <w:rPr>
          <w:sz w:val="20"/>
          <w:szCs w:val="20"/>
          <w:color w:val="auto"/>
        </w:rPr>
      </w:pPr>
    </w:p>
    <w:p>
      <w:pPr>
        <w:ind w:right="200" w:firstLine="571"/>
        <w:spacing w:after="0" w:line="294" w:lineRule="auto"/>
        <w:rPr>
          <w:sz w:val="20"/>
          <w:szCs w:val="20"/>
          <w:color w:val="auto"/>
        </w:rPr>
      </w:pPr>
      <w:r>
        <w:rPr>
          <w:rFonts w:ascii="Arial" w:cs="Arial" w:eastAsia="Arial" w:hAnsi="Arial"/>
          <w:sz w:val="16"/>
          <w:szCs w:val="16"/>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ectPr>
          <w:pgSz w:w="11900" w:h="16838" w:orient="portrait"/>
          <w:cols w:equalWidth="0" w:num="1">
            <w:col w:w="11420"/>
          </w:cols>
          <w:pgMar w:left="240" w:top="459" w:right="239" w:bottom="1440" w:gutter="0" w:footer="0" w:header="0"/>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general disruption in the credit markets could materially damage our business.</w:t>
      </w:r>
    </w:p>
    <w:p>
      <w:pPr>
        <w:spacing w:after="0" w:line="90"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debt maturities. Funding I’s borrowings under its Credit Facility are collateralized by the assets in our investment portfolio. A general disruption in the credit markets could result in diminished demand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3" w:lineRule="exact"/>
        <w:rPr>
          <w:sz w:val="20"/>
          <w:szCs w:val="20"/>
          <w:color w:val="auto"/>
        </w:rPr>
      </w:pPr>
    </w:p>
    <w:p>
      <w:pPr>
        <w:ind w:right="280" w:firstLine="571"/>
        <w:spacing w:after="0" w:line="294" w:lineRule="auto"/>
        <w:rPr>
          <w:sz w:val="20"/>
          <w:szCs w:val="20"/>
          <w:color w:val="auto"/>
        </w:rPr>
      </w:pPr>
      <w:r>
        <w:rPr>
          <w:rFonts w:ascii="Arial" w:cs="Arial" w:eastAsia="Arial" w:hAnsi="Arial"/>
          <w:sz w:val="16"/>
          <w:szCs w:val="16"/>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Funding I’s Credit Facility. These situations may arise due to circumstances that we may be unable to control, such as a general disruption in the credit markets, a severe decline in the value of the U.S. dollar, a sharp economic downturn or an operational problem that affects our counterparties or us, and could materially damage our business.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invest in over-the-counter securities, which have and may continue to face liquidity constraints, to provide us with liquidity.</w:t>
      </w:r>
    </w:p>
    <w:p>
      <w:pPr>
        <w:spacing w:after="0" w:line="113" w:lineRule="exact"/>
        <w:rPr>
          <w:sz w:val="20"/>
          <w:szCs w:val="20"/>
          <w:color w:val="auto"/>
        </w:rPr>
      </w:pPr>
    </w:p>
    <w:p>
      <w:pPr>
        <w:ind w:right="240" w:firstLine="571"/>
        <w:spacing w:after="0" w:line="332" w:lineRule="auto"/>
        <w:rPr>
          <w:sz w:val="20"/>
          <w:szCs w:val="20"/>
          <w:color w:val="auto"/>
        </w:rPr>
      </w:pPr>
      <w:r>
        <w:rPr>
          <w:rFonts w:ascii="Arial" w:cs="Arial" w:eastAsia="Arial" w:hAnsi="Arial"/>
          <w:sz w:val="16"/>
          <w:szCs w:val="16"/>
          <w:color w:val="auto"/>
        </w:rPr>
        <w:t>The market for over-the-counter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investments in prospective portfolio companies may be risky, and you could lose all or part of your investment.</w:t>
      </w:r>
    </w:p>
    <w:p>
      <w:pPr>
        <w:spacing w:after="0" w:line="90" w:lineRule="exact"/>
        <w:rPr>
          <w:sz w:val="20"/>
          <w:szCs w:val="20"/>
          <w:color w:val="auto"/>
        </w:rPr>
      </w:pPr>
    </w:p>
    <w:p>
      <w:pPr>
        <w:ind w:right="560" w:firstLine="571"/>
        <w:spacing w:after="0" w:line="268" w:lineRule="auto"/>
        <w:rPr>
          <w:sz w:val="20"/>
          <w:szCs w:val="20"/>
          <w:color w:val="auto"/>
        </w:rPr>
      </w:pPr>
      <w:r>
        <w:rPr>
          <w:rFonts w:ascii="Arial" w:cs="Arial" w:eastAsia="Arial" w:hAnsi="Arial"/>
          <w:sz w:val="18"/>
          <w:szCs w:val="18"/>
          <w:color w:val="auto"/>
        </w:rPr>
        <w:t>We intend to invest primarily in Floating Rate Loans, which may consist of senior secured debt and mezzanine debt, and, to a lesser extent, equity investments issued by U.S. middle-market companies.</w:t>
      </w:r>
    </w:p>
    <w:p>
      <w:pPr>
        <w:spacing w:after="0" w:line="118" w:lineRule="exact"/>
        <w:rPr>
          <w:sz w:val="20"/>
          <w:szCs w:val="20"/>
          <w:color w:val="auto"/>
        </w:rPr>
      </w:pPr>
    </w:p>
    <w:p>
      <w:pPr>
        <w:ind w:left="920" w:right="140" w:hanging="345"/>
        <w:spacing w:after="0" w:line="289" w:lineRule="auto"/>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Floating Rate Loans: </w:t>
      </w:r>
      <w:r>
        <w:rPr>
          <w:rFonts w:ascii="Arial" w:cs="Arial" w:eastAsia="Arial" w:hAnsi="Arial"/>
          <w:sz w:val="16"/>
          <w:szCs w:val="16"/>
          <w:color w:val="auto"/>
        </w:rPr>
        <w:t>The Floating Rate Loans we invest in are usually rated below investment grade or may also be unrated. Investments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Floating Rate Loans rated below investment grade are considered speculative because of the credit risk of their issuers. Such companies are more likely than investment grade issuers to default on their payments of interest and principal owed to us, and such defaults could reduce our NAV and income distributions. An economic downturn would generally lead to a higher default rate by portfolio companies.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fair value. Floating Rate Loans are subject to a number of risks, including liquidity risk and the risk of investing in below investment-grade, variable-rate securities.</w:t>
      </w:r>
    </w:p>
    <w:p>
      <w:pPr>
        <w:spacing w:after="0" w:line="91" w:lineRule="exact"/>
        <w:rPr>
          <w:rFonts w:ascii="Arial" w:cs="Arial" w:eastAsia="Arial" w:hAnsi="Arial"/>
          <w:sz w:val="16"/>
          <w:szCs w:val="16"/>
          <w:color w:val="auto"/>
        </w:rPr>
      </w:pPr>
    </w:p>
    <w:p>
      <w:pPr>
        <w:ind w:left="920" w:right="60"/>
        <w:spacing w:after="0" w:line="288" w:lineRule="auto"/>
        <w:rPr>
          <w:rFonts w:ascii="Arial" w:cs="Arial" w:eastAsia="Arial" w:hAnsi="Arial"/>
          <w:sz w:val="16"/>
          <w:szCs w:val="16"/>
          <w:color w:val="auto"/>
        </w:rPr>
      </w:pPr>
      <w:r>
        <w:rPr>
          <w:rFonts w:ascii="Arial" w:cs="Arial" w:eastAsia="Arial" w:hAnsi="Arial"/>
          <w:sz w:val="16"/>
          <w:szCs w:val="16"/>
          <w:color w:val="auto"/>
        </w:rPr>
        <w:t>Floating Rate Loans are subject to the risk of non-payment of scheduled interest or principal. Such non-payment would result in a reduction of income to us, a reduction in the fair value of the investment and a potential decrease in our NAV. There can be no assurance that the liquidation of any collateral securing a Floating Rate Loan would satisfy the borrower’s obligation in the event of non-payment of scheduled interest or principal payments, or that the collateral could be 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loans are subject to the risk that a court, pursuant to fraudulent conveyance or other similar laws, could subordinate the rights in collateral of such loans to presently existing or future indebtedness of the borrower or take other actions detrimental to the holders of loans including, in certain circumstances, invalidating such loans or causing interest previously paid to be refunded to the borrower. Either such step could materially negatively affect our performance.</w:t>
      </w:r>
    </w:p>
    <w:p>
      <w:pPr>
        <w:spacing w:after="0" w:line="92" w:lineRule="exact"/>
        <w:rPr>
          <w:rFonts w:ascii="Arial" w:cs="Arial" w:eastAsia="Arial" w:hAnsi="Arial"/>
          <w:sz w:val="16"/>
          <w:szCs w:val="16"/>
          <w:color w:val="auto"/>
        </w:rPr>
      </w:pPr>
    </w:p>
    <w:p>
      <w:pPr>
        <w:ind w:left="920" w:right="440"/>
        <w:spacing w:after="0" w:line="268" w:lineRule="auto"/>
        <w:rPr>
          <w:rFonts w:ascii="Arial" w:cs="Arial" w:eastAsia="Arial" w:hAnsi="Arial"/>
          <w:sz w:val="16"/>
          <w:szCs w:val="16"/>
          <w:color w:val="auto"/>
        </w:rPr>
      </w:pPr>
      <w:r>
        <w:rPr>
          <w:rFonts w:ascii="Arial" w:cs="Arial" w:eastAsia="Arial" w:hAnsi="Arial"/>
          <w:sz w:val="18"/>
          <w:szCs w:val="18"/>
          <w:color w:val="auto"/>
        </w:rPr>
        <w:t>We may acquire Floating Rate Loans through assignments or participations of interests in such loans. The purchaser of an assignment typically succeeds to all the rights and obligations of the assigning institution and becomes a lender under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0"/>
        <w:spacing w:after="0" w:line="308" w:lineRule="auto"/>
        <w:rPr>
          <w:sz w:val="20"/>
          <w:szCs w:val="20"/>
          <w:color w:val="auto"/>
        </w:rPr>
      </w:pPr>
      <w:r>
        <w:rPr>
          <w:rFonts w:ascii="Arial" w:cs="Arial" w:eastAsia="Arial" w:hAnsi="Arial"/>
          <w:sz w:val="15"/>
          <w:szCs w:val="15"/>
          <w:color w:val="auto"/>
        </w:rPr>
        <w:t>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us being exposed to greater credit or fraud risk with respect to such Floating Rate Loans than we expected when initially purchasing the participation.</w:t>
      </w:r>
    </w:p>
    <w:p>
      <w:pPr>
        <w:spacing w:after="0" w:line="96" w:lineRule="exact"/>
        <w:rPr>
          <w:sz w:val="20"/>
          <w:szCs w:val="20"/>
          <w:color w:val="auto"/>
        </w:rPr>
      </w:pPr>
    </w:p>
    <w:p>
      <w:pPr>
        <w:ind w:left="920" w:hanging="345"/>
        <w:spacing w:after="0" w:line="288" w:lineRule="auto"/>
        <w:tabs>
          <w:tab w:leader="none" w:pos="92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Senior Secured Debt: </w:t>
      </w:r>
      <w:r>
        <w:rPr>
          <w:rFonts w:ascii="Arial" w:cs="Arial" w:eastAsia="Arial" w:hAnsi="Arial"/>
          <w:sz w:val="16"/>
          <w:szCs w:val="16"/>
          <w:color w:val="auto"/>
        </w:rPr>
        <w:t>When we extend senior secured debt, which we define to include first lien debt, we will generally take a security interest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available assets of these portfolio companies, including the equity interests of their subsidiaries, although this may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senior secured debt investment is secured does not guarantee that we will receive principal and interest payments according to the loan’s terms, or at all, or that we will be able to collect on the loan should we be forced to enforce our remedies.</w:t>
      </w:r>
    </w:p>
    <w:p>
      <w:pPr>
        <w:spacing w:after="0" w:line="106" w:lineRule="exact"/>
        <w:rPr>
          <w:rFonts w:ascii="Arial" w:cs="Arial" w:eastAsia="Arial" w:hAnsi="Arial"/>
          <w:sz w:val="16"/>
          <w:szCs w:val="16"/>
          <w:color w:val="auto"/>
        </w:rPr>
      </w:pPr>
    </w:p>
    <w:p>
      <w:pPr>
        <w:ind w:left="920" w:right="60" w:hanging="345"/>
        <w:spacing w:after="0" w:line="290" w:lineRule="auto"/>
        <w:tabs>
          <w:tab w:leader="none" w:pos="92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Mezzanine Debt: </w:t>
      </w:r>
      <w:r>
        <w:rPr>
          <w:rFonts w:ascii="Arial" w:cs="Arial" w:eastAsia="Arial" w:hAnsi="Arial"/>
          <w:sz w:val="16"/>
          <w:szCs w:val="16"/>
          <w:color w:val="auto"/>
        </w:rPr>
        <w:t>Our mezzanine debt investments, which we define to include second lien secured and subordinated debt, will generally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subordinated to senior secured debt and will generally be unsecured. Our second lien debt is subordinated debt that benefits from a collateral interest in the borrower. As such, other creditors may rank senior to us in the event of insolvency.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mezzanine debt investments, such investments may be of greater risk than cash paying loans.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hanging="345"/>
        <w:spacing w:after="0" w:line="289" w:lineRule="auto"/>
        <w:tabs>
          <w:tab w:leader="none" w:pos="92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Equity Investments: </w:t>
      </w:r>
      <w:r>
        <w:rPr>
          <w:rFonts w:ascii="Arial" w:cs="Arial" w:eastAsia="Arial" w:hAnsi="Arial"/>
          <w:sz w:val="16"/>
          <w:szCs w:val="16"/>
          <w:color w:val="auto"/>
        </w:rPr>
        <w:t>We have made and expect to continue to make select equity investments, all of which are subordinated to debt investments.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 when we invest in senior secured debt or 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 Furthermore, we may hold equity investments in partnerships through a taxable subsidiary for federal income tax purposes. Upon sale or exit of such investments, we may pay taxes at regular corporate tax rates, which will reduce the amount on gains or dividends available for distributions to our stockholders.</w:t>
      </w:r>
    </w:p>
    <w:p>
      <w:pPr>
        <w:spacing w:after="0" w:line="3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212" w:lineRule="exact"/>
        <w:rPr>
          <w:sz w:val="20"/>
          <w:szCs w:val="20"/>
          <w:color w:val="auto"/>
        </w:rPr>
      </w:pPr>
    </w:p>
    <w:p>
      <w:pPr>
        <w:jc w:val="both"/>
        <w:ind w:left="900" w:right="10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180" w:lineRule="exact"/>
        <w:rPr>
          <w:rFonts w:ascii="Arial" w:cs="Arial" w:eastAsia="Arial" w:hAnsi="Arial"/>
          <w:sz w:val="18"/>
          <w:szCs w:val="18"/>
          <w:color w:val="auto"/>
        </w:rPr>
      </w:pPr>
    </w:p>
    <w:p>
      <w:pPr>
        <w:jc w:val="both"/>
        <w:ind w:left="900" w:right="14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they typically have shorter operating histories, more limited publicly available information, narrower product lines, more concentration of revenues from customers and smaller market shares than larger businesses, which tend to render them more vulnerable to competitors’ actions and changing market conditions, as well as general economic downturns;</w:t>
      </w:r>
    </w:p>
    <w:p>
      <w:pPr>
        <w:spacing w:after="0" w:line="180" w:lineRule="exact"/>
        <w:rPr>
          <w:rFonts w:ascii="Arial" w:cs="Arial" w:eastAsia="Arial" w:hAnsi="Arial"/>
          <w:sz w:val="18"/>
          <w:szCs w:val="18"/>
          <w:color w:val="auto"/>
        </w:rPr>
      </w:pPr>
    </w:p>
    <w:p>
      <w:pPr>
        <w:ind w:left="900" w:right="440" w:hanging="325"/>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25" w:lineRule="exact"/>
        <w:rPr>
          <w:rFonts w:ascii="Arial" w:cs="Arial" w:eastAsia="Arial" w:hAnsi="Arial"/>
          <w:sz w:val="16"/>
          <w:szCs w:val="16"/>
          <w:color w:val="auto"/>
        </w:rPr>
      </w:pPr>
    </w:p>
    <w:p>
      <w:pPr>
        <w:ind w:left="900" w:right="120" w:hanging="325"/>
        <w:spacing w:after="0" w:line="298"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153" w:lineRule="exact"/>
        <w:rPr>
          <w:rFonts w:ascii="Arial" w:cs="Arial" w:eastAsia="Arial" w:hAnsi="Arial"/>
          <w:sz w:val="16"/>
          <w:szCs w:val="16"/>
          <w:color w:val="auto"/>
        </w:rPr>
      </w:pPr>
    </w:p>
    <w:p>
      <w:pPr>
        <w:ind w:left="900" w:right="6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refinance their outstanding indebtedness upon maturity.</w:t>
      </w:r>
    </w:p>
    <w:p>
      <w:pPr>
        <w:spacing w:after="0" w:line="213" w:lineRule="exact"/>
        <w:rPr>
          <w:sz w:val="20"/>
          <w:szCs w:val="20"/>
          <w:color w:val="auto"/>
        </w:rPr>
      </w:pPr>
    </w:p>
    <w:p>
      <w:pPr>
        <w:ind w:firstLine="228"/>
        <w:spacing w:after="0" w:line="332" w:lineRule="auto"/>
        <w:rPr>
          <w:sz w:val="20"/>
          <w:szCs w:val="20"/>
          <w:color w:val="auto"/>
        </w:rPr>
      </w:pPr>
      <w:r>
        <w:rPr>
          <w:rFonts w:ascii="Arial" w:cs="Arial" w:eastAsia="Arial" w:hAnsi="Arial"/>
          <w:sz w:val="16"/>
          <w:szCs w:val="16"/>
          <w:b w:val="1"/>
          <w:bCs w:val="1"/>
          <w:i w:val="1"/>
          <w:iCs w:val="1"/>
          <w:color w:val="auto"/>
        </w:rPr>
        <w:t>Under the 1940 Act we may invest up to 30% of our assets in investments that are not qualifying assets for BDCs. If we do not invest a sufficient portion of our assets in qualifying assets, we could be precluded from investing in assets that we deem to be attractive.</w:t>
      </w:r>
    </w:p>
    <w:p>
      <w:pPr>
        <w:spacing w:after="0" w:line="4" w:lineRule="exact"/>
        <w:rPr>
          <w:sz w:val="20"/>
          <w:szCs w:val="20"/>
          <w:color w:val="auto"/>
        </w:rPr>
      </w:pPr>
    </w:p>
    <w:p>
      <w:pPr>
        <w:ind w:right="200" w:firstLine="571"/>
        <w:spacing w:after="0" w:line="255" w:lineRule="auto"/>
        <w:rPr>
          <w:sz w:val="20"/>
          <w:szCs w:val="20"/>
          <w:color w:val="auto"/>
        </w:rPr>
      </w:pPr>
      <w:r>
        <w:rPr>
          <w:rFonts w:ascii="Arial" w:cs="Arial" w:eastAsia="Arial" w:hAnsi="Arial"/>
          <w:sz w:val="18"/>
          <w:szCs w:val="18"/>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43" w:lineRule="exact"/>
        <w:rPr>
          <w:sz w:val="20"/>
          <w:szCs w:val="20"/>
          <w:color w:val="auto"/>
        </w:rPr>
      </w:pPr>
    </w:p>
    <w:p>
      <w:pPr>
        <w:ind w:right="140" w:firstLine="571"/>
        <w:spacing w:after="0" w:line="290" w:lineRule="auto"/>
        <w:rPr>
          <w:sz w:val="20"/>
          <w:szCs w:val="20"/>
          <w:color w:val="auto"/>
        </w:rPr>
      </w:pPr>
      <w:r>
        <w:rPr>
          <w:rFonts w:ascii="Arial" w:cs="Arial" w:eastAsia="Arial" w:hAnsi="Arial"/>
          <w:sz w:val="16"/>
          <w:szCs w:val="16"/>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do not invest a sufficient portion of our assets in qualifying assets at the time of a proposed investment,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99"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51" w:lineRule="exact"/>
        <w:rPr>
          <w:sz w:val="20"/>
          <w:szCs w:val="20"/>
          <w:color w:val="auto"/>
        </w:rPr>
      </w:pPr>
    </w:p>
    <w:p>
      <w:pPr>
        <w:ind w:right="140" w:firstLine="436"/>
        <w:spacing w:after="0" w:line="268" w:lineRule="auto"/>
        <w:rPr>
          <w:sz w:val="20"/>
          <w:szCs w:val="20"/>
          <w:color w:val="auto"/>
        </w:rPr>
      </w:pPr>
      <w:r>
        <w:rPr>
          <w:rFonts w:ascii="Arial" w:cs="Arial" w:eastAsia="Arial" w:hAnsi="Arial"/>
          <w:sz w:val="18"/>
          <w:szCs w:val="18"/>
          <w:color w:val="auto"/>
        </w:rPr>
        <w:t>We are classified as a non-diversified investment company within the meaning of the 1940 Act, which means that we are not limited by the 1940 Act with respect to the proportion of our assets that we may invest in securities of a single issuer, excluding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limitations on investments in other investment companies.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portfolio diversification, and our investments could be concentrated in relatively few portfolio companies or industries.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Economic recessions or downturns could impair our portfolio companies and harm our operating results.</w:t>
      </w:r>
    </w:p>
    <w:p>
      <w:pPr>
        <w:spacing w:after="0" w:line="90"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Many of our portfolio companies are susceptible to economic or industry centric slowdowns or recessions and may be unable to repay debt from us during these periods. Therefore, our non-performing assets are likely to increase, and the value of our portfolio is likely to decrease during these periods. Adverse economic conditions also may decrease the value of collateral securing some of our debt investments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2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debt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and any restructuring could further cause adverse effects on our business.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 In addition, we cannot assure you that a bankruptcy court would not take actions contrary to our interests.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fail to make follow-on investments in our portfolio companies, this could materially impair the value of our portfolio.</w:t>
      </w:r>
    </w:p>
    <w:p>
      <w:pPr>
        <w:spacing w:after="0" w:line="90" w:lineRule="exact"/>
        <w:rPr>
          <w:sz w:val="20"/>
          <w:szCs w:val="20"/>
          <w:color w:val="auto"/>
        </w:rPr>
      </w:pPr>
    </w:p>
    <w:p>
      <w:pPr>
        <w:ind w:right="280" w:firstLine="571"/>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172"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71"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transaction or business.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RIC tax status.</w:t>
      </w:r>
    </w:p>
    <w:p>
      <w:pPr>
        <w:spacing w:after="0" w:line="201" w:lineRule="exact"/>
        <w:rPr>
          <w:sz w:val="20"/>
          <w:szCs w:val="20"/>
          <w:color w:val="auto"/>
        </w:rPr>
      </w:pPr>
    </w:p>
    <w:p>
      <w:pPr>
        <w:ind w:right="320" w:firstLine="228"/>
        <w:spacing w:after="0" w:line="332" w:lineRule="auto"/>
        <w:rPr>
          <w:sz w:val="20"/>
          <w:szCs w:val="20"/>
          <w:color w:val="auto"/>
        </w:rPr>
      </w:pPr>
      <w:r>
        <w:rPr>
          <w:rFonts w:ascii="Arial" w:cs="Arial" w:eastAsia="Arial" w:hAnsi="Arial"/>
          <w:sz w:val="16"/>
          <w:szCs w:val="16"/>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4" w:lineRule="exact"/>
        <w:rPr>
          <w:sz w:val="20"/>
          <w:szCs w:val="20"/>
          <w:color w:val="auto"/>
        </w:rPr>
      </w:pPr>
    </w:p>
    <w:p>
      <w:pPr>
        <w:ind w:right="20" w:firstLine="439"/>
        <w:spacing w:after="0" w:line="323" w:lineRule="auto"/>
        <w:rPr>
          <w:sz w:val="20"/>
          <w:szCs w:val="20"/>
          <w:color w:val="auto"/>
        </w:rPr>
      </w:pPr>
      <w:r>
        <w:rPr>
          <w:rFonts w:ascii="Arial" w:cs="Arial" w:eastAsia="Arial" w:hAnsi="Arial"/>
          <w:sz w:val="15"/>
          <w:szCs w:val="15"/>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market value of our investments.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firstLine="228"/>
        <w:spacing w:after="0" w:line="259" w:lineRule="auto"/>
        <w:rPr>
          <w:sz w:val="20"/>
          <w:szCs w:val="20"/>
          <w:color w:val="auto"/>
        </w:rPr>
      </w:pPr>
      <w:r>
        <w:rPr>
          <w:rFonts w:ascii="Arial" w:cs="Arial" w:eastAsia="Arial" w:hAnsi="Arial"/>
          <w:sz w:val="18"/>
          <w:szCs w:val="18"/>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59"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225"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b w:val="1"/>
          <w:bCs w:val="1"/>
          <w:i w:val="1"/>
          <w:iCs w:val="1"/>
          <w:color w:val="auto"/>
        </w:rPr>
        <w:t>Our portfolio companies may incur debt that ranks equally with, or senior to, our investments in such companies and our portfolio companies may be highly leveraged.</w:t>
      </w:r>
    </w:p>
    <w:p>
      <w:pPr>
        <w:spacing w:after="0" w:line="51" w:lineRule="exact"/>
        <w:rPr>
          <w:sz w:val="20"/>
          <w:szCs w:val="20"/>
          <w:color w:val="auto"/>
        </w:rPr>
      </w:pPr>
    </w:p>
    <w:p>
      <w:pPr>
        <w:ind w:right="80" w:firstLine="571"/>
        <w:spacing w:after="0" w:line="289" w:lineRule="auto"/>
        <w:rPr>
          <w:sz w:val="20"/>
          <w:szCs w:val="20"/>
          <w:color w:val="auto"/>
        </w:rPr>
      </w:pPr>
      <w:r>
        <w:rPr>
          <w:rFonts w:ascii="Arial" w:cs="Arial" w:eastAsia="Arial" w:hAnsi="Arial"/>
          <w:sz w:val="16"/>
          <w:szCs w:val="16"/>
          <w:color w:val="auto"/>
        </w:rPr>
        <w:t>We invest primarily in Floating Rate Loans issued by our portfolio companies. The portfolio companies usually will have, or may be permitted to incur, other debt that ranks equally with, or senior to, our investments, and they may be highly leveraged. By their terms, such debt instruments may provide that the holders are entitled to receive payment of interest or principal on or before the dates on which we are entitled to receive payments with respect to our debt investments.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incentive fee may induce the Investment Adviser to make speculative investments.</w:t>
      </w:r>
    </w:p>
    <w:p>
      <w:pPr>
        <w:spacing w:after="0" w:line="90" w:lineRule="exact"/>
        <w:rPr>
          <w:sz w:val="20"/>
          <w:szCs w:val="20"/>
          <w:color w:val="auto"/>
        </w:rPr>
      </w:pPr>
    </w:p>
    <w:p>
      <w:pPr>
        <w:ind w:right="60" w:firstLine="571"/>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NAV.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2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Any investments in distressed debt may not produce income and may require us to bear large expenses in order to protect and recover our investment.</w:t>
      </w:r>
    </w:p>
    <w:p>
      <w:pPr>
        <w:spacing w:after="0" w:line="125"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investments in foreign securities may involve significant risks in addition to the risks inherent in U.S. investments.</w:t>
      </w:r>
    </w:p>
    <w:p>
      <w:pPr>
        <w:spacing w:after="0" w:line="90" w:lineRule="exact"/>
        <w:rPr>
          <w:sz w:val="20"/>
          <w:szCs w:val="20"/>
          <w:color w:val="auto"/>
        </w:rPr>
      </w:pPr>
    </w:p>
    <w:p>
      <w:pPr>
        <w:ind w:right="120" w:firstLine="439"/>
        <w:spacing w:after="0" w:line="291" w:lineRule="auto"/>
        <w:rPr>
          <w:sz w:val="20"/>
          <w:szCs w:val="20"/>
          <w:color w:val="auto"/>
        </w:rPr>
      </w:pPr>
      <w:r>
        <w:rPr>
          <w:rFonts w:ascii="Arial" w:cs="Arial" w:eastAsia="Arial" w:hAnsi="Arial"/>
          <w:sz w:val="16"/>
          <w:szCs w:val="16"/>
          <w:color w:val="auto"/>
        </w:rPr>
        <w:t>Our investment strategy contemplates potential investments in securities of companies located outside of the United States. Investments in securities of companies located outside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economic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39"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interest rates, differences in relative values of similar assets in different currencies, long-term opportunities for investment and capital appreciation, economic and political developments. We may employ hedging techniques such as using our Credit Facility’s multicurrency capability to minimize these risks, but we can offer no assurance that we will, in fact, hedge currency risk or, that if we do, such strategies will be effective.</w:t>
      </w:r>
    </w:p>
    <w:p>
      <w:pPr>
        <w:spacing w:after="0" w:line="197" w:lineRule="exact"/>
        <w:rPr>
          <w:sz w:val="20"/>
          <w:szCs w:val="20"/>
          <w:color w:val="auto"/>
        </w:rPr>
      </w:pPr>
    </w:p>
    <w:p>
      <w:pPr>
        <w:ind w:right="660" w:firstLine="228"/>
        <w:spacing w:after="0" w:line="268" w:lineRule="auto"/>
        <w:rPr>
          <w:sz w:val="20"/>
          <w:szCs w:val="20"/>
          <w:color w:val="auto"/>
        </w:rPr>
      </w:pPr>
      <w:r>
        <w:rPr>
          <w:rFonts w:ascii="Arial" w:cs="Arial" w:eastAsia="Arial" w:hAnsi="Arial"/>
          <w:sz w:val="18"/>
          <w:szCs w:val="18"/>
          <w:b w:val="1"/>
          <w:bCs w:val="1"/>
          <w:i w:val="1"/>
          <w:iCs w:val="1"/>
          <w:color w:val="auto"/>
        </w:rPr>
        <w:t>We may make investments that cause our stockholders to bear investment advisory fees and other expenses on such investments in addition to our management fees and expenses.</w:t>
      </w:r>
    </w:p>
    <w:p>
      <w:pPr>
        <w:spacing w:after="0" w:line="51" w:lineRule="exact"/>
        <w:rPr>
          <w:sz w:val="20"/>
          <w:szCs w:val="20"/>
          <w:color w:val="auto"/>
        </w:rPr>
      </w:pPr>
    </w:p>
    <w:p>
      <w:pPr>
        <w:ind w:right="140" w:firstLine="571"/>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an incentive fee,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obligated to pay our Investment Adviser incentive compensation even if we incur a loss.</w:t>
      </w:r>
    </w:p>
    <w:p>
      <w:pPr>
        <w:spacing w:after="0" w:line="90"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the Investment Adviser incentive compensation for a fiscal quarter even if there is a decline in the value of our portfolio, NAV or we incur a net loss for that quarter.</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90"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multicurrency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interest rate or currency positions does not eliminate the possibility of fluctuations in the values of such positions or prevent losses if the values of such positions decline. However, such hedging designed to gain from those changes in interest rates or foreign currency exposures, for instance, may also limit the opportunity for gain if the changes in the underlying positions should move against such hedges. Moreover, it may not be possible to hedge against an exchange rate or interest rate fluctuation that is so generally anticipated that we are not able to enter into a hedging transaction at an acceptable price.</w:t>
      </w:r>
    </w:p>
    <w:p>
      <w:pPr>
        <w:spacing w:after="0" w:line="118"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worse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the rules of the Commodity Futures Trading Commission.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effect of global climate change may impact the operations of our portfolio companies.</w:t>
      </w:r>
    </w:p>
    <w:p>
      <w:pPr>
        <w:spacing w:after="0" w:line="90" w:lineRule="exact"/>
        <w:rPr>
          <w:sz w:val="20"/>
          <w:szCs w:val="20"/>
          <w:color w:val="auto"/>
        </w:rPr>
      </w:pPr>
    </w:p>
    <w:p>
      <w:pPr>
        <w:ind w:right="40" w:firstLine="571"/>
        <w:spacing w:after="0" w:line="253" w:lineRule="auto"/>
        <w:rPr>
          <w:sz w:val="20"/>
          <w:szCs w:val="20"/>
          <w:color w:val="auto"/>
        </w:rPr>
      </w:pPr>
      <w:r>
        <w:rPr>
          <w:rFonts w:ascii="Arial" w:cs="Arial" w:eastAsia="Arial" w:hAnsi="Arial"/>
          <w:sz w:val="18"/>
          <w:szCs w:val="18"/>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6" w:lineRule="exact"/>
        <w:rPr>
          <w:sz w:val="20"/>
          <w:szCs w:val="20"/>
          <w:color w:val="auto"/>
        </w:rPr>
      </w:pPr>
    </w:p>
    <w:p>
      <w:pPr>
        <w:ind w:firstLine="228"/>
        <w:spacing w:after="0" w:line="306" w:lineRule="auto"/>
        <w:rPr>
          <w:sz w:val="20"/>
          <w:szCs w:val="20"/>
          <w:color w:val="auto"/>
        </w:rPr>
      </w:pPr>
      <w:r>
        <w:rPr>
          <w:rFonts w:ascii="Arial" w:cs="Arial" w:eastAsia="Arial" w:hAnsi="Arial"/>
          <w:sz w:val="16"/>
          <w:szCs w:val="16"/>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26" w:lineRule="exact"/>
        <w:rPr>
          <w:sz w:val="20"/>
          <w:szCs w:val="20"/>
          <w:color w:val="auto"/>
        </w:rPr>
      </w:pPr>
    </w:p>
    <w:p>
      <w:pPr>
        <w:jc w:val="both"/>
        <w:ind w:right="40" w:firstLine="571"/>
        <w:spacing w:after="0" w:line="306" w:lineRule="auto"/>
        <w:rPr>
          <w:sz w:val="20"/>
          <w:szCs w:val="20"/>
          <w:color w:val="auto"/>
        </w:rPr>
      </w:pPr>
      <w:r>
        <w:rPr>
          <w:rFonts w:ascii="Arial" w:cs="Arial" w:eastAsia="Arial" w:hAnsi="Arial"/>
          <w:sz w:val="16"/>
          <w:szCs w:val="16"/>
          <w:color w:val="auto"/>
        </w:rPr>
        <w:t>We may seek to obtain from our stockholders and they may approve a proposal that authorizes us to issue shares of our common stock at prices below the then current NAV per share of our common stock in one or more offerings for a 12-month period. Such approval would allow us to access the capital markets in a way that we were previously unable to do as a result of restrictions that, absent stockholder approval, apply to BDCs under the 1940 Act.</w:t>
      </w:r>
    </w:p>
    <w:p>
      <w:pPr>
        <w:spacing w:after="0" w:line="107"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Any sale or other issuance of shares of our common stock at a price below NAV per share will result in an immediate dilution to your interest in our common stock and a reduction of our NAV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118"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 Whenever we do not have current stockholder approval to issue shares of our common stock at a price per share below our then current NAV per share, the offering price per share (after any distributing commission or discount) will equal or exceed our then current NAV per share, based on the value of our portfolio securities and other assets determined in good faith by our board of directors as of a time within 48 hours (excluding Sundays and holidays) of the sale.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is a risk that our stockholders may not receive distributions or that our distributions may not grow over time.</w:t>
      </w:r>
    </w:p>
    <w:p>
      <w:pPr>
        <w:spacing w:after="0" w:line="90"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requirements applicable to us as a BDC,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Investing in our shares may involve an above average degree of risk.</w:t>
      </w:r>
    </w:p>
    <w:p>
      <w:pPr>
        <w:spacing w:after="0" w:line="90"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of substantial amounts of our securities may have an adverse effect on the market price of our securities.</w:t>
      </w:r>
    </w:p>
    <w:p>
      <w:pPr>
        <w:spacing w:after="0" w:line="90" w:lineRule="exact"/>
        <w:rPr>
          <w:sz w:val="20"/>
          <w:szCs w:val="20"/>
          <w:color w:val="auto"/>
        </w:rPr>
      </w:pPr>
    </w:p>
    <w:p>
      <w:pPr>
        <w:ind w:right="260" w:firstLine="571"/>
        <w:spacing w:after="0" w:line="33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allocate the net proceeds from any offering of our securities in ways with which you may not agree.</w:t>
      </w:r>
    </w:p>
    <w:p>
      <w:pPr>
        <w:spacing w:after="0" w:line="90"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shares may trade at discounts from NAV or at premiums that are unsustainable over the long term.</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Shares of BDCs may trade at a market price that is less than the NAV that is attributable to those shares. Our shares have traded above and below our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NAV. Our shares closed on the NASDAQ Global Select Market at $13.23 and $11.94 on September 30, 2016 and 2015, respectively. Our NAV per share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$14.06 and $13.95 for the same periods. The possibility that our shares of common stock will trade at a discount from NAV or at a premium that is unsustainable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over the long term is separate and distinct from the risk that our NAV will decrease. It is not possible to predict whether our shares will trade at, above or below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NAV in the future.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90" w:lineRule="exact"/>
        <w:rPr>
          <w:sz w:val="20"/>
          <w:szCs w:val="20"/>
          <w:color w:val="auto"/>
        </w:rPr>
      </w:pPr>
    </w:p>
    <w:p>
      <w:pPr>
        <w:ind w:right="440" w:firstLine="571"/>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172" w:lineRule="exact"/>
        <w:rPr>
          <w:sz w:val="20"/>
          <w:szCs w:val="20"/>
          <w:color w:val="auto"/>
        </w:rPr>
      </w:pPr>
    </w:p>
    <w:p>
      <w:pPr>
        <w:ind w:left="9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172"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loss of our BDC or RIC status;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prevailing interest rates;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211"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172"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national and international economic trends and other external factors;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price and volume fluctuations in the stock markets, including as a result of short sales;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conversion features of subscription rights, warrants or convertible debt; and</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71"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i w:val="1"/>
          <w:iCs w:val="1"/>
          <w:color w:val="auto"/>
        </w:rPr>
        <w:t>We may be unable to invest the net proceeds raised from offerings on acceptable terms, which would harm our financial condition and operating results.</w:t>
      </w:r>
    </w:p>
    <w:p>
      <w:pPr>
        <w:spacing w:after="0" w:line="125"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or any future credit facility. We cannot assure you that we will be able to find enough appropriate investments that meet our investment selection criteria or that any investment we complete using the proceeds from an offering will produce a sufficient return.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You may have current tax liabilities on distributions you reinvest in our common stock.</w:t>
      </w:r>
    </w:p>
    <w:p>
      <w:pPr>
        <w:spacing w:after="0" w:line="90"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income tax liabilities on the value of the common stock received. See “Management’s Discussion and Analysis of Financial Condition and Results of Operations—Liquidity and Capital Resources—Distributions” for more information.</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5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b w:val="1"/>
          <w:bCs w:val="1"/>
          <w:i w:val="1"/>
          <w:iCs w:val="1"/>
          <w:color w:val="auto"/>
        </w:rPr>
        <w:t>There is a risk that our common stockholders may receive our stock as distributions in which case they may be required to pay taxes in excess of the cash they receive.</w:t>
      </w:r>
    </w:p>
    <w:p>
      <w:pPr>
        <w:spacing w:after="0" w:line="51" w:lineRule="exact"/>
        <w:rPr>
          <w:sz w:val="20"/>
          <w:szCs w:val="20"/>
          <w:color w:val="auto"/>
        </w:rPr>
      </w:pPr>
    </w:p>
    <w:p>
      <w:pPr>
        <w:ind w:right="120" w:firstLine="571"/>
        <w:spacing w:after="0" w:line="255"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90"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Sarbanes-Oxley Act of 2002, or the Sarbanes-Oxley Act, and other rules implemented by the SEC and the listing standards of the NASDAQ Stock Market LLC.</w:t>
      </w:r>
    </w:p>
    <w:p>
      <w:pPr>
        <w:spacing w:after="0" w:line="224" w:lineRule="exact"/>
        <w:rPr>
          <w:sz w:val="20"/>
          <w:szCs w:val="20"/>
          <w:color w:val="auto"/>
        </w:rPr>
      </w:pPr>
    </w:p>
    <w:p>
      <w:pPr>
        <w:ind w:right="340" w:firstLine="228"/>
        <w:spacing w:after="0" w:line="268" w:lineRule="auto"/>
        <w:rPr>
          <w:sz w:val="20"/>
          <w:szCs w:val="20"/>
          <w:color w:val="auto"/>
        </w:rPr>
      </w:pPr>
      <w:r>
        <w:rPr>
          <w:rFonts w:ascii="Arial" w:cs="Arial" w:eastAsia="Arial" w:hAnsi="Arial"/>
          <w:sz w:val="18"/>
          <w:szCs w:val="18"/>
          <w:b w:val="1"/>
          <w:bCs w:val="1"/>
          <w:i w:val="1"/>
          <w:iCs w:val="1"/>
          <w:color w:val="auto"/>
        </w:rPr>
        <w:t>Provisions of the Maryland General Corporation Law and of our charter and bylaws could deter takeover attempts and have an adverse impact on the price of our common stock.</w:t>
      </w:r>
    </w:p>
    <w:p>
      <w:pPr>
        <w:spacing w:after="0" w:line="51"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Maryland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Maryland Business Combination Act may discourage third parties from trying to acquire control of us and increase the difficulty of consummating such an offer.</w:t>
      </w:r>
    </w:p>
    <w:p>
      <w:pPr>
        <w:spacing w:after="0" w:line="120"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20" w:lineRule="exact"/>
        <w:rPr>
          <w:sz w:val="20"/>
          <w:szCs w:val="20"/>
          <w:color w:val="auto"/>
        </w:rPr>
      </w:pPr>
    </w:p>
    <w:p>
      <w:pPr>
        <w:ind w:right="280" w:firstLine="571"/>
        <w:spacing w:after="0" w:line="268" w:lineRule="auto"/>
        <w:rPr>
          <w:sz w:val="20"/>
          <w:szCs w:val="20"/>
          <w:color w:val="auto"/>
        </w:rPr>
      </w:pPr>
      <w:r>
        <w:rPr>
          <w:rFonts w:ascii="Arial" w:cs="Arial" w:eastAsia="Arial" w:hAnsi="Arial"/>
          <w:sz w:val="18"/>
          <w:szCs w:val="18"/>
          <w:color w:val="auto"/>
        </w:rPr>
        <w:t>These anti-takeover provisions may inhibit a change of control in circumstances that could give our stockholders the opportunity to realize a premium over the market price for our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420" w:firstLine="571"/>
        <w:spacing w:after="0" w:line="256" w:lineRule="auto"/>
        <w:rPr>
          <w:sz w:val="20"/>
          <w:szCs w:val="20"/>
          <w:color w:val="auto"/>
        </w:rPr>
      </w:pPr>
      <w:r>
        <w:rPr>
          <w:rFonts w:ascii="Arial" w:cs="Arial" w:eastAsia="Arial" w:hAnsi="Arial"/>
          <w:sz w:val="18"/>
          <w:szCs w:val="18"/>
          <w:color w:val="auto"/>
        </w:rPr>
        <w:t>This prospectus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involve risks and uncertainties, including statements as to:</w:t>
      </w:r>
    </w:p>
    <w:p>
      <w:pPr>
        <w:spacing w:after="0" w:line="62" w:lineRule="exact"/>
        <w:rPr>
          <w:sz w:val="20"/>
          <w:szCs w:val="20"/>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 and our portfolio companies;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European sovereign debt, Brexit and other world economic and political issues.</w:t>
      </w:r>
    </w:p>
    <w:p>
      <w:pPr>
        <w:spacing w:after="0" w:line="171" w:lineRule="exact"/>
        <w:rPr>
          <w:sz w:val="20"/>
          <w:szCs w:val="20"/>
          <w:color w:val="auto"/>
        </w:rPr>
      </w:pPr>
    </w:p>
    <w:p>
      <w:pPr>
        <w:ind w:right="220" w:firstLine="571"/>
        <w:spacing w:after="0" w:line="306"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07" w:lineRule="exact"/>
        <w:rPr>
          <w:sz w:val="20"/>
          <w:szCs w:val="20"/>
          <w:color w:val="auto"/>
        </w:rPr>
      </w:pPr>
    </w:p>
    <w:p>
      <w:pPr>
        <w:jc w:val="both"/>
        <w:ind w:right="60" w:firstLine="571"/>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43"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a supplemental prospectus or through reports that we in the future may file with the SEC, including reports on Form 10-K/Q and current reports on Form 8-K.</w:t>
      </w:r>
    </w:p>
    <w:p>
      <w:pPr>
        <w:spacing w:after="0" w:line="143" w:lineRule="exact"/>
        <w:rPr>
          <w:sz w:val="20"/>
          <w:szCs w:val="20"/>
          <w:color w:val="auto"/>
        </w:rPr>
      </w:pPr>
    </w:p>
    <w:p>
      <w:pPr>
        <w:ind w:right="80" w:firstLine="571"/>
        <w:spacing w:after="0" w:line="306" w:lineRule="auto"/>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or for other general corporate or strategic purposes. Any supplements to this prospectus relating to an offering may more fully identify the use of the proceeds from such offering.</w:t>
      </w:r>
    </w:p>
    <w:p>
      <w:pPr>
        <w:spacing w:after="0" w:line="140"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As of September 30, 2016, we had $232.9 million in borrowings outstanding under our $350 million multi-currency Credit Facility. Borrowings under our Credit Facility bear interest at LIBOR plus 200 basis points per annum during the revolving period, and the rate resets to LIBOR plus 425 basis points per annum for the remaining two years. At September 30, 2016, the interest rate was 2.57% exclusive of the fees on the undrawn commitment. The Credit Facility is a revolving facility maturing in August 2020 and is secured by all of the assets held by Funding I. Amounts repaid under our Credit Facility remain available for future borrowings during the revolving period. See “Management’s Discussion and Analysis of Financial Condition and Results of Operations” for more information.</w:t>
      </w:r>
    </w:p>
    <w:p>
      <w:pPr>
        <w:spacing w:after="0" w:line="144"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“Regulation—Temporary Investments” for more information.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right="280" w:firstLine="571"/>
        <w:spacing w:after="0" w:line="256" w:lineRule="auto"/>
        <w:rPr>
          <w:sz w:val="20"/>
          <w:szCs w:val="20"/>
          <w:color w:val="auto"/>
        </w:rPr>
      </w:pPr>
      <w:r>
        <w:rPr>
          <w:rFonts w:ascii="Arial" w:cs="Arial" w:eastAsia="Arial" w:hAnsi="Arial"/>
          <w:sz w:val="18"/>
          <w:szCs w:val="18"/>
          <w:color w:val="auto"/>
        </w:rPr>
        <w:t>We have derived the data below from our audited and unaudited financial data. The Consolidated Statement of Operations data, Per share data, Consolidated Statement of Assets and Liabilities data and Total returns data presented are derived from our audited Consolidated Financial Statements. These selected financial data should be read in conjunction with our Consolidated Financial Statements and related notes thereto and “Management’s Discussion and Analysis of Financial Condition and Results of Operations.”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4"/>
                <w:szCs w:val="14"/>
                <w:b w:val="1"/>
                <w:bCs w:val="1"/>
                <w:color w:val="auto"/>
                <w:w w:val="89"/>
              </w:rPr>
              <w:t>For the years ended September 30,</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7340" w:type="dxa"/>
            <w:vAlign w:val="bottom"/>
          </w:tcPr>
          <w:p>
            <w:pPr>
              <w:spacing w:after="0"/>
              <w:rPr>
                <w:sz w:val="12"/>
                <w:szCs w:val="12"/>
                <w:color w:val="auto"/>
              </w:rPr>
            </w:pPr>
          </w:p>
        </w:tc>
        <w:tc>
          <w:tcPr>
            <w:tcW w:w="52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2"/>
                <w:szCs w:val="12"/>
                <w:color w:val="auto"/>
              </w:rPr>
            </w:pPr>
          </w:p>
        </w:tc>
        <w:tc>
          <w:tcPr>
            <w:tcW w:w="52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2"/>
                <w:szCs w:val="12"/>
                <w:color w:val="auto"/>
              </w:rPr>
            </w:pPr>
          </w:p>
        </w:tc>
        <w:tc>
          <w:tcPr>
            <w:tcW w:w="52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62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62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r>
      <w:tr>
        <w:trPr>
          <w:trHeight w:val="129"/>
        </w:trPr>
        <w:tc>
          <w:tcPr>
            <w:tcW w:w="73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(Dollar amounts in thousands, except per share data)</w:t>
            </w:r>
          </w:p>
        </w:tc>
        <w:tc>
          <w:tcPr>
            <w:tcW w:w="5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4"/>
                <w:szCs w:val="14"/>
                <w:b w:val="1"/>
                <w:bCs w:val="1"/>
                <w:color w:val="auto"/>
              </w:rPr>
              <w:t>Consolidated Statements of Operations data:</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 income</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1"/>
              </w:rPr>
              <w:t>$ 46,301</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1"/>
              </w:rPr>
              <w:t>$ 30,355</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1"/>
              </w:rPr>
              <w:t>$ 30,357</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$ 18,867</w:t>
            </w:r>
          </w:p>
        </w:tc>
        <w:tc>
          <w:tcPr>
            <w:tcW w:w="2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$ 12,099</w:t>
            </w: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4"/>
                <w:szCs w:val="14"/>
                <w:color w:val="auto"/>
              </w:rPr>
              <w:t>Total expenses</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18,965</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12,695</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13,721</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8,344</w:t>
            </w:r>
          </w:p>
        </w:tc>
        <w:tc>
          <w:tcPr>
            <w:tcW w:w="22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5,789</w:t>
            </w: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investment income</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27,336</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17,660</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16,636</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10,523</w:t>
            </w:r>
          </w:p>
        </w:tc>
        <w:tc>
          <w:tcPr>
            <w:tcW w:w="2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6,310</w:t>
            </w: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4"/>
                <w:szCs w:val="14"/>
                <w:color w:val="auto"/>
              </w:rPr>
              <w:t>Net realized and unrealized gain (loss)</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6,153</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(5,156)</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3,878</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1,461</w:t>
            </w:r>
          </w:p>
        </w:tc>
        <w:tc>
          <w:tcPr>
            <w:tcW w:w="22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5,651</w:t>
            </w: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33,489</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12,504</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20,514</w:t>
            </w:r>
          </w:p>
        </w:tc>
        <w:tc>
          <w:tcPr>
            <w:tcW w:w="8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11,985</w:t>
            </w: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11,961</w:t>
            </w: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4"/>
                <w:szCs w:val="14"/>
                <w:b w:val="1"/>
                <w:bCs w:val="1"/>
                <w:color w:val="auto"/>
              </w:rPr>
              <w:t>Per share data:</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14.06</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13.95</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14.40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14.10</w:t>
            </w:r>
          </w:p>
        </w:tc>
        <w:tc>
          <w:tcPr>
            <w:tcW w:w="2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13.98</w:t>
            </w: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1"/>
                <w:szCs w:val="11"/>
                <w:color w:val="auto"/>
              </w:rPr>
              <w:t xml:space="preserve">Net investment income </w:t>
            </w:r>
            <w:r>
              <w:rPr>
                <w:rFonts w:ascii="Arial" w:cs="Arial" w:eastAsia="Arial" w:hAnsi="Arial"/>
                <w:sz w:val="17"/>
                <w:szCs w:val="17"/>
                <w:color w:val="auto"/>
                <w:vertAlign w:val="superscript"/>
              </w:rPr>
              <w:t>(1)</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1.02</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1.08</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1.12</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w:t>
            </w:r>
          </w:p>
        </w:tc>
        <w:tc>
          <w:tcPr>
            <w:tcW w:w="22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0.92</w:t>
            </w: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Net realized and unrealized gain (loss) </w:t>
            </w:r>
            <w:r>
              <w:rPr>
                <w:rFonts w:ascii="Arial" w:cs="Arial" w:eastAsia="Arial" w:hAnsi="Arial"/>
                <w:sz w:val="17"/>
                <w:szCs w:val="17"/>
                <w:color w:val="auto"/>
                <w:vertAlign w:val="superscript"/>
              </w:rPr>
              <w:t>(1)</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0.23</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(0.31)</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0.26</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0.15</w:t>
            </w:r>
          </w:p>
        </w:tc>
        <w:tc>
          <w:tcPr>
            <w:tcW w:w="2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0.83</w:t>
            </w: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1"/>
                <w:szCs w:val="11"/>
                <w:color w:val="auto"/>
              </w:rPr>
              <w:t xml:space="preserve">Net increase in net assets resulting from operations </w:t>
            </w:r>
            <w:r>
              <w:rPr>
                <w:rFonts w:ascii="Arial" w:cs="Arial" w:eastAsia="Arial" w:hAnsi="Arial"/>
                <w:sz w:val="17"/>
                <w:szCs w:val="17"/>
                <w:color w:val="auto"/>
                <w:vertAlign w:val="superscript"/>
              </w:rPr>
              <w:t>(1)</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1.25</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0.77</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1.38</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w:t>
            </w:r>
          </w:p>
        </w:tc>
        <w:tc>
          <w:tcPr>
            <w:tcW w:w="22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1.75</w:t>
            </w: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Distributions declared </w:t>
            </w:r>
            <w:r>
              <w:rPr>
                <w:rFonts w:ascii="Arial" w:cs="Arial" w:eastAsia="Arial" w:hAnsi="Arial"/>
                <w:sz w:val="17"/>
                <w:szCs w:val="17"/>
                <w:color w:val="auto"/>
                <w:vertAlign w:val="superscript"/>
              </w:rPr>
              <w:t>(1), (2)</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1.14</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1.16</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1.08</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2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0.91</w:t>
            </w: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4"/>
                <w:szCs w:val="14"/>
                <w:b w:val="1"/>
                <w:bCs w:val="1"/>
                <w:color w:val="auto"/>
              </w:rPr>
              <w:t>Consolidated Statements of Assets and Liabilities data:</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8"/>
              </w:rPr>
              <w:t>631,420</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8"/>
              </w:rPr>
              <w:t>416,120</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8"/>
              </w:rPr>
              <w:t>372,874</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328,802</w:t>
            </w:r>
          </w:p>
        </w:tc>
        <w:tc>
          <w:tcPr>
            <w:tcW w:w="2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178,367</w:t>
            </w: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4"/>
                <w:szCs w:val="14"/>
                <w:color w:val="auto"/>
              </w:rPr>
              <w:t>Total investment portfolio</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8"/>
              </w:rPr>
              <w:t>598,888</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8"/>
              </w:rPr>
              <w:t>391,312</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8"/>
              </w:rPr>
              <w:t>348,428</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317,804</w:t>
            </w:r>
          </w:p>
        </w:tc>
        <w:tc>
          <w:tcPr>
            <w:tcW w:w="22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171,834</w:t>
            </w: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Credit Facility payable </w:t>
            </w:r>
            <w:r>
              <w:rPr>
                <w:rFonts w:ascii="Arial" w:cs="Arial" w:eastAsia="Arial" w:hAnsi="Arial"/>
                <w:sz w:val="17"/>
                <w:szCs w:val="17"/>
                <w:color w:val="auto"/>
                <w:vertAlign w:val="superscript"/>
              </w:rPr>
              <w:t>(3)</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8"/>
              </w:rPr>
              <w:t>232,389</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29,600</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8"/>
              </w:rPr>
              <w:t>146,949</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99,600</w:t>
            </w:r>
          </w:p>
        </w:tc>
        <w:tc>
          <w:tcPr>
            <w:tcW w:w="2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75,123</w:t>
            </w: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4"/>
                <w:szCs w:val="14"/>
                <w:color w:val="auto"/>
              </w:rPr>
              <w:t>Total net asset value</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8"/>
              </w:rPr>
              <w:t>375,907</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8"/>
              </w:rPr>
              <w:t>372,890</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8"/>
              </w:rPr>
              <w:t>214,528</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210,066</w:t>
            </w:r>
          </w:p>
        </w:tc>
        <w:tc>
          <w:tcPr>
            <w:tcW w:w="22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95,744</w:t>
            </w: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data:</w:t>
            </w: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7340" w:type="dxa"/>
            <w:vAlign w:val="bottom"/>
          </w:tcPr>
          <w:p>
            <w:pPr>
              <w:spacing w:after="0" w:line="149" w:lineRule="exact"/>
              <w:rPr>
                <w:sz w:val="20"/>
                <w:szCs w:val="20"/>
                <w:color w:val="auto"/>
              </w:rPr>
            </w:pPr>
            <w:r>
              <w:rPr>
                <w:rFonts w:ascii="Arial" w:cs="Arial" w:eastAsia="Arial" w:hAnsi="Arial"/>
                <w:sz w:val="11"/>
                <w:szCs w:val="11"/>
                <w:color w:val="auto"/>
              </w:rPr>
              <w:t xml:space="preserve">Total return </w:t>
            </w:r>
            <w:r>
              <w:rPr>
                <w:rFonts w:ascii="Arial" w:cs="Arial" w:eastAsia="Arial" w:hAnsi="Arial"/>
                <w:sz w:val="17"/>
                <w:szCs w:val="17"/>
                <w:color w:val="auto"/>
                <w:vertAlign w:val="superscript"/>
              </w:rPr>
              <w:t>(4)</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21.77%</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(6.01)%</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8.05%</w:t>
            </w:r>
          </w:p>
        </w:tc>
        <w:tc>
          <w:tcPr>
            <w:tcW w:w="8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17.17%</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29.43%</w:t>
            </w:r>
          </w:p>
        </w:tc>
      </w:tr>
      <w:tr>
        <w:trPr>
          <w:trHeight w:val="149"/>
        </w:trPr>
        <w:tc>
          <w:tcPr>
            <w:tcW w:w="73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Number of portfolio companies </w:t>
            </w:r>
            <w:r>
              <w:rPr>
                <w:rFonts w:ascii="Arial" w:cs="Arial" w:eastAsia="Arial" w:hAnsi="Arial"/>
                <w:sz w:val="17"/>
                <w:szCs w:val="17"/>
                <w:color w:val="auto"/>
                <w:vertAlign w:val="superscript"/>
              </w:rPr>
              <w:t>(5)</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98</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76</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72</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2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61</w:t>
            </w:r>
          </w:p>
        </w:tc>
      </w:tr>
      <w:tr>
        <w:trPr>
          <w:trHeight w:val="278"/>
        </w:trPr>
        <w:tc>
          <w:tcPr>
            <w:tcW w:w="7340" w:type="dxa"/>
            <w:vAlign w:val="bottom"/>
          </w:tcPr>
          <w:p>
            <w:pPr>
              <w:spacing w:after="0"/>
              <w:rPr>
                <w:sz w:val="20"/>
                <w:szCs w:val="20"/>
                <w:color w:val="auto"/>
              </w:rPr>
            </w:pPr>
            <w:r>
              <w:rPr>
                <w:rFonts w:ascii="Arial" w:cs="Arial" w:eastAsia="Arial" w:hAnsi="Arial"/>
                <w:sz w:val="14"/>
                <w:szCs w:val="14"/>
                <w:color w:val="auto"/>
              </w:rPr>
              <w:t xml:space="preserve">Yield on debt portfolio </w:t>
            </w:r>
            <w:r>
              <w:rPr>
                <w:rFonts w:ascii="Arial" w:cs="Arial" w:eastAsia="Arial" w:hAnsi="Arial"/>
                <w:sz w:val="22"/>
                <w:szCs w:val="22"/>
                <w:color w:val="auto"/>
                <w:vertAlign w:val="superscript"/>
              </w:rPr>
              <w:t>(5)</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7.8%</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7.9%</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8.2%</w:t>
            </w:r>
          </w:p>
        </w:tc>
        <w:tc>
          <w:tcPr>
            <w:tcW w:w="840" w:type="dxa"/>
            <w:vAlign w:val="bottom"/>
            <w:gridSpan w:val="3"/>
          </w:tcPr>
          <w:p>
            <w:pPr>
              <w:jc w:val="right"/>
              <w:ind w:right="120"/>
              <w:spacing w:after="0"/>
              <w:rPr>
                <w:sz w:val="20"/>
                <w:szCs w:val="20"/>
                <w:color w:val="auto"/>
              </w:rPr>
            </w:pPr>
            <w:r>
              <w:rPr>
                <w:rFonts w:ascii="Arial" w:cs="Arial" w:eastAsia="Arial" w:hAnsi="Arial"/>
                <w:sz w:val="14"/>
                <w:szCs w:val="14"/>
                <w:color w:val="auto"/>
              </w:rPr>
              <w:t>8.1%</w:t>
            </w:r>
          </w:p>
        </w:tc>
        <w:tc>
          <w:tcPr>
            <w:tcW w:w="760" w:type="dxa"/>
            <w:vAlign w:val="bottom"/>
            <w:gridSpan w:val="3"/>
          </w:tcPr>
          <w:p>
            <w:pPr>
              <w:jc w:val="right"/>
              <w:ind w:right="40"/>
              <w:spacing w:after="0"/>
              <w:rPr>
                <w:sz w:val="20"/>
                <w:szCs w:val="20"/>
                <w:color w:val="auto"/>
              </w:rPr>
            </w:pPr>
            <w:r>
              <w:rPr>
                <w:rFonts w:ascii="Arial" w:cs="Arial" w:eastAsia="Arial" w:hAnsi="Arial"/>
                <w:sz w:val="14"/>
                <w:szCs w:val="14"/>
                <w:color w:val="auto"/>
              </w:rPr>
              <w:t>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18865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ind w:left="580" w:hanging="572"/>
        <w:spacing w:after="0" w:line="185" w:lineRule="auto"/>
        <w:tabs>
          <w:tab w:leader="none" w:pos="580" w:val="left"/>
        </w:tabs>
        <w:numPr>
          <w:ilvl w:val="0"/>
          <w:numId w:val="15"/>
        </w:numPr>
        <w:rPr>
          <w:rFonts w:ascii="Arial" w:cs="Arial" w:eastAsia="Arial" w:hAnsi="Arial"/>
          <w:sz w:val="19"/>
          <w:szCs w:val="19"/>
          <w:color w:val="auto"/>
          <w:vertAlign w:val="superscript"/>
        </w:rPr>
      </w:pPr>
      <w:r>
        <w:rPr>
          <w:rFonts w:ascii="Arial" w:cs="Arial" w:eastAsia="Arial" w:hAnsi="Arial"/>
          <w:sz w:val="12"/>
          <w:szCs w:val="12"/>
          <w:color w:val="auto"/>
        </w:rPr>
        <w:t>Based on the weighted average shares outstanding for the respective periods.</w:t>
      </w:r>
    </w:p>
    <w:p>
      <w:pPr>
        <w:ind w:left="580" w:right="140" w:hanging="572"/>
        <w:spacing w:after="0" w:line="182" w:lineRule="auto"/>
        <w:tabs>
          <w:tab w:leader="none" w:pos="580" w:val="left"/>
        </w:tabs>
        <w:numPr>
          <w:ilvl w:val="0"/>
          <w:numId w:val="15"/>
        </w:numPr>
        <w:rPr>
          <w:rFonts w:ascii="Arial" w:cs="Arial" w:eastAsia="Arial" w:hAnsi="Arial"/>
          <w:sz w:val="21"/>
          <w:szCs w:val="21"/>
          <w:color w:val="auto"/>
          <w:vertAlign w:val="superscript"/>
        </w:rPr>
      </w:pPr>
      <w:r>
        <w:rPr>
          <w:rFonts w:ascii="Arial" w:cs="Arial" w:eastAsia="Arial" w:hAnsi="Arial"/>
          <w:sz w:val="13"/>
          <w:szCs w:val="13"/>
          <w:color w:val="auto"/>
        </w:rPr>
        <w:t>The tax status of our distributions is calculated in accordance with income tax regulations, which may differ from amounts determined under GAAP and is reported on Form 1099-DIV each calendar year.</w:t>
      </w:r>
    </w:p>
    <w:p>
      <w:pPr>
        <w:ind w:left="580" w:hanging="572"/>
        <w:spacing w:after="0" w:line="182" w:lineRule="auto"/>
        <w:tabs>
          <w:tab w:leader="none" w:pos="580" w:val="left"/>
        </w:tabs>
        <w:numPr>
          <w:ilvl w:val="0"/>
          <w:numId w:val="15"/>
        </w:numPr>
        <w:rPr>
          <w:rFonts w:ascii="Arial" w:cs="Arial" w:eastAsia="Arial" w:hAnsi="Arial"/>
          <w:sz w:val="17"/>
          <w:szCs w:val="17"/>
          <w:color w:val="auto"/>
          <w:vertAlign w:val="superscript"/>
        </w:rPr>
      </w:pPr>
      <w:r>
        <w:rPr>
          <w:rFonts w:ascii="Arial" w:cs="Arial" w:eastAsia="Arial" w:hAnsi="Arial"/>
          <w:sz w:val="11"/>
          <w:szCs w:val="11"/>
          <w:color w:val="auto"/>
        </w:rPr>
        <w:t>At fair value.</w:t>
      </w:r>
    </w:p>
    <w:p>
      <w:pPr>
        <w:ind w:left="580" w:hanging="572"/>
        <w:spacing w:after="0" w:line="182" w:lineRule="auto"/>
        <w:tabs>
          <w:tab w:leader="none" w:pos="580" w:val="left"/>
        </w:tabs>
        <w:numPr>
          <w:ilvl w:val="0"/>
          <w:numId w:val="15"/>
        </w:numPr>
        <w:rPr>
          <w:rFonts w:ascii="Arial" w:cs="Arial" w:eastAsia="Arial" w:hAnsi="Arial"/>
          <w:sz w:val="17"/>
          <w:szCs w:val="17"/>
          <w:color w:val="auto"/>
          <w:vertAlign w:val="superscript"/>
        </w:rPr>
      </w:pPr>
      <w:r>
        <w:rPr>
          <w:rFonts w:ascii="Arial" w:cs="Arial" w:eastAsia="Arial" w:hAnsi="Arial"/>
          <w:sz w:val="11"/>
          <w:szCs w:val="11"/>
          <w:color w:val="auto"/>
        </w:rPr>
        <w:t>Based on the change in market price per share during the periods and takes into account distributions, if any, reinvested in accordance with our dividend reinvestment plan.</w:t>
      </w:r>
    </w:p>
    <w:p>
      <w:pPr>
        <w:ind w:left="580" w:hanging="572"/>
        <w:spacing w:after="0" w:line="185" w:lineRule="auto"/>
        <w:tabs>
          <w:tab w:leader="none" w:pos="580" w:val="left"/>
        </w:tabs>
        <w:numPr>
          <w:ilvl w:val="0"/>
          <w:numId w:val="15"/>
        </w:numPr>
        <w:rPr>
          <w:rFonts w:ascii="Arial" w:cs="Arial" w:eastAsia="Arial" w:hAnsi="Arial"/>
          <w:sz w:val="18"/>
          <w:szCs w:val="18"/>
          <w:color w:val="auto"/>
          <w:vertAlign w:val="superscript"/>
        </w:rPr>
      </w:pPr>
      <w:r>
        <w:rPr>
          <w:rFonts w:ascii="Arial" w:cs="Arial" w:eastAsia="Arial" w:hAnsi="Arial"/>
          <w:sz w:val="12"/>
          <w:szCs w:val="12"/>
          <w:color w:val="auto"/>
        </w:rPr>
        <w:t>Unaudited, at year end.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5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Q4</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Q3</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142"/>
        </w:trPr>
        <w:tc>
          <w:tcPr>
            <w:tcW w:w="5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16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15,396</w:t>
            </w:r>
          </w:p>
        </w:tc>
        <w:tc>
          <w:tcPr>
            <w:tcW w:w="3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10,803</w:t>
            </w:r>
          </w:p>
        </w:tc>
        <w:tc>
          <w:tcPr>
            <w:tcW w:w="4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11,346</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8,756</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1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8,155</w:t>
            </w:r>
          </w:p>
        </w:tc>
        <w:tc>
          <w:tcPr>
            <w:tcW w:w="56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6,830</w:t>
            </w:r>
          </w:p>
        </w:tc>
        <w:tc>
          <w:tcPr>
            <w:tcW w:w="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7,265</w:t>
            </w:r>
          </w:p>
        </w:tc>
        <w:tc>
          <w:tcPr>
            <w:tcW w:w="36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5,086</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gain (loss)</w:t>
            </w:r>
          </w:p>
        </w:tc>
        <w:tc>
          <w:tcPr>
            <w:tcW w:w="1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7,732</w:t>
            </w:r>
          </w:p>
        </w:tc>
        <w:tc>
          <w:tcPr>
            <w:tcW w:w="56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6,589</w:t>
            </w:r>
          </w:p>
        </w:tc>
        <w:tc>
          <w:tcPr>
            <w:tcW w:w="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(4,829)</w:t>
            </w:r>
          </w:p>
        </w:tc>
        <w:tc>
          <w:tcPr>
            <w:tcW w:w="3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(3,339)</w:t>
            </w: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15,887</w:t>
            </w:r>
          </w:p>
        </w:tc>
        <w:tc>
          <w:tcPr>
            <w:tcW w:w="56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13,419</w:t>
            </w:r>
          </w:p>
        </w:tc>
        <w:tc>
          <w:tcPr>
            <w:tcW w:w="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2,436</w:t>
            </w:r>
          </w:p>
        </w:tc>
        <w:tc>
          <w:tcPr>
            <w:tcW w:w="36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1,747</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 per common share *</w:t>
            </w:r>
          </w:p>
        </w:tc>
        <w:tc>
          <w:tcPr>
            <w:tcW w:w="1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0.59</w:t>
            </w:r>
          </w:p>
        </w:tc>
        <w:tc>
          <w:tcPr>
            <w:tcW w:w="56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0.50</w:t>
            </w:r>
          </w:p>
        </w:tc>
        <w:tc>
          <w:tcPr>
            <w:tcW w:w="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0.09</w:t>
            </w:r>
          </w:p>
        </w:tc>
        <w:tc>
          <w:tcPr>
            <w:tcW w:w="3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w:t>
            </w:r>
          </w:p>
        </w:tc>
        <w:tc>
          <w:tcPr>
            <w:tcW w:w="100" w:type="dxa"/>
            <w:vAlign w:val="bottom"/>
            <w:shd w:val="clear" w:color="auto" w:fill="CCEEFF"/>
          </w:tcPr>
          <w:p>
            <w:pPr>
              <w:spacing w:after="0"/>
              <w:rPr>
                <w:sz w:val="12"/>
                <w:szCs w:val="12"/>
                <w:color w:val="auto"/>
              </w:rPr>
            </w:pP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1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14.06</w:t>
            </w:r>
          </w:p>
        </w:tc>
        <w:tc>
          <w:tcPr>
            <w:tcW w:w="56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13.75</w:t>
            </w:r>
          </w:p>
        </w:tc>
        <w:tc>
          <w:tcPr>
            <w:tcW w:w="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13.54</w:t>
            </w:r>
          </w:p>
        </w:tc>
        <w:tc>
          <w:tcPr>
            <w:tcW w:w="36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13.73</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1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13.23</w:t>
            </w:r>
          </w:p>
        </w:tc>
        <w:tc>
          <w:tcPr>
            <w:tcW w:w="56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12.40</w:t>
            </w:r>
          </w:p>
        </w:tc>
        <w:tc>
          <w:tcPr>
            <w:tcW w:w="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11.70</w:t>
            </w:r>
          </w:p>
        </w:tc>
        <w:tc>
          <w:tcPr>
            <w:tcW w:w="3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11.25</w:t>
            </w:r>
          </w:p>
        </w:tc>
        <w:tc>
          <w:tcPr>
            <w:tcW w:w="100" w:type="dxa"/>
            <w:vAlign w:val="bottom"/>
            <w:shd w:val="clear" w:color="auto" w:fill="CCEEFF"/>
          </w:tcPr>
          <w:p>
            <w:pPr>
              <w:spacing w:after="0"/>
              <w:rPr>
                <w:sz w:val="12"/>
                <w:szCs w:val="12"/>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6"/>
              </w:rPr>
              <w:t>2015</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5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Q4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Q3</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Q2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142"/>
        </w:trPr>
        <w:tc>
          <w:tcPr>
            <w:tcW w:w="5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16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7,791</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7,104</w:t>
            </w:r>
          </w:p>
        </w:tc>
        <w:tc>
          <w:tcPr>
            <w:tcW w:w="4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7,983</w:t>
            </w: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7,477</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1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3,639</w:t>
            </w:r>
          </w:p>
        </w:tc>
        <w:tc>
          <w:tcPr>
            <w:tcW w:w="220" w:type="dxa"/>
            <w:vAlign w:val="bottom"/>
          </w:tcPr>
          <w:p>
            <w:pPr>
              <w:spacing w:after="0"/>
              <w:rPr>
                <w:sz w:val="12"/>
                <w:szCs w:val="12"/>
                <w:color w:val="auto"/>
              </w:rPr>
            </w:pPr>
          </w:p>
        </w:tc>
        <w:tc>
          <w:tcPr>
            <w:tcW w:w="3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4,097</w:t>
            </w:r>
          </w:p>
        </w:tc>
        <w:tc>
          <w:tcPr>
            <w:tcW w:w="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4,456</w:t>
            </w: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5,468</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(loss) gain</w:t>
            </w:r>
          </w:p>
        </w:tc>
        <w:tc>
          <w:tcPr>
            <w:tcW w:w="1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(2,424)</w:t>
            </w:r>
          </w:p>
        </w:tc>
        <w:tc>
          <w:tcPr>
            <w:tcW w:w="3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w:t>
            </w:r>
          </w:p>
        </w:tc>
        <w:tc>
          <w:tcPr>
            <w:tcW w:w="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1,668</w:t>
            </w:r>
          </w:p>
        </w:tc>
        <w:tc>
          <w:tcPr>
            <w:tcW w:w="3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(5,030)</w:t>
            </w: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1,215</w:t>
            </w:r>
          </w:p>
        </w:tc>
        <w:tc>
          <w:tcPr>
            <w:tcW w:w="220" w:type="dxa"/>
            <w:vAlign w:val="bottom"/>
          </w:tcPr>
          <w:p>
            <w:pPr>
              <w:spacing w:after="0"/>
              <w:rPr>
                <w:sz w:val="12"/>
                <w:szCs w:val="12"/>
                <w:color w:val="auto"/>
              </w:rPr>
            </w:pPr>
          </w:p>
        </w:tc>
        <w:tc>
          <w:tcPr>
            <w:tcW w:w="3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4,727</w:t>
            </w:r>
          </w:p>
        </w:tc>
        <w:tc>
          <w:tcPr>
            <w:tcW w:w="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6,124</w:t>
            </w: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438</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 per common share *</w:t>
            </w:r>
          </w:p>
        </w:tc>
        <w:tc>
          <w:tcPr>
            <w:tcW w:w="1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0.06</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w:t>
            </w:r>
          </w:p>
        </w:tc>
        <w:tc>
          <w:tcPr>
            <w:tcW w:w="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0.41</w:t>
            </w:r>
          </w:p>
        </w:tc>
        <w:tc>
          <w:tcPr>
            <w:tcW w:w="3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100" w:type="dxa"/>
            <w:vAlign w:val="bottom"/>
            <w:shd w:val="clear" w:color="auto" w:fill="CCEEFF"/>
          </w:tcPr>
          <w:p>
            <w:pPr>
              <w:spacing w:after="0"/>
              <w:rPr>
                <w:sz w:val="12"/>
                <w:szCs w:val="12"/>
                <w:color w:val="auto"/>
              </w:rPr>
            </w:pP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1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13.95</w:t>
            </w:r>
          </w:p>
        </w:tc>
        <w:tc>
          <w:tcPr>
            <w:tcW w:w="220" w:type="dxa"/>
            <w:vAlign w:val="bottom"/>
          </w:tcPr>
          <w:p>
            <w:pPr>
              <w:spacing w:after="0"/>
              <w:rPr>
                <w:sz w:val="12"/>
                <w:szCs w:val="12"/>
                <w:color w:val="auto"/>
              </w:rPr>
            </w:pPr>
          </w:p>
        </w:tc>
        <w:tc>
          <w:tcPr>
            <w:tcW w:w="3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14.33</w:t>
            </w:r>
          </w:p>
        </w:tc>
        <w:tc>
          <w:tcPr>
            <w:tcW w:w="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14.30</w:t>
            </w: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14.16</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1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11.94</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13.88</w:t>
            </w:r>
          </w:p>
        </w:tc>
        <w:tc>
          <w:tcPr>
            <w:tcW w:w="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14.03</w:t>
            </w:r>
          </w:p>
        </w:tc>
        <w:tc>
          <w:tcPr>
            <w:tcW w:w="3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13.73</w:t>
            </w:r>
          </w:p>
        </w:tc>
        <w:tc>
          <w:tcPr>
            <w:tcW w:w="100" w:type="dxa"/>
            <w:vAlign w:val="bottom"/>
            <w:shd w:val="clear" w:color="auto" w:fill="CCEEFF"/>
          </w:tcPr>
          <w:p>
            <w:pPr>
              <w:spacing w:after="0"/>
              <w:rPr>
                <w:sz w:val="12"/>
                <w:szCs w:val="12"/>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6"/>
              </w:rPr>
              <w:t>2014</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5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Q4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Q3</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Q2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142"/>
        </w:trPr>
        <w:tc>
          <w:tcPr>
            <w:tcW w:w="5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16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8,221</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7,669</w:t>
            </w:r>
          </w:p>
        </w:tc>
        <w:tc>
          <w:tcPr>
            <w:tcW w:w="4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7,623</w:t>
            </w: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6,844</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1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5,320</w:t>
            </w:r>
          </w:p>
        </w:tc>
        <w:tc>
          <w:tcPr>
            <w:tcW w:w="220" w:type="dxa"/>
            <w:vAlign w:val="bottom"/>
          </w:tcPr>
          <w:p>
            <w:pPr>
              <w:spacing w:after="0"/>
              <w:rPr>
                <w:sz w:val="12"/>
                <w:szCs w:val="12"/>
                <w:color w:val="auto"/>
              </w:rPr>
            </w:pPr>
          </w:p>
        </w:tc>
        <w:tc>
          <w:tcPr>
            <w:tcW w:w="3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4,363</w:t>
            </w:r>
          </w:p>
        </w:tc>
        <w:tc>
          <w:tcPr>
            <w:tcW w:w="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3,725</w:t>
            </w: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3,228</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(loss) gain</w:t>
            </w:r>
          </w:p>
        </w:tc>
        <w:tc>
          <w:tcPr>
            <w:tcW w:w="1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(3,043)</w:t>
            </w:r>
          </w:p>
        </w:tc>
        <w:tc>
          <w:tcPr>
            <w:tcW w:w="3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w:t>
            </w:r>
          </w:p>
        </w:tc>
        <w:tc>
          <w:tcPr>
            <w:tcW w:w="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3,513</w:t>
            </w:r>
          </w:p>
        </w:tc>
        <w:tc>
          <w:tcPr>
            <w:tcW w:w="3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2,829</w:t>
            </w:r>
          </w:p>
        </w:tc>
        <w:tc>
          <w:tcPr>
            <w:tcW w:w="100" w:type="dxa"/>
            <w:vAlign w:val="bottom"/>
            <w:shd w:val="clear" w:color="auto" w:fill="CCEEFF"/>
          </w:tcPr>
          <w:p>
            <w:pPr>
              <w:spacing w:after="0"/>
              <w:rPr>
                <w:sz w:val="12"/>
                <w:szCs w:val="12"/>
                <w:color w:val="auto"/>
              </w:rPr>
            </w:pP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2,278</w:t>
            </w:r>
          </w:p>
        </w:tc>
        <w:tc>
          <w:tcPr>
            <w:tcW w:w="220" w:type="dxa"/>
            <w:vAlign w:val="bottom"/>
          </w:tcPr>
          <w:p>
            <w:pPr>
              <w:spacing w:after="0"/>
              <w:rPr>
                <w:sz w:val="12"/>
                <w:szCs w:val="12"/>
                <w:color w:val="auto"/>
              </w:rPr>
            </w:pPr>
          </w:p>
        </w:tc>
        <w:tc>
          <w:tcPr>
            <w:tcW w:w="3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4,942</w:t>
            </w:r>
          </w:p>
        </w:tc>
        <w:tc>
          <w:tcPr>
            <w:tcW w:w="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7,237</w:t>
            </w: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6,057</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 per common share *</w:t>
            </w:r>
          </w:p>
        </w:tc>
        <w:tc>
          <w:tcPr>
            <w:tcW w:w="1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0.15</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0.33</w:t>
            </w:r>
          </w:p>
        </w:tc>
        <w:tc>
          <w:tcPr>
            <w:tcW w:w="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0.49</w:t>
            </w:r>
          </w:p>
        </w:tc>
        <w:tc>
          <w:tcPr>
            <w:tcW w:w="3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0.41</w:t>
            </w:r>
          </w:p>
        </w:tc>
        <w:tc>
          <w:tcPr>
            <w:tcW w:w="100" w:type="dxa"/>
            <w:vAlign w:val="bottom"/>
            <w:shd w:val="clear" w:color="auto" w:fill="CCEEFF"/>
          </w:tcPr>
          <w:p>
            <w:pPr>
              <w:spacing w:after="0"/>
              <w:rPr>
                <w:sz w:val="12"/>
                <w:szCs w:val="12"/>
                <w:color w:val="auto"/>
              </w:rPr>
            </w:pP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1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14.40</w:t>
            </w:r>
          </w:p>
        </w:tc>
        <w:tc>
          <w:tcPr>
            <w:tcW w:w="220" w:type="dxa"/>
            <w:vAlign w:val="bottom"/>
          </w:tcPr>
          <w:p>
            <w:pPr>
              <w:spacing w:after="0"/>
              <w:rPr>
                <w:sz w:val="12"/>
                <w:szCs w:val="12"/>
                <w:color w:val="auto"/>
              </w:rPr>
            </w:pPr>
          </w:p>
        </w:tc>
        <w:tc>
          <w:tcPr>
            <w:tcW w:w="3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14.52</w:t>
            </w:r>
          </w:p>
        </w:tc>
        <w:tc>
          <w:tcPr>
            <w:tcW w:w="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14.46</w:t>
            </w: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14.24</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1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13.78</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14.29</w:t>
            </w:r>
          </w:p>
        </w:tc>
        <w:tc>
          <w:tcPr>
            <w:tcW w:w="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13.82</w:t>
            </w:r>
          </w:p>
        </w:tc>
        <w:tc>
          <w:tcPr>
            <w:tcW w:w="3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13.73</w:t>
            </w:r>
          </w:p>
        </w:tc>
        <w:tc>
          <w:tcPr>
            <w:tcW w:w="10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8865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18"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Based on the weighted average shares outstanding for the respective periods.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260" w:firstLine="571"/>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380" w:firstLine="571"/>
        <w:spacing w:after="0" w:line="268"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132"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8" w:lineRule="exact"/>
        <w:rPr>
          <w:sz w:val="20"/>
          <w:szCs w:val="20"/>
          <w:color w:val="auto"/>
        </w:rPr>
      </w:pPr>
    </w:p>
    <w:p>
      <w:pPr>
        <w:ind w:right="80" w:firstLine="571"/>
        <w:spacing w:after="0" w:line="318" w:lineRule="auto"/>
        <w:rPr>
          <w:sz w:val="20"/>
          <w:szCs w:val="20"/>
          <w:color w:val="auto"/>
        </w:rPr>
      </w:pPr>
      <w:r>
        <w:rPr>
          <w:rFonts w:ascii="Arial" w:cs="Arial" w:eastAsia="Arial" w:hAnsi="Arial"/>
          <w:sz w:val="15"/>
          <w:szCs w:val="15"/>
          <w:color w:val="auto"/>
        </w:rPr>
        <w:t>Under normal market conditions, we generally expect that at least 80% of the value of our Managed Assets will be invested in Floating Rate Loans and other investments bearing a variable-rate of interest. We generally expect that senior secured debt, or first lien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We seek to create a diversified portfolio by generally targeting an investment size between $3 million and $15 million, on average, although we expect that this investment size will vary proportionately with the size of our capital base.</w:t>
      </w:r>
    </w:p>
    <w:p>
      <w:pPr>
        <w:spacing w:after="0" w:line="100" w:lineRule="exact"/>
        <w:rPr>
          <w:sz w:val="20"/>
          <w:szCs w:val="20"/>
          <w:color w:val="auto"/>
        </w:rPr>
      </w:pPr>
    </w:p>
    <w:p>
      <w:pPr>
        <w:ind w:right="220" w:firstLine="571"/>
        <w:spacing w:after="0" w:line="256"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96"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18"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In August 2015, we completed the acquisition of MCG pursuant to the Merger Agreement. As a result of the transactions contemplated by the Merger Agreement, MCG was merged with and into PFLT Panama, LLC with MCG as the surviving corporation, following which MCG was merged with and into PFLT Funding II, LLC with PFLT Funding II, LLC as the surviving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dividends, if any, on investment securities that we may acquire in portfolio companies. Our debt investments, whether in the form of senior secured debt or mezzanine debt, typically have a term of three to ten years and bear interest at a fixed or floating rate. Interest on debt securities is generally payable quarterly or semiannually.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and market discount or premium are capitalized, and we accrete or amortize such amounts as income or expense, as applicable, using the effective interest method as interest income. We record prepayment penalties on loans and debt securities as income. Dividend income, if any, is recognized on an accrual basis on the ex-dividend date to the extent that we expect to collect such amounts. Litigation settlements are accounted for in accordance with the gain contingency provisions of ASC 450-30.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Credit Facility. We bear all other direct or indirect costs and expenses of our operations and transactions, including:</w:t>
      </w:r>
    </w:p>
    <w:p>
      <w:pPr>
        <w:spacing w:after="0" w:line="62" w:lineRule="exact"/>
        <w:rPr>
          <w:sz w:val="20"/>
          <w:szCs w:val="20"/>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calculating our NAV, including the cost of any third-party valuation services;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76" w:lineRule="exact"/>
        <w:rPr>
          <w:rFonts w:ascii="Arial" w:cs="Arial" w:eastAsia="Arial" w:hAnsi="Arial"/>
          <w:sz w:val="18"/>
          <w:szCs w:val="18"/>
          <w:color w:val="auto"/>
        </w:rPr>
      </w:pPr>
    </w:p>
    <w:p>
      <w:pPr>
        <w:ind w:left="660" w:right="160" w:hanging="314"/>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federal, state, local and foreign taxes;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0" w:hanging="314"/>
        <w:spacing w:after="0" w:line="25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40" w:lineRule="exact"/>
        <w:rPr>
          <w:sz w:val="20"/>
          <w:szCs w:val="20"/>
          <w:color w:val="auto"/>
        </w:rPr>
      </w:pPr>
    </w:p>
    <w:p>
      <w:pPr>
        <w:jc w:val="both"/>
        <w:ind w:right="300" w:firstLine="571"/>
        <w:spacing w:after="0" w:line="306" w:lineRule="auto"/>
        <w:rPr>
          <w:sz w:val="20"/>
          <w:szCs w:val="20"/>
          <w:color w:val="auto"/>
        </w:rPr>
      </w:pPr>
      <w:r>
        <w:rPr>
          <w:rFonts w:ascii="Arial" w:cs="Arial" w:eastAsia="Arial" w:hAnsi="Arial"/>
          <w:sz w:val="16"/>
          <w:szCs w:val="16"/>
          <w:color w:val="auto"/>
        </w:rPr>
        <w:t>The SEC requires that “Total Estimated Annual Expenses” be calculated as a percentage of average net assets in the table on page 6 of this prospectus rather than as a percentage of average total assets. Total assets include assets that have been funded with borrowed money (leverage). For reference, the table below illustrates our “Total Estimated Annual Expenses” as a percentage of average total assets:</w:t>
      </w:r>
    </w:p>
    <w:p>
      <w:pPr>
        <w:spacing w:after="0" w:line="101" w:lineRule="exact"/>
        <w:rPr>
          <w:sz w:val="20"/>
          <w:szCs w:val="20"/>
          <w:color w:val="auto"/>
        </w:rPr>
      </w:pPr>
    </w:p>
    <w:tbl>
      <w:tblPr>
        <w:tblLayout w:type="fixed"/>
        <w:tblInd w:w="18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620" w:type="dxa"/>
            <w:vAlign w:val="bottom"/>
            <w:gridSpan w:val="2"/>
          </w:tcPr>
          <w:p>
            <w:pPr>
              <w:ind w:left="1200"/>
              <w:spacing w:after="0"/>
              <w:rPr>
                <w:sz w:val="20"/>
                <w:szCs w:val="20"/>
                <w:color w:val="auto"/>
              </w:rPr>
            </w:pPr>
            <w:r>
              <w:rPr>
                <w:rFonts w:ascii="Arial" w:cs="Arial" w:eastAsia="Arial" w:hAnsi="Arial"/>
                <w:sz w:val="18"/>
                <w:szCs w:val="18"/>
                <w:b w:val="1"/>
                <w:bCs w:val="1"/>
                <w:color w:val="auto"/>
                <w:w w:val="87"/>
              </w:rPr>
              <w:t>Estimated Annual Expenses (as a Percentage of Average Total Assets</w:t>
            </w:r>
            <w:r>
              <w:rPr>
                <w:rFonts w:ascii="Arial" w:cs="Arial" w:eastAsia="Arial" w:hAnsi="Arial"/>
                <w:sz w:val="11"/>
                <w:szCs w:val="11"/>
                <w:b w:val="1"/>
                <w:bCs w:val="1"/>
                <w:color w:val="auto"/>
                <w:w w:val="87"/>
              </w:rPr>
              <w:t>(1)</w:t>
            </w:r>
            <w:r>
              <w:rPr>
                <w:rFonts w:ascii="Arial" w:cs="Arial" w:eastAsia="Arial" w:hAnsi="Arial"/>
                <w:sz w:val="18"/>
                <w:szCs w:val="18"/>
                <w:b w:val="1"/>
                <w:bCs w:val="1"/>
                <w:color w:val="auto"/>
                <w:w w:val="87"/>
              </w:rPr>
              <w:t>)</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5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1.00 % </w:t>
            </w:r>
            <w:r>
              <w:rPr>
                <w:rFonts w:ascii="Arial" w:cs="Arial" w:eastAsia="Arial" w:hAnsi="Arial"/>
                <w:sz w:val="11"/>
                <w:szCs w:val="11"/>
                <w:color w:val="auto"/>
              </w:rPr>
              <w:t>(2)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Incentive fees</w:t>
            </w:r>
          </w:p>
        </w:tc>
        <w:tc>
          <w:tcPr>
            <w:tcW w:w="780" w:type="dxa"/>
            <w:vAlign w:val="bottom"/>
          </w:tcPr>
          <w:p>
            <w:pPr>
              <w:jc w:val="right"/>
              <w:spacing w:after="0"/>
              <w:rPr>
                <w:sz w:val="20"/>
                <w:szCs w:val="20"/>
                <w:color w:val="auto"/>
              </w:rPr>
            </w:pPr>
            <w:r>
              <w:rPr>
                <w:rFonts w:ascii="Arial" w:cs="Arial" w:eastAsia="Arial" w:hAnsi="Arial"/>
                <w:sz w:val="18"/>
                <w:szCs w:val="18"/>
                <w:color w:val="auto"/>
              </w:rPr>
              <w:t xml:space="preserve">0.90 % </w:t>
            </w:r>
            <w:r>
              <w:rPr>
                <w:rFonts w:ascii="Arial" w:cs="Arial" w:eastAsia="Arial" w:hAnsi="Arial"/>
                <w:sz w:val="11"/>
                <w:szCs w:val="11"/>
                <w:color w:val="auto"/>
              </w:rPr>
              <w:t>(3)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on borrowed funds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1.09 % </w:t>
            </w:r>
            <w:r>
              <w:rPr>
                <w:rFonts w:ascii="Arial" w:cs="Arial" w:eastAsia="Arial" w:hAnsi="Arial"/>
                <w:sz w:val="11"/>
                <w:szCs w:val="11"/>
                <w:color w:val="auto"/>
              </w:rPr>
              <w:t>(4)</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expenses</w:t>
            </w:r>
          </w:p>
        </w:tc>
        <w:tc>
          <w:tcPr>
            <w:tcW w:w="6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xml:space="preserve">0.62 % </w:t>
            </w:r>
            <w:r>
              <w:rPr>
                <w:rFonts w:ascii="Arial" w:cs="Arial" w:eastAsia="Arial" w:hAnsi="Arial"/>
                <w:sz w:val="11"/>
                <w:szCs w:val="11"/>
                <w:color w:val="auto"/>
              </w:rPr>
              <w:t>(5)</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estimated annual expenses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3.61 % </w:t>
            </w:r>
            <w:r>
              <w:rPr>
                <w:rFonts w:ascii="Arial" w:cs="Arial" w:eastAsia="Arial" w:hAnsi="Arial"/>
                <w:sz w:val="11"/>
                <w:szCs w:val="11"/>
                <w:color w:val="auto"/>
              </w:rPr>
              <w:t>(6)</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Average total assets attributable to common shares equals average gross assets for the fiscal year ended September 30, 2016.</w:t>
      </w:r>
    </w:p>
    <w:p>
      <w:pPr>
        <w:spacing w:after="0" w:line="68" w:lineRule="exact"/>
        <w:rPr>
          <w:rFonts w:ascii="Arial" w:cs="Arial" w:eastAsia="Arial" w:hAnsi="Arial"/>
          <w:sz w:val="14"/>
          <w:szCs w:val="14"/>
          <w:color w:val="auto"/>
        </w:rPr>
      </w:pPr>
    </w:p>
    <w:p>
      <w:pPr>
        <w:ind w:left="340" w:right="40" w:hanging="332"/>
        <w:spacing w:after="0" w:line="239"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1.00% of our average adjusted gross assets. See “Certain Relationships and Transactions—Investment Management Agreement” for more information.</w:t>
      </w:r>
    </w:p>
    <w:p>
      <w:pPr>
        <w:spacing w:after="0" w:line="57" w:lineRule="exact"/>
        <w:rPr>
          <w:rFonts w:ascii="Arial" w:cs="Arial" w:eastAsia="Arial" w:hAnsi="Arial"/>
          <w:sz w:val="14"/>
          <w:szCs w:val="14"/>
          <w:color w:val="auto"/>
        </w:rPr>
      </w:pPr>
    </w:p>
    <w:p>
      <w:pPr>
        <w:ind w:left="340" w:right="40" w:hanging="332"/>
        <w:spacing w:after="0" w:line="266" w:lineRule="auto"/>
        <w:tabs>
          <w:tab w:leader="none" w:pos="3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and capital gains, if any, is based on actual amounts incurred during the fiscal year ended September 30, 2016.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GAAP. As we cannot predict our future net investment income or capital gains, the incentive fee paid in future periods, if any, may be substantially different than the fee earned during the fiscal year ended September 30, 2016. For more detailed information about the incentive fee, please see “Certain Relationships and Transactions—Investment Management Agreement” for more information.</w:t>
      </w:r>
    </w:p>
    <w:p>
      <w:pPr>
        <w:spacing w:after="0" w:line="45" w:lineRule="exact"/>
        <w:rPr>
          <w:rFonts w:ascii="Arial" w:cs="Arial" w:eastAsia="Arial" w:hAnsi="Arial"/>
          <w:sz w:val="12"/>
          <w:szCs w:val="12"/>
          <w:color w:val="auto"/>
        </w:rPr>
      </w:pPr>
    </w:p>
    <w:p>
      <w:pPr>
        <w:ind w:left="340" w:right="20" w:hanging="332"/>
        <w:spacing w:after="0" w:line="273" w:lineRule="auto"/>
        <w:tabs>
          <w:tab w:leader="none" w:pos="3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As of September 30, 2016, we had $232.9 million in borrowings outstanding under our $350 million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Annual interest expense on borrowed funds represents actual interest expense and amendment costs incurred on our Credit Facility for the fiscal year ended September 30, 2016 and we caution you that our actual interest expense will depend on prevailing interest rates and our rate of borrowing, which may be substantially higher than the amount provided in this table. See “Risk Factors—Risks Relating to our Business and Structure—We currently use borrowed funds to make investments and are exposed to the typical risks associated with leverage” for more information.</w:t>
      </w:r>
    </w:p>
    <w:p>
      <w:pPr>
        <w:spacing w:after="0" w:line="38" w:lineRule="exact"/>
        <w:rPr>
          <w:rFonts w:ascii="Arial" w:cs="Arial" w:eastAsia="Arial" w:hAnsi="Arial"/>
          <w:sz w:val="12"/>
          <w:szCs w:val="12"/>
          <w:color w:val="auto"/>
        </w:rPr>
      </w:pPr>
    </w:p>
    <w:p>
      <w:pPr>
        <w:ind w:left="340" w:right="200" w:hanging="332"/>
        <w:spacing w:after="0" w:line="233"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57" w:lineRule="exact"/>
        <w:rPr>
          <w:rFonts w:ascii="Arial" w:cs="Arial" w:eastAsia="Arial" w:hAnsi="Arial"/>
          <w:sz w:val="14"/>
          <w:szCs w:val="14"/>
          <w:color w:val="auto"/>
        </w:rPr>
      </w:pPr>
    </w:p>
    <w:p>
      <w:pPr>
        <w:ind w:left="340" w:right="140" w:hanging="332"/>
        <w:spacing w:after="0" w:line="273" w:lineRule="auto"/>
        <w:tabs>
          <w:tab w:leader="none" w:pos="3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table above is intended to assist you in understanding the various costs and expenses that an investor in shares of our common stock will bear as a percentage of our average gross assets for the fiscal year ended September 30, 2016.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77"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As of September 30, 2016, our portfolio totaled $598.9 million and consisted of $548.4 million of senior secured debt, $36.6 million of second lien secured debt and $13.9 million of subordinated debt, preferred and common equity. Our debt portfolio consisted of 99% variable-rate investments (including 94% with a LIBOR or prime floor) and 1% fixed-rate investments. As of September 30, 2016, we had one company on non-accrual, representing 0.2% and 0.1% of our overall portfolio on a cost and fair value basis, respectively. Overall, the portfolio had net unrealized appreciation of $1.0 million. Our overall portfolio consisted of 98 companies with an average investment size of $6.1 million, had a weighted average yield on debt investments of 7.8%, and was invested 92% in senior secured debt, 6% in second lien secured debt and 2% in subordinated debt, preferred and common equity.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As of September 30, 2015, our portfolio totaled $391.3 million and consisted of $335.0 million of senior secured debt, $47.9 million of second lien secured debt and $8.4 million of subordinated debt, preferred and common equity. Our debt portfolio consisted of 97% variable-rate investments (including 92% with a LIBOR or prime floor) and 3% fixed-rate investments. As of September 30, 2015, we had one company on non-accrual, representing 1.6% and 0.9% of our overall portfolio on a cost and fair value basis, respectively. Overall, the portfolio had net unrealized depreciation of $6.0 million. Our overall portfolio consisted of 76 companies with an average investment size of $5.1 million, had a weighted average yield on debt investments of 7.9%, and was invested 86% in senior secured debt, 12% in second lien secured debt and 2% in subordinated debt, preferred and common equity.</w:t>
      </w:r>
    </w:p>
    <w:p>
      <w:pPr>
        <w:spacing w:after="0" w:line="93" w:lineRule="exact"/>
        <w:rPr>
          <w:sz w:val="20"/>
          <w:szCs w:val="20"/>
          <w:color w:val="auto"/>
        </w:rPr>
      </w:pPr>
    </w:p>
    <w:p>
      <w:pPr>
        <w:ind w:right="100" w:firstLine="571"/>
        <w:spacing w:after="0" w:line="332" w:lineRule="auto"/>
        <w:rPr>
          <w:sz w:val="20"/>
          <w:szCs w:val="20"/>
          <w:color w:val="auto"/>
        </w:rPr>
      </w:pPr>
      <w:r>
        <w:rPr>
          <w:rFonts w:ascii="Arial" w:cs="Arial" w:eastAsia="Arial" w:hAnsi="Arial"/>
          <w:sz w:val="16"/>
          <w:szCs w:val="16"/>
          <w:color w:val="auto"/>
        </w:rPr>
        <w:t>For the fiscal year ended September 30, 2016, we invested $364.4 million of investments in 37 new and 25 existing portfolio companies with a weighted average yield on debt investments of 7.8%. Sales and repayments of investments for the year ended September 30, 2016 totaled $164.2 million.</w:t>
      </w:r>
    </w:p>
    <w:p>
      <w:pPr>
        <w:spacing w:after="0" w:line="58" w:lineRule="exact"/>
        <w:rPr>
          <w:sz w:val="20"/>
          <w:szCs w:val="20"/>
          <w:color w:val="auto"/>
        </w:rPr>
      </w:pPr>
    </w:p>
    <w:p>
      <w:pPr>
        <w:ind w:right="100" w:firstLine="571"/>
        <w:spacing w:after="0" w:line="332" w:lineRule="auto"/>
        <w:rPr>
          <w:sz w:val="20"/>
          <w:szCs w:val="20"/>
          <w:color w:val="auto"/>
        </w:rPr>
      </w:pPr>
      <w:r>
        <w:rPr>
          <w:rFonts w:ascii="Arial" w:cs="Arial" w:eastAsia="Arial" w:hAnsi="Arial"/>
          <w:sz w:val="16"/>
          <w:szCs w:val="16"/>
          <w:color w:val="auto"/>
        </w:rPr>
        <w:t>For the fiscal year ended September 30, 2015, we invested $224.2 million of investments in 32 new and 34 existing portfolio companies with a weighted average yield on debt investments of 7.7%. Sales and repayments of investments for the year ended September 30, 2015 totaled $195.0 million.</w:t>
      </w:r>
    </w:p>
    <w:p>
      <w:pPr>
        <w:spacing w:after="0" w:line="58" w:lineRule="exact"/>
        <w:rPr>
          <w:sz w:val="20"/>
          <w:szCs w:val="20"/>
          <w:color w:val="auto"/>
        </w:rPr>
      </w:pPr>
    </w:p>
    <w:p>
      <w:pPr>
        <w:ind w:right="100" w:firstLine="571"/>
        <w:spacing w:after="0" w:line="332" w:lineRule="auto"/>
        <w:rPr>
          <w:sz w:val="20"/>
          <w:szCs w:val="20"/>
          <w:color w:val="auto"/>
        </w:rPr>
      </w:pPr>
      <w:r>
        <w:rPr>
          <w:rFonts w:ascii="Arial" w:cs="Arial" w:eastAsia="Arial" w:hAnsi="Arial"/>
          <w:sz w:val="16"/>
          <w:szCs w:val="16"/>
          <w:color w:val="auto"/>
        </w:rPr>
        <w:t>For the fiscal year ended September 30, 2014, we invested $248.1 million of investments in 36 new and 33 existing portfolio companies with a weighted average yield on debt investments of 8.2%. Sales and repayments of investments for the year ended September 30, 2014 totaled $225.6 million.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80" w:firstLine="571"/>
        <w:spacing w:after="0" w:line="289" w:lineRule="auto"/>
        <w:rPr>
          <w:sz w:val="20"/>
          <w:szCs w:val="20"/>
          <w:color w:val="auto"/>
        </w:rPr>
      </w:pPr>
      <w:r>
        <w:rPr>
          <w:rFonts w:ascii="Arial" w:cs="Arial" w:eastAsia="Arial" w:hAnsi="Arial"/>
          <w:sz w:val="16"/>
          <w:szCs w:val="16"/>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firstLine="571"/>
        <w:spacing w:after="0" w:line="310" w:lineRule="auto"/>
        <w:rPr>
          <w:sz w:val="20"/>
          <w:szCs w:val="20"/>
          <w:color w:val="auto"/>
        </w:rPr>
      </w:pPr>
      <w:r>
        <w:rPr>
          <w:rFonts w:ascii="Arial" w:cs="Arial" w:eastAsia="Arial" w:hAnsi="Arial"/>
          <w:sz w:val="15"/>
          <w:szCs w:val="15"/>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below.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81"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Our investments generally consist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27" w:lineRule="exact"/>
        <w:rPr>
          <w:sz w:val="20"/>
          <w:szCs w:val="20"/>
          <w:color w:val="auto"/>
        </w:rPr>
      </w:pPr>
    </w:p>
    <w:p>
      <w:pPr>
        <w:ind w:left="900" w:right="46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118"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57"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29" w:lineRule="exact"/>
        <w:rPr>
          <w:rFonts w:ascii="Arial" w:cs="Arial" w:eastAsia="Arial" w:hAnsi="Arial"/>
          <w:sz w:val="18"/>
          <w:szCs w:val="18"/>
          <w:color w:val="auto"/>
        </w:rPr>
      </w:pPr>
    </w:p>
    <w:p>
      <w:pPr>
        <w:ind w:left="900" w:right="20" w:hanging="446"/>
        <w:spacing w:after="0" w:line="306"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5"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89"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58" w:lineRule="exact"/>
        <w:rPr>
          <w:sz w:val="20"/>
          <w:szCs w:val="20"/>
          <w:color w:val="auto"/>
        </w:rPr>
      </w:pPr>
    </w:p>
    <w:p>
      <w:pPr>
        <w:ind w:left="1700" w:right="1660" w:hanging="769"/>
        <w:spacing w:after="0" w:line="268" w:lineRule="auto"/>
        <w:tabs>
          <w:tab w:leader="none" w:pos="1680" w:val="left"/>
        </w:tabs>
        <w:rPr>
          <w:sz w:val="20"/>
          <w:szCs w:val="20"/>
          <w:color w:val="auto"/>
        </w:rPr>
      </w:pPr>
      <w:r>
        <w:rPr>
          <w:rFonts w:ascii="Arial" w:cs="Arial" w:eastAsia="Arial" w:hAnsi="Arial"/>
          <w:sz w:val="18"/>
          <w:szCs w:val="18"/>
          <w:color w:val="auto"/>
        </w:rPr>
        <w:t>Level 1:</w:t>
        <w:tab/>
        <w:t>Inputs that are quoted prices (unadjusted) in active markets for identical assets or liabilities, accessible by us at the measurement date.</w:t>
      </w:r>
    </w:p>
    <w:p>
      <w:pPr>
        <w:spacing w:after="0" w:line="78" w:lineRule="exact"/>
        <w:rPr>
          <w:sz w:val="20"/>
          <w:szCs w:val="20"/>
          <w:color w:val="auto"/>
        </w:rPr>
      </w:pPr>
    </w:p>
    <w:p>
      <w:pPr>
        <w:ind w:left="1700" w:right="940" w:hanging="769"/>
        <w:spacing w:after="0" w:line="306" w:lineRule="auto"/>
        <w:tabs>
          <w:tab w:leader="none" w:pos="16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3" w:lineRule="exact"/>
        <w:rPr>
          <w:sz w:val="20"/>
          <w:szCs w:val="20"/>
          <w:color w:val="auto"/>
        </w:rPr>
      </w:pPr>
    </w:p>
    <w:p>
      <w:pPr>
        <w:ind w:left="1700" w:right="1380" w:hanging="769"/>
        <w:spacing w:after="0" w:line="268" w:lineRule="auto"/>
        <w:tabs>
          <w:tab w:leader="none" w:pos="168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05"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6"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13"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$0.9 million, $2.3 million and $0.7 million, relating to amendment fees on the Credit Facility during the years ended September 30, 2016, 2015 and 2014,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fiscal years ended September 30, 2016, 2015 and 2014, our Credit Facility had a net change in unrealized depreciation (appreciation) of $0.5 million, $0.5 million and $(0.5) million, respectively. As of September 30, 2016 and 2015, the net unrealized depreciation on our Credit Facility totaled $0.5 million and zero, respectively. We use a nationally recognized independent valuation service to measure the fair value of our Credit Facility in a manner consistent with the valuation process that the board of directors uses to value our investments.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40" w:firstLine="571"/>
        <w:spacing w:after="0" w:line="253" w:lineRule="auto"/>
        <w:rPr>
          <w:sz w:val="20"/>
          <w:szCs w:val="20"/>
          <w:color w:val="auto"/>
        </w:rPr>
      </w:pPr>
      <w:r>
        <w:rPr>
          <w:rFonts w:ascii="Arial" w:cs="Arial" w:eastAsia="Arial" w:hAnsi="Arial"/>
          <w:sz w:val="18"/>
          <w:szCs w:val="18"/>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firstLine="571"/>
        <w:spacing w:after="0" w:line="323" w:lineRule="auto"/>
        <w:rPr>
          <w:sz w:val="20"/>
          <w:szCs w:val="20"/>
          <w:color w:val="auto"/>
        </w:rPr>
      </w:pPr>
      <w:r>
        <w:rPr>
          <w:rFonts w:ascii="Arial" w:cs="Arial" w:eastAsia="Arial" w:hAnsi="Arial"/>
          <w:sz w:val="15"/>
          <w:szCs w:val="15"/>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 of our portfolio investments and Credit Facility during the reporting period, including any reversal of previously recorded unrealized appreciation or depreciation, when gains or losses are realized.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books and records are maintained in U.S. dollars. Any foreign currency amounts are translated into U.S. dollars on the following basis:</w:t>
      </w:r>
    </w:p>
    <w:p>
      <w:pPr>
        <w:spacing w:after="0" w:line="167" w:lineRule="exact"/>
        <w:rPr>
          <w:sz w:val="20"/>
          <w:szCs w:val="20"/>
          <w:color w:val="auto"/>
        </w:rPr>
      </w:pPr>
    </w:p>
    <w:p>
      <w:pPr>
        <w:ind w:left="1100" w:hanging="179"/>
        <w:spacing w:after="0"/>
        <w:tabs>
          <w:tab w:leader="none" w:pos="11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Fair value of investment securities, other assets and liabilities – at the exchange rates prevailing at the end of the applicable period; and</w:t>
      </w:r>
    </w:p>
    <w:p>
      <w:pPr>
        <w:spacing w:after="0" w:line="167" w:lineRule="exact"/>
        <w:rPr>
          <w:rFonts w:ascii="Arial" w:cs="Arial" w:eastAsia="Arial" w:hAnsi="Arial"/>
          <w:sz w:val="16"/>
          <w:szCs w:val="16"/>
          <w:color w:val="auto"/>
        </w:rPr>
      </w:pPr>
    </w:p>
    <w:p>
      <w:pPr>
        <w:ind w:left="1100" w:hanging="179"/>
        <w:spacing w:after="0"/>
        <w:tabs>
          <w:tab w:leader="none" w:pos="11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Purchases and sales of investment securities, income and expenses – at the exchange rates prevailing on the respective dates of such transactions.</w:t>
      </w:r>
    </w:p>
    <w:p>
      <w:pPr>
        <w:spacing w:after="0" w:line="179" w:lineRule="exact"/>
        <w:rPr>
          <w:sz w:val="20"/>
          <w:szCs w:val="20"/>
          <w:color w:val="auto"/>
        </w:rPr>
      </w:pPr>
    </w:p>
    <w:p>
      <w:pPr>
        <w:jc w:val="both"/>
        <w:ind w:right="260" w:firstLine="571"/>
        <w:spacing w:after="0" w:line="306"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Payment-in-Kind Interest or PIK</w:t>
      </w:r>
    </w:p>
    <w:p>
      <w:pPr>
        <w:spacing w:after="0" w:line="9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In order for us to maintain our ability to be treated as a RIC for federal income tax purposes, substantially all of this income must be paid out to stockholders in the form of dividends for U.S. federal income tax purposes, even though we have not collected any cash with respect to interest on PIK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Although not required for us to maintain our RIC tax status, in order to preclude the imposition of a 4% nondeductible federal excise tax imposed on RICs, we must distribute to our stockholders in respect of each calendar year an amount at least equal to the sum of (1) 98% of our net ordinary income for the calendar year, (2) 98.2% of our capital gain net income (i.e., the excess, if any, of capital gains over capital losses) for the one-year period ending on October 31 of the calendar year plus (3) the sum of any net ordinary income plus capital gain net income for preceding years that was not distributed during such years and on which we paid no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treated as a RIC for federal income tax purposes, to provide us with additional liquidity.</w:t>
      </w:r>
    </w:p>
    <w:p>
      <w:pPr>
        <w:spacing w:after="0" w:line="91" w:lineRule="exact"/>
        <w:rPr>
          <w:sz w:val="20"/>
          <w:szCs w:val="20"/>
          <w:color w:val="auto"/>
        </w:rPr>
      </w:pPr>
    </w:p>
    <w:p>
      <w:pPr>
        <w:ind w:right="240" w:firstLine="571"/>
        <w:spacing w:after="0" w:line="298" w:lineRule="auto"/>
        <w:rPr>
          <w:sz w:val="20"/>
          <w:szCs w:val="20"/>
          <w:color w:val="auto"/>
        </w:rPr>
      </w:pPr>
      <w:r>
        <w:rPr>
          <w:rFonts w:ascii="Arial" w:cs="Arial" w:eastAsia="Arial" w:hAnsi="Arial"/>
          <w:sz w:val="16"/>
          <w:szCs w:val="16"/>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86"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We have formed and expect to continue to form certain taxable subsidiaries, or the Taxable Subsidiaries, which are taxed as corporations for federal income tax purposes. Accordingly, the Taxable Subsidiaries will pay income taxes at regular corporate income tax rates. These Taxable Subsidiaries allow us to hold equity securities of certain portfolio companies treated as pass-through entities for U.S. federal income tax purposes while continuing to satisfy the requirements of a RIC under the Code.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Set forth below are the results of operations for the fiscal years ended September 30, 2016, 2015 and 2014.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jc w:val="both"/>
        <w:ind w:right="180" w:firstLine="571"/>
        <w:spacing w:after="0" w:line="335" w:lineRule="auto"/>
        <w:rPr>
          <w:sz w:val="20"/>
          <w:szCs w:val="20"/>
          <w:color w:val="auto"/>
        </w:rPr>
      </w:pPr>
      <w:r>
        <w:rPr>
          <w:rFonts w:ascii="Arial" w:cs="Arial" w:eastAsia="Arial" w:hAnsi="Arial"/>
          <w:sz w:val="15"/>
          <w:szCs w:val="15"/>
          <w:color w:val="auto"/>
        </w:rPr>
        <w:t>Investment income for the fiscal year ended September 30, 2016 was $46.3 million and was attributable to $36.4 million from senior secured debt, $6.1 million from second lien secured debt and $3.8 million from subordinated debt (including $3.3 million from a litigation settlement related to a former portfolio company of MCG that is not expected to be recurring). The increase in investment income over the prior year was primarily due to the growth of our portfolio.</w:t>
      </w:r>
    </w:p>
    <w:p>
      <w:pPr>
        <w:spacing w:after="0" w:line="61"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Investment income for the fiscal year ended September 30, 2015 was $30.4 million and was attributable to $23.5 million from senior secured debt, $5.7 million from second lien secured debt and $1.2 million from subordinated debt. Investment income was relatively the same compared to the prior year due to investing in debt with lower yields.</w:t>
      </w:r>
    </w:p>
    <w:p>
      <w:pPr>
        <w:spacing w:after="0" w:line="113"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color w:val="auto"/>
        </w:rPr>
        <w:t>Investment income for the fiscal year ended September 30, 2014 was $30.4 million and was attributable to $24.5 million from senior secured debt, $4.2 million from second lien secured debt and $1.7 million from subordinated debt.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jc w:val="both"/>
        <w:ind w:firstLine="571"/>
        <w:spacing w:after="0" w:line="298" w:lineRule="auto"/>
        <w:rPr>
          <w:sz w:val="20"/>
          <w:szCs w:val="20"/>
          <w:color w:val="auto"/>
        </w:rPr>
      </w:pPr>
      <w:r>
        <w:rPr>
          <w:rFonts w:ascii="Arial" w:cs="Arial" w:eastAsia="Arial" w:hAnsi="Arial"/>
          <w:sz w:val="16"/>
          <w:szCs w:val="16"/>
          <w:color w:val="auto"/>
        </w:rPr>
        <w:t>Expenses for the fiscal year ended September 30, 2016 totaled $19.0 million. Base management fee for the same period totaled $5.0 million, incentive fee totaled $4.8 million (including $1.1 million on net unrealized gains accrued but not payable), Credit Facility expenses totaled $5.8 million (including $0.9 million of Credit Facility amendment expenses) and general and administrative expenses totaled $3.4 million. The increase in expenses over the prior year was primarily due to increases in base management and incentive fees as a result from the growth of our portfolio.</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Expenses for the fiscal year ended September 30, 2015 totaled $12.7 million. Base management fee for the same period totaled $3.6 million, incentive fee totaled $1.1 million (including $(0.4) million on net realized gains and $(0.7) million on net unrealized gains accrued but not payable), Credit Facility expenses totaled $5.6 million (including $2.3 million of Credit Facility amendment expenses), general and administrative expenses totaled $2.0 million and excise taxes were $0.4 million. The decrease in expenses over the prior year was primarily due to a reduction in the accrual of incentive fees offset by increased Credit Facility amendment costs.</w:t>
      </w:r>
    </w:p>
    <w:p>
      <w:pPr>
        <w:spacing w:after="0" w:line="116" w:lineRule="exact"/>
        <w:rPr>
          <w:sz w:val="20"/>
          <w:szCs w:val="20"/>
          <w:color w:val="auto"/>
        </w:rPr>
      </w:pPr>
    </w:p>
    <w:p>
      <w:pPr>
        <w:jc w:val="both"/>
        <w:ind w:firstLine="571"/>
        <w:spacing w:after="0" w:line="306" w:lineRule="auto"/>
        <w:rPr>
          <w:sz w:val="20"/>
          <w:szCs w:val="20"/>
          <w:color w:val="auto"/>
        </w:rPr>
      </w:pPr>
      <w:r>
        <w:rPr>
          <w:rFonts w:ascii="Arial" w:cs="Arial" w:eastAsia="Arial" w:hAnsi="Arial"/>
          <w:sz w:val="16"/>
          <w:szCs w:val="16"/>
          <w:color w:val="auto"/>
        </w:rPr>
        <w:t>Expenses for the fiscal year ended September 30, 2014 totaled $13.7 million. Base management fee for the same period totaled $3.7 million, incentive fee totaled $3.5 million (including $0.1 million on net unrealized gains accrued but not payable), Credit Facility expenses totaled $4.2 million (including $0.7 million of Credit Facility amendment expenses), general and administrative expenses totaled $1.8 million and excise taxes were $0.5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jc w:val="both"/>
        <w:ind w:right="20" w:firstLine="571"/>
        <w:spacing w:after="0" w:line="335" w:lineRule="auto"/>
        <w:rPr>
          <w:sz w:val="20"/>
          <w:szCs w:val="20"/>
          <w:color w:val="auto"/>
        </w:rPr>
      </w:pPr>
      <w:r>
        <w:rPr>
          <w:rFonts w:ascii="Arial" w:cs="Arial" w:eastAsia="Arial" w:hAnsi="Arial"/>
          <w:sz w:val="15"/>
          <w:szCs w:val="15"/>
          <w:color w:val="auto"/>
        </w:rPr>
        <w:t>Net investment income totaled $27.3 million or $1.02 per share, $17.7 million or $1.08 per share and $16.6 million or $1.12 per share, for the fiscal years ended September 30, 2016, 2015 and 2014, respectively. Although the net investment income increased, the net investment income per share for fiscal year ended September 30, 2016 decreased compared to the prior year primarily due to the issuance of new shares in connection with our acquisition of MCG in August 2015.</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90" w:lineRule="exact"/>
        <w:rPr>
          <w:sz w:val="20"/>
          <w:szCs w:val="20"/>
          <w:color w:val="auto"/>
        </w:rPr>
      </w:pPr>
    </w:p>
    <w:p>
      <w:pPr>
        <w:ind w:right="160" w:firstLine="571"/>
        <w:spacing w:after="0" w:line="306" w:lineRule="auto"/>
        <w:rPr>
          <w:sz w:val="20"/>
          <w:szCs w:val="20"/>
          <w:color w:val="auto"/>
        </w:rPr>
      </w:pPr>
      <w:r>
        <w:rPr>
          <w:rFonts w:ascii="Arial" w:cs="Arial" w:eastAsia="Arial" w:hAnsi="Arial"/>
          <w:sz w:val="16"/>
          <w:szCs w:val="16"/>
          <w:color w:val="auto"/>
        </w:rPr>
        <w:t>Sales and repayments of investments for the fiscal years ended September 30, 2016, 2015 and 2014 totaled $164.2 million, $195.0 million and $225.6 million, respectively. Net realized (losses) gains totaled $(1.4) million, $0.4 million and $2.9 million for the same periods, respectively. The decrease in realized gains for fiscal year ended September 30, 2016 compared to the prior year was driven by changes in market conditions for our investments.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and Credit Facility</w:t>
      </w:r>
    </w:p>
    <w:p>
      <w:pPr>
        <w:spacing w:after="0" w:line="90"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For the fiscal years ended September 30, 2016, 2015 and 2014, we reported unrealized appreciation (depreciation) on investments of $7.0 million, $(6.1) million and $1.6 million, respectively. As of September 30, 2016 and 2015, net unrealized appreciation (depreciation) on investments totaled $1.0 million and $(6.0) million, respectively. The net change in unrealized appreciation (depreciation) on our investments for fiscal year ended September 30, 2016 compared to the prior year was driven primarily by changes in the capital market conditions, financial performance of certain portfolio companies, and the reversal of unrealized depreciation (appreciation) of investments sold.</w:t>
      </w:r>
    </w:p>
    <w:p>
      <w:pPr>
        <w:spacing w:after="0" w:line="116" w:lineRule="exact"/>
        <w:rPr>
          <w:sz w:val="20"/>
          <w:szCs w:val="20"/>
          <w:color w:val="auto"/>
        </w:rPr>
      </w:pPr>
    </w:p>
    <w:p>
      <w:pPr>
        <w:jc w:val="both"/>
        <w:ind w:right="20" w:firstLine="571"/>
        <w:spacing w:after="0" w:line="306" w:lineRule="auto"/>
        <w:rPr>
          <w:sz w:val="20"/>
          <w:szCs w:val="20"/>
          <w:color w:val="auto"/>
        </w:rPr>
      </w:pPr>
      <w:r>
        <w:rPr>
          <w:rFonts w:ascii="Arial" w:cs="Arial" w:eastAsia="Arial" w:hAnsi="Arial"/>
          <w:sz w:val="16"/>
          <w:szCs w:val="16"/>
          <w:color w:val="auto"/>
        </w:rPr>
        <w:t>For the fiscal years ended September 30, 2016, 2015 and 2014, our Credit Facility had a change in unrealized depreciation (appreciation) of $0.5 million, $0.5 million and $(0.5) million, respectively. As of September 30, 2016 and 2015, net unrealized depreciation on our Credit Facility totaled $0.5 million and zero, respectively. The change for fiscal year ended September 30, 2016 compared to the prior year was due to changes in the capital markets.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Net Assets Resulting from Operations</w:t>
      </w:r>
    </w:p>
    <w:p>
      <w:pPr>
        <w:spacing w:after="0" w:line="90" w:lineRule="exact"/>
        <w:rPr>
          <w:sz w:val="20"/>
          <w:szCs w:val="20"/>
          <w:color w:val="auto"/>
        </w:rPr>
      </w:pPr>
    </w:p>
    <w:p>
      <w:pPr>
        <w:ind w:right="100" w:firstLine="571"/>
        <w:spacing w:after="0" w:line="306" w:lineRule="auto"/>
        <w:rPr>
          <w:sz w:val="20"/>
          <w:szCs w:val="20"/>
          <w:color w:val="auto"/>
        </w:rPr>
      </w:pPr>
      <w:r>
        <w:rPr>
          <w:rFonts w:ascii="Arial" w:cs="Arial" w:eastAsia="Arial" w:hAnsi="Arial"/>
          <w:sz w:val="16"/>
          <w:szCs w:val="16"/>
          <w:color w:val="auto"/>
        </w:rPr>
        <w:t>Net change in net assets resulting from operations totaled $33.5 million or $1.25 per share, $12.5 million or $0.77 per share and $20.5 million or $1.38 per share, for the fiscal years ended September 30, 2016, 2015 and 2014, respectively. The increase in the net change in net assets from operations for fiscal year ended September 30, 2016 compared to the prior year reflects the change in portfolio investment valuation during the reporting period.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7"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16" w:lineRule="exact"/>
        <w:rPr>
          <w:sz w:val="20"/>
          <w:szCs w:val="20"/>
          <w:color w:val="auto"/>
        </w:rPr>
      </w:pPr>
    </w:p>
    <w:p>
      <w:pPr>
        <w:ind w:firstLine="571"/>
        <w:spacing w:after="0" w:line="302" w:lineRule="auto"/>
        <w:rPr>
          <w:sz w:val="20"/>
          <w:szCs w:val="20"/>
          <w:color w:val="auto"/>
        </w:rPr>
      </w:pPr>
      <w:r>
        <w:rPr>
          <w:rFonts w:ascii="Arial" w:cs="Arial" w:eastAsia="Arial" w:hAnsi="Arial"/>
          <w:sz w:val="15"/>
          <w:szCs w:val="15"/>
          <w:color w:val="auto"/>
        </w:rPr>
        <w:t>Funding I’s multi-currency Credit Facility with the Lenders was $350 million as of September 30, 2016, subject to satisfaction of certain conditions and the regulatory restrictions that the 1940 Act imposes on us as a BDC, has an interest rate spread above LIBOR of 200 basis points, a maturity date of August 2020 and a revolving period that ends in August 2018. As of September 30, 2016 and 2015, Funding I had $232.9 million and $29.6 million of outstanding borrowings under the Credit Facility, respectively. The Credit Facility had a weighted average interest rate of 2.57% and 2.20%, excluding the undrawn commitment fees of</w:t>
      </w:r>
    </w:p>
    <w:p>
      <w:pPr>
        <w:spacing w:after="0" w:line="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0.375% and 0.75% as of September 30, 2016 and 2015, respectively. The annualized weighted average cost of debt for the fiscal years ended September 30, 2016, 2015 and 2014, inclusive of the fee on the undrawn commitment on the Credit Facility but excluding amendment costs, was 3.51%, 2.62% and 2.35%, respectively. As of September 30, 2016 and 2015, we had $117.1 million and $260.4 million of unused borrowing capacity under our Credit Facility, respectively, subject to the regulatory restrictions.</w:t>
      </w:r>
    </w:p>
    <w:p>
      <w:pPr>
        <w:spacing w:after="0" w:line="117"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6"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September 30, 2016, we were in compliance with the covenants relating to our Credit Facility.</w:t>
      </w:r>
    </w:p>
    <w:p>
      <w:pPr>
        <w:spacing w:after="0" w:line="89" w:lineRule="exact"/>
        <w:rPr>
          <w:sz w:val="20"/>
          <w:szCs w:val="20"/>
          <w:color w:val="auto"/>
        </w:rPr>
      </w:pPr>
    </w:p>
    <w:p>
      <w:pPr>
        <w:jc w:val="both"/>
        <w:ind w:right="200" w:firstLine="571"/>
        <w:spacing w:after="0" w:line="259" w:lineRule="auto"/>
        <w:rPr>
          <w:sz w:val="20"/>
          <w:szCs w:val="20"/>
          <w:color w:val="auto"/>
        </w:rPr>
      </w:pPr>
      <w:r>
        <w:rPr>
          <w:rFonts w:ascii="Arial" w:cs="Arial" w:eastAsia="Arial" w:hAnsi="Arial"/>
          <w:sz w:val="18"/>
          <w:szCs w:val="18"/>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13"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93" w:lineRule="exact"/>
        <w:rPr>
          <w:sz w:val="20"/>
          <w:szCs w:val="20"/>
          <w:color w:val="auto"/>
        </w:rPr>
      </w:pPr>
    </w:p>
    <w:p>
      <w:pPr>
        <w:ind w:right="120" w:firstLine="571"/>
        <w:spacing w:after="0" w:line="254" w:lineRule="auto"/>
        <w:rPr>
          <w:sz w:val="20"/>
          <w:szCs w:val="20"/>
          <w:color w:val="auto"/>
        </w:rPr>
      </w:pPr>
      <w:r>
        <w:rPr>
          <w:rFonts w:ascii="Arial" w:cs="Arial" w:eastAsia="Arial" w:hAnsi="Arial"/>
          <w:sz w:val="18"/>
          <w:szCs w:val="18"/>
          <w:color w:val="auto"/>
        </w:rPr>
        <w:t>We may raise equity or debt capital through both registered offerings and private offerings of securities, securitizing a portion of our investments among other considerations or mergers and acquisitions.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 For the years ended September 30, 2016, 2015 and 2014, we issued zero, 11.8 million and zero shares, respectively. As a result, we raised approximately zero, $164.7 million and zero dollars in gross proceeds from issuances of our equity capital.</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571"/>
        <w:spacing w:after="0" w:line="268" w:lineRule="auto"/>
        <w:rPr>
          <w:sz w:val="20"/>
          <w:szCs w:val="20"/>
          <w:color w:val="auto"/>
        </w:rPr>
      </w:pPr>
      <w:r>
        <w:rPr>
          <w:rFonts w:ascii="Arial" w:cs="Arial" w:eastAsia="Arial" w:hAnsi="Arial"/>
          <w:sz w:val="18"/>
          <w:szCs w:val="18"/>
          <w:color w:val="auto"/>
        </w:rPr>
        <w:t>On September 30, 2016 and 2015, we had cash equivalents of $28.9 million and $21.4 million, respectively, available for investing and general corporate purposes. We believe our liquidity and capital resources are sufficient to take advantage of market opportunities.</w:t>
      </w:r>
    </w:p>
    <w:p>
      <w:pPr>
        <w:spacing w:after="0" w:line="132"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Our operating activities used cash of $165.5 million for the year ended September 30, 2016, and our financing activities provided cash of $172.8 million for the same period. Our operating activities used cash primarily for our investment activities and our financing activities provided cash primarily from net borrowings under the Credit Facility.</w:t>
      </w:r>
    </w:p>
    <w:p>
      <w:pPr>
        <w:spacing w:after="0" w:line="140"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Our operating activities used cash of $2.2 million for the year ended September 30, 2015, and our financing activities provided cash of $10.5 million for the same period. Our operating activities used cash primarily for our investment activities and our financing activities provided cash primarily from the MCG merger.</w:t>
      </w:r>
    </w:p>
    <w:p>
      <w:pPr>
        <w:spacing w:after="0" w:line="140"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Our operating activities used cash of $22.3 million for the year ended September 30, 2014, and our financing activities provided cash of $30.8 million for the same period. Our operating activities used cash primarily for our investment activities and our financing activities provided cash primarily from net draws under the Credit Facility.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right="560" w:firstLine="571"/>
        <w:spacing w:after="0" w:line="268" w:lineRule="auto"/>
        <w:rPr>
          <w:sz w:val="20"/>
          <w:szCs w:val="20"/>
          <w:color w:val="auto"/>
        </w:rPr>
      </w:pPr>
      <w:r>
        <w:rPr>
          <w:rFonts w:ascii="Arial" w:cs="Arial" w:eastAsia="Arial" w:hAnsi="Arial"/>
          <w:sz w:val="18"/>
          <w:szCs w:val="18"/>
          <w:color w:val="auto"/>
        </w:rPr>
        <w:t>A summary of our significant contractual payment obligations as of September 30, 2016, including borrowings under our Credit Facility and other contractual obligations, is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94"/>
              </w:rPr>
              <w:t>Payments due by period (millions)</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jc w:val="right"/>
              <w:ind w:right="8"/>
              <w:spacing w:after="0" w:line="129" w:lineRule="exact"/>
              <w:rPr>
                <w:sz w:val="20"/>
                <w:szCs w:val="20"/>
                <w:color w:val="auto"/>
              </w:rPr>
            </w:pPr>
            <w:r>
              <w:rPr>
                <w:rFonts w:ascii="Arial" w:cs="Arial" w:eastAsia="Arial" w:hAnsi="Arial"/>
                <w:sz w:val="14"/>
                <w:szCs w:val="14"/>
                <w:b w:val="1"/>
                <w:bCs w:val="1"/>
                <w:color w:val="auto"/>
              </w:rPr>
              <w:t>Less than</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ind w:right="500"/>
              <w:spacing w:after="0" w:line="129" w:lineRule="exact"/>
              <w:rPr>
                <w:sz w:val="20"/>
                <w:szCs w:val="20"/>
                <w:color w:val="auto"/>
              </w:rPr>
            </w:pPr>
            <w:r>
              <w:rPr>
                <w:rFonts w:ascii="Arial" w:cs="Arial" w:eastAsia="Arial" w:hAnsi="Arial"/>
                <w:sz w:val="14"/>
                <w:szCs w:val="14"/>
                <w:b w:val="1"/>
                <w:bCs w:val="1"/>
                <w:color w:val="auto"/>
              </w:rPr>
              <w:t>1-3</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ind w:right="320"/>
              <w:spacing w:after="0" w:line="129" w:lineRule="exact"/>
              <w:rPr>
                <w:sz w:val="20"/>
                <w:szCs w:val="20"/>
                <w:color w:val="auto"/>
              </w:rPr>
            </w:pPr>
            <w:r>
              <w:rPr>
                <w:rFonts w:ascii="Arial" w:cs="Arial" w:eastAsia="Arial" w:hAnsi="Arial"/>
                <w:sz w:val="14"/>
                <w:szCs w:val="14"/>
                <w:b w:val="1"/>
                <w:bCs w:val="1"/>
                <w:color w:val="auto"/>
              </w:rPr>
              <w:t>3-5</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ind w:right="280"/>
              <w:spacing w:after="0" w:line="129" w:lineRule="exact"/>
              <w:rPr>
                <w:sz w:val="20"/>
                <w:szCs w:val="20"/>
                <w:color w:val="auto"/>
              </w:rPr>
            </w:pPr>
            <w:r>
              <w:rPr>
                <w:rFonts w:ascii="Arial" w:cs="Arial" w:eastAsia="Arial" w:hAnsi="Arial"/>
                <w:sz w:val="14"/>
                <w:szCs w:val="14"/>
                <w:b w:val="1"/>
                <w:bCs w:val="1"/>
                <w:color w:val="auto"/>
              </w:rPr>
              <w:t>More than</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980" w:type="dxa"/>
            <w:vAlign w:val="bottom"/>
          </w:tcPr>
          <w:p>
            <w:pPr>
              <w:jc w:val="right"/>
              <w:ind w:right="108"/>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2"/>
          </w:tcPr>
          <w:p>
            <w:pPr>
              <w:ind w:left="22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Credit Facility</w:t>
            </w: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5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28"/>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5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 xml:space="preserve">Unfunded investments </w:t>
            </w:r>
            <w:r>
              <w:rPr>
                <w:rFonts w:ascii="Arial" w:cs="Arial" w:eastAsia="Arial" w:hAnsi="Arial"/>
                <w:sz w:val="11"/>
                <w:szCs w:val="11"/>
                <w:color w:val="auto"/>
              </w:rPr>
              <w:t>(1)</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28"/>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88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246.4</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1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(1) Unfunded investments are disclosed in the Consolidated Schedule of Investments and Note 12 of our Consolidated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571"/>
        <w:spacing w:after="0" w:line="298"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2016,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86"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Under our Administration Agreement, which was reapproved by our board of directors, including a majority of our directors who are not interested persons of us, in February 2016,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17" w:lineRule="exact"/>
        <w:rPr>
          <w:sz w:val="20"/>
          <w:szCs w:val="20"/>
          <w:color w:val="auto"/>
        </w:rPr>
      </w:pPr>
    </w:p>
    <w:p>
      <w:pPr>
        <w:jc w:val="both"/>
        <w:ind w:firstLine="571"/>
        <w:spacing w:after="0" w:line="306" w:lineRule="auto"/>
        <w:rPr>
          <w:sz w:val="20"/>
          <w:szCs w:val="20"/>
          <w:color w:val="auto"/>
        </w:rPr>
      </w:pPr>
      <w:r>
        <w:rPr>
          <w:rFonts w:ascii="Arial" w:cs="Arial" w:eastAsia="Arial" w:hAnsi="Arial"/>
          <w:sz w:val="16"/>
          <w:szCs w:val="16"/>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currently engage in no off-balance sheet arrangements other than our funding requirements for the unfunded investments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In order to be treated as a RIC for federal income tax purposes and to not be subject to corporate-level tax on undistributed income or gains, we are required, under Subchapter M of the Code, to annually distribute to stockholders out of the assets legally available for distribution of an amount generally at least equal to 90% of the sum of our ordinary income and realized net short-term capital gains in excess of realized net long-term capital losses, or investment company taxable income, determined without regard to any deduction for dividends paid.</w:t>
      </w:r>
    </w:p>
    <w:p>
      <w:pPr>
        <w:spacing w:after="0" w:line="86"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Although not required for us to maintain our RIC tax status, in order to preclude the imposition of a 4% nondeductible federal excise tax imposed on RICs, we must distribute to our stockholders in respect of each calendar year an amount at least equal to the sum of (1) 98% of our net ordinary income for the calendar year, (2) 98.2% of our capital gain net income (i.e., the excess, if any, of capital gains over capital losses) for the one-year period ending on October 31 of the calendar year plus (3) the sum of any net ordinary income plus capital gain net income for preceding years that was not distributed during such years and on which we paid no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retain such net capital gains or investment company taxable income in the future, subject to maintaining our ability to be treated as a RIC for federal income tax purposes, to provide us with additional liquidity.</w:t>
      </w:r>
    </w:p>
    <w:p>
      <w:pPr>
        <w:spacing w:after="0" w:line="91" w:lineRule="exact"/>
        <w:rPr>
          <w:sz w:val="20"/>
          <w:szCs w:val="20"/>
          <w:color w:val="auto"/>
        </w:rPr>
      </w:pPr>
    </w:p>
    <w:p>
      <w:pPr>
        <w:ind w:right="200" w:firstLine="571"/>
        <w:spacing w:after="0" w:line="294" w:lineRule="auto"/>
        <w:rPr>
          <w:sz w:val="20"/>
          <w:szCs w:val="20"/>
          <w:color w:val="auto"/>
        </w:rPr>
      </w:pPr>
      <w:r>
        <w:rPr>
          <w:rFonts w:ascii="Arial" w:cs="Arial" w:eastAsia="Arial" w:hAnsi="Arial"/>
          <w:sz w:val="16"/>
          <w:szCs w:val="16"/>
          <w:color w:val="auto"/>
        </w:rPr>
        <w:t>During the years ended September 30, 2016, 2015 and 2014, we declared distributions of $1.14, $1.12 and $1.08 per share, respectively, for total distributions of $30.5 million, $18.9 million and $16.1 million, respectively. We monitor available net investment income to determine if a tax return of capital may occur for the fiscal year. To the extent our taxable earnings fall below the total amount of our distributions for any given fiscal year, common stockholders will be notified of the portion of those distributions deemed to be a tax return of capital. Tax characteristics of all distributions will be reported to stockholders subject to information reporting on Form 1099-DIV after the end of the calendar year and in our periodic reports filed with the SEC.</w:t>
      </w:r>
    </w:p>
    <w:p>
      <w:pPr>
        <w:spacing w:after="0" w:line="89" w:lineRule="exact"/>
        <w:rPr>
          <w:sz w:val="20"/>
          <w:szCs w:val="20"/>
          <w:color w:val="auto"/>
        </w:rPr>
      </w:pPr>
    </w:p>
    <w:p>
      <w:pPr>
        <w:ind w:right="400" w:firstLine="571"/>
        <w:spacing w:after="0" w:line="268" w:lineRule="auto"/>
        <w:rPr>
          <w:sz w:val="20"/>
          <w:szCs w:val="20"/>
          <w:color w:val="auto"/>
        </w:rPr>
      </w:pPr>
      <w:r>
        <w:rPr>
          <w:rFonts w:ascii="Arial" w:cs="Arial" w:eastAsia="Arial" w:hAnsi="Arial"/>
          <w:sz w:val="18"/>
          <w:szCs w:val="18"/>
          <w:color w:val="auto"/>
        </w:rPr>
        <w:t>We intend to continue to make monthly distributions to our stockholders. Our monthly distributions, if any, are determined by our board of directors quarterly.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13"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tax status. We cannot assure stockholders that they will receive any distributions at a particular level.</w:t>
      </w:r>
    </w:p>
    <w:p>
      <w:pPr>
        <w:spacing w:after="0" w:line="86"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7"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We are subject to financial market risks, including changes in interest rates. As of September 30, 2016, our debt portfolio consisted of 99% variable-rate investments (including 94% with a LIBOR or prime floor) and 1%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93" w:lineRule="exact"/>
        <w:rPr>
          <w:sz w:val="20"/>
          <w:szCs w:val="20"/>
          <w:color w:val="auto"/>
        </w:rPr>
      </w:pPr>
    </w:p>
    <w:p>
      <w:pPr>
        <w:ind w:right="220" w:firstLine="571"/>
        <w:spacing w:after="0" w:line="332" w:lineRule="auto"/>
        <w:rPr>
          <w:sz w:val="20"/>
          <w:szCs w:val="20"/>
          <w:color w:val="auto"/>
        </w:rPr>
      </w:pPr>
      <w:r>
        <w:rPr>
          <w:rFonts w:ascii="Arial" w:cs="Arial" w:eastAsia="Arial" w:hAnsi="Arial"/>
          <w:sz w:val="16"/>
          <w:szCs w:val="16"/>
          <w:color w:val="auto"/>
        </w:rPr>
        <w:t>Assuming that the most recent Consolidated Statement of Assets and Liabilities was to remain constant, and no actions were taken to alter the existing interest rate sensitivity, the following table shows the annualized impact of hypothetical base rate changes in interest rates.</w:t>
      </w:r>
    </w:p>
    <w:p>
      <w:pPr>
        <w:spacing w:after="0" w:line="5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4960" w:type="dxa"/>
            <w:vAlign w:val="bottom"/>
            <w:gridSpan w:val="3"/>
          </w:tcPr>
          <w:p>
            <w:pPr>
              <w:ind w:left="3860"/>
              <w:spacing w:after="0"/>
              <w:rPr>
                <w:sz w:val="20"/>
                <w:szCs w:val="20"/>
                <w:color w:val="auto"/>
              </w:rPr>
            </w:pPr>
            <w:r>
              <w:rPr>
                <w:rFonts w:ascii="Arial" w:cs="Arial" w:eastAsia="Arial" w:hAnsi="Arial"/>
                <w:sz w:val="14"/>
                <w:szCs w:val="14"/>
                <w:b w:val="1"/>
                <w:bCs w:val="1"/>
                <w:color w:val="auto"/>
                <w:w w:val="88"/>
              </w:rPr>
              <w:t>Change In Interest</w:t>
            </w:r>
          </w:p>
        </w:tc>
        <w:tc>
          <w:tcPr>
            <w:tcW w:w="2180" w:type="dxa"/>
            <w:vAlign w:val="bottom"/>
            <w:gridSpan w:val="4"/>
          </w:tcPr>
          <w:p>
            <w:pPr>
              <w:ind w:left="980"/>
              <w:spacing w:after="0"/>
              <w:rPr>
                <w:sz w:val="20"/>
                <w:szCs w:val="20"/>
                <w:color w:val="auto"/>
              </w:rPr>
            </w:pPr>
            <w:r>
              <w:rPr>
                <w:rFonts w:ascii="Arial" w:cs="Arial" w:eastAsia="Arial" w:hAnsi="Arial"/>
                <w:sz w:val="14"/>
                <w:szCs w:val="14"/>
                <w:b w:val="1"/>
                <w:bCs w:val="1"/>
                <w:color w:val="auto"/>
                <w:w w:val="96"/>
              </w:rPr>
              <w:t>Change In Interest</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9"/>
              </w:rPr>
              <w:t>Income, Net Of</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Income, Net Of</w:t>
            </w:r>
          </w:p>
        </w:tc>
        <w:tc>
          <w:tcPr>
            <w:tcW w:w="0" w:type="dxa"/>
            <w:vAlign w:val="bottom"/>
          </w:tcPr>
          <w:p>
            <w:pPr>
              <w:spacing w:after="0"/>
              <w:rPr>
                <w:sz w:val="1"/>
                <w:szCs w:val="1"/>
                <w:color w:val="auto"/>
              </w:rPr>
            </w:pPr>
          </w:p>
        </w:tc>
      </w:tr>
      <w:tr>
        <w:trPr>
          <w:trHeight w:val="149"/>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Change In Interest Rates</w:t>
            </w:r>
          </w:p>
        </w:tc>
        <w:tc>
          <w:tcPr>
            <w:tcW w:w="38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Interest Expense</w:t>
            </w:r>
          </w:p>
        </w:tc>
        <w:tc>
          <w:tcPr>
            <w:tcW w:w="980" w:type="dxa"/>
            <w:vAlign w:val="bottom"/>
          </w:tcPr>
          <w:p>
            <w:pPr>
              <w:spacing w:after="0"/>
              <w:rPr>
                <w:sz w:val="12"/>
                <w:szCs w:val="12"/>
                <w:color w:val="auto"/>
              </w:rPr>
            </w:pPr>
          </w:p>
        </w:tc>
        <w:tc>
          <w:tcPr>
            <w:tcW w:w="12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Interest Expense</w:t>
            </w:r>
          </w:p>
        </w:tc>
        <w:tc>
          <w:tcPr>
            <w:tcW w:w="0" w:type="dxa"/>
            <w:vAlign w:val="bottom"/>
          </w:tcPr>
          <w:p>
            <w:pPr>
              <w:spacing w:after="0"/>
              <w:rPr>
                <w:sz w:val="1"/>
                <w:szCs w:val="1"/>
                <w:color w:val="auto"/>
              </w:rPr>
            </w:pPr>
          </w:p>
        </w:tc>
      </w:tr>
      <w:tr>
        <w:trPr>
          <w:trHeight w:val="168"/>
        </w:trPr>
        <w:tc>
          <w:tcPr>
            <w:tcW w:w="1540" w:type="dxa"/>
            <w:vAlign w:val="bottom"/>
            <w:tcBorders>
              <w:bottom w:val="single" w:sz="8" w:color="auto"/>
            </w:tcBorders>
            <w:vMerge w:val="continue"/>
          </w:tcPr>
          <w:p>
            <w:pPr>
              <w:spacing w:after="0"/>
              <w:rPr>
                <w:sz w:val="14"/>
                <w:szCs w:val="14"/>
                <w:color w:val="auto"/>
              </w:rPr>
            </w:pPr>
          </w:p>
        </w:tc>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19"/>
              <w:spacing w:after="0" w:line="148" w:lineRule="exact"/>
              <w:rPr>
                <w:sz w:val="20"/>
                <w:szCs w:val="20"/>
                <w:color w:val="auto"/>
              </w:rPr>
            </w:pPr>
            <w:r>
              <w:rPr>
                <w:rFonts w:ascii="Arial" w:cs="Arial" w:eastAsia="Arial" w:hAnsi="Arial"/>
                <w:sz w:val="14"/>
                <w:szCs w:val="14"/>
                <w:b w:val="1"/>
                <w:bCs w:val="1"/>
                <w:color w:val="auto"/>
                <w:w w:val="84"/>
              </w:rPr>
              <w:t>(in 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203"/>
        </w:trPr>
        <w:tc>
          <w:tcPr>
            <w:tcW w:w="1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Up 1%</w:t>
            </w:r>
          </w:p>
        </w:tc>
        <w:tc>
          <w:tcPr>
            <w:tcW w:w="3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209</w:t>
            </w: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Up 2%</w:t>
            </w:r>
          </w:p>
        </w:tc>
        <w:tc>
          <w:tcPr>
            <w:tcW w:w="3960" w:type="dxa"/>
            <w:vAlign w:val="bottom"/>
            <w:gridSpan w:val="2"/>
          </w:tcPr>
          <w:p>
            <w:pPr>
              <w:ind w:left="38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3,858</w:t>
            </w:r>
          </w:p>
        </w:tc>
        <w:tc>
          <w:tcPr>
            <w:tcW w:w="1080" w:type="dxa"/>
            <w:vAlign w:val="bottom"/>
            <w:gridSpan w:val="2"/>
          </w:tcPr>
          <w:p>
            <w:pPr>
              <w:ind w:left="98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Up 3%</w:t>
            </w:r>
          </w:p>
        </w:tc>
        <w:tc>
          <w:tcPr>
            <w:tcW w:w="3960" w:type="dxa"/>
            <w:vAlign w:val="bottom"/>
            <w:gridSpan w:val="2"/>
            <w:shd w:val="clear" w:color="auto" w:fill="CCEEFF"/>
          </w:tcPr>
          <w:p>
            <w:pPr>
              <w:ind w:left="38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7,507</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40" w:type="dxa"/>
            <w:vAlign w:val="bottom"/>
          </w:tcPr>
          <w:p>
            <w:pPr>
              <w:spacing w:after="0"/>
              <w:rPr>
                <w:sz w:val="20"/>
                <w:szCs w:val="20"/>
                <w:color w:val="auto"/>
              </w:rPr>
            </w:pPr>
            <w:r>
              <w:rPr>
                <w:rFonts w:ascii="Arial" w:cs="Arial" w:eastAsia="Arial" w:hAnsi="Arial"/>
                <w:sz w:val="18"/>
                <w:szCs w:val="18"/>
                <w:color w:val="auto"/>
              </w:rPr>
              <w:t>Up 4%</w:t>
            </w:r>
          </w:p>
        </w:tc>
        <w:tc>
          <w:tcPr>
            <w:tcW w:w="3960" w:type="dxa"/>
            <w:vAlign w:val="bottom"/>
            <w:gridSpan w:val="2"/>
          </w:tcPr>
          <w:p>
            <w:pPr>
              <w:ind w:left="38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11,156</w:t>
            </w:r>
          </w:p>
        </w:tc>
        <w:tc>
          <w:tcPr>
            <w:tcW w:w="1080" w:type="dxa"/>
            <w:vAlign w:val="bottom"/>
            <w:gridSpan w:val="2"/>
          </w:tcPr>
          <w:p>
            <w:pPr>
              <w:ind w:left="98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16"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13" w:lineRule="exact"/>
        <w:rPr>
          <w:sz w:val="20"/>
          <w:szCs w:val="20"/>
          <w:color w:val="auto"/>
        </w:rPr>
      </w:pPr>
    </w:p>
    <w:p>
      <w:pPr>
        <w:ind w:right="180" w:firstLine="571"/>
        <w:spacing w:after="0" w:line="294" w:lineRule="auto"/>
        <w:rPr>
          <w:sz w:val="20"/>
          <w:szCs w:val="20"/>
          <w:color w:val="auto"/>
        </w:rPr>
      </w:pPr>
      <w:r>
        <w:rPr>
          <w:rFonts w:ascii="Arial" w:cs="Arial" w:eastAsia="Arial" w:hAnsi="Arial"/>
          <w:sz w:val="16"/>
          <w:szCs w:val="16"/>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prospectus, we did not engage in interest rate hedging activities or foreign currency derivatives hedging activities.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Information about our senior securities shown in the following table as of September 30, 2016, 2015, 2014, 2013, 2012 and 2011 is from our Consolidated Financial Statements which have been audited by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for more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78"/>
              </w:rPr>
              <w:t>Asset</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34"/>
        </w:trPr>
        <w:tc>
          <w:tcPr>
            <w:tcW w:w="6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Total Amount</w:t>
            </w:r>
          </w:p>
        </w:tc>
        <w:tc>
          <w:tcPr>
            <w:tcW w:w="18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Coverage</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Value Per</w:t>
            </w:r>
          </w:p>
        </w:tc>
        <w:tc>
          <w:tcPr>
            <w:tcW w:w="0" w:type="dxa"/>
            <w:vAlign w:val="bottom"/>
          </w:tcPr>
          <w:p>
            <w:pPr>
              <w:spacing w:after="0"/>
              <w:rPr>
                <w:sz w:val="1"/>
                <w:szCs w:val="1"/>
                <w:color w:val="auto"/>
              </w:rPr>
            </w:pPr>
          </w:p>
        </w:tc>
      </w:tr>
      <w:tr>
        <w:trPr>
          <w:trHeight w:val="189"/>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Class and Year</w:t>
            </w:r>
          </w:p>
        </w:tc>
        <w:tc>
          <w:tcPr>
            <w:tcW w:w="1720" w:type="dxa"/>
            <w:vAlign w:val="bottom"/>
            <w:gridSpan w:val="2"/>
          </w:tcPr>
          <w:p>
            <w:pPr>
              <w:jc w:val="center"/>
              <w:ind w:right="160"/>
              <w:spacing w:after="0" w:line="189" w:lineRule="exact"/>
              <w:rPr>
                <w:sz w:val="20"/>
                <w:szCs w:val="20"/>
                <w:color w:val="auto"/>
              </w:rPr>
            </w:pPr>
            <w:r>
              <w:rPr>
                <w:rFonts w:ascii="Arial" w:cs="Arial" w:eastAsia="Arial" w:hAnsi="Arial"/>
                <w:sz w:val="13"/>
                <w:szCs w:val="13"/>
                <w:b w:val="1"/>
                <w:bCs w:val="1"/>
                <w:color w:val="auto"/>
                <w:w w:val="90"/>
              </w:rPr>
              <w:t xml:space="preserve">Outstanding </w:t>
            </w:r>
            <w:r>
              <w:rPr>
                <w:rFonts w:ascii="Arial" w:cs="Arial" w:eastAsia="Arial" w:hAnsi="Arial"/>
                <w:sz w:val="21"/>
                <w:szCs w:val="21"/>
                <w:b w:val="1"/>
                <w:bCs w:val="1"/>
                <w:color w:val="auto"/>
                <w:w w:val="90"/>
                <w:vertAlign w:val="superscript"/>
              </w:rPr>
              <w:t>(1)</w:t>
            </w:r>
          </w:p>
        </w:tc>
        <w:tc>
          <w:tcPr>
            <w:tcW w:w="1800" w:type="dxa"/>
            <w:vAlign w:val="bottom"/>
            <w:gridSpan w:val="2"/>
          </w:tcPr>
          <w:p>
            <w:pPr>
              <w:jc w:val="center"/>
              <w:ind w:right="120"/>
              <w:spacing w:after="0" w:line="189" w:lineRule="exact"/>
              <w:rPr>
                <w:sz w:val="20"/>
                <w:szCs w:val="20"/>
                <w:color w:val="auto"/>
              </w:rPr>
            </w:pPr>
            <w:r>
              <w:rPr>
                <w:rFonts w:ascii="Arial" w:cs="Arial" w:eastAsia="Arial" w:hAnsi="Arial"/>
                <w:sz w:val="13"/>
                <w:szCs w:val="13"/>
                <w:b w:val="1"/>
                <w:bCs w:val="1"/>
                <w:color w:val="auto"/>
                <w:w w:val="97"/>
              </w:rPr>
              <w:t xml:space="preserve">per Unit </w:t>
            </w:r>
            <w:r>
              <w:rPr>
                <w:rFonts w:ascii="Arial" w:cs="Arial" w:eastAsia="Arial" w:hAnsi="Arial"/>
                <w:sz w:val="21"/>
                <w:szCs w:val="21"/>
                <w:b w:val="1"/>
                <w:bCs w:val="1"/>
                <w:color w:val="auto"/>
                <w:w w:val="97"/>
                <w:vertAlign w:val="superscript"/>
              </w:rPr>
              <w:t>(2)</w:t>
            </w:r>
          </w:p>
        </w:tc>
        <w:tc>
          <w:tcPr>
            <w:tcW w:w="16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1"/>
              </w:rPr>
              <w:t xml:space="preserve">Unit </w:t>
            </w:r>
            <w:r>
              <w:rPr>
                <w:rFonts w:ascii="Arial" w:cs="Arial" w:eastAsia="Arial" w:hAnsi="Arial"/>
                <w:sz w:val="21"/>
                <w:szCs w:val="21"/>
                <w:b w:val="1"/>
                <w:bCs w:val="1"/>
                <w:color w:val="auto"/>
                <w:w w:val="91"/>
                <w:vertAlign w:val="superscript"/>
              </w:rPr>
              <w:t>(3)</w:t>
            </w:r>
          </w:p>
        </w:tc>
        <w:tc>
          <w:tcPr>
            <w:tcW w:w="0" w:type="dxa"/>
            <w:vAlign w:val="bottom"/>
          </w:tcPr>
          <w:p>
            <w:pPr>
              <w:spacing w:after="0"/>
              <w:rPr>
                <w:sz w:val="1"/>
                <w:szCs w:val="1"/>
                <w:color w:val="auto"/>
              </w:rPr>
            </w:pPr>
          </w:p>
        </w:tc>
      </w:tr>
      <w:tr>
        <w:trPr>
          <w:trHeight w:val="210"/>
        </w:trPr>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Credit Facility</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00" w:type="dxa"/>
            <w:vAlign w:val="bottom"/>
            <w:gridSpan w:val="2"/>
          </w:tcPr>
          <w:p>
            <w:pPr>
              <w:spacing w:after="0"/>
              <w:rPr>
                <w:sz w:val="20"/>
                <w:szCs w:val="20"/>
                <w:color w:val="auto"/>
              </w:rPr>
            </w:pPr>
            <w:r>
              <w:rPr>
                <w:rFonts w:ascii="Arial" w:cs="Arial" w:eastAsia="Arial" w:hAnsi="Arial"/>
                <w:sz w:val="18"/>
                <w:szCs w:val="18"/>
                <w:color w:val="auto"/>
              </w:rPr>
              <w:t>Fiscal 2016</w:t>
            </w:r>
          </w:p>
        </w:tc>
        <w:tc>
          <w:tcPr>
            <w:tcW w:w="1600" w:type="dxa"/>
            <w:vAlign w:val="bottom"/>
            <w:vMerge w:val="restart"/>
          </w:tcPr>
          <w:p>
            <w:pPr>
              <w:jc w:val="right"/>
              <w:ind w:right="378"/>
              <w:spacing w:after="0"/>
              <w:rPr>
                <w:sz w:val="20"/>
                <w:szCs w:val="20"/>
                <w:color w:val="auto"/>
              </w:rPr>
            </w:pPr>
            <w:r>
              <w:rPr>
                <w:rFonts w:ascii="Arial" w:cs="Arial" w:eastAsia="Arial" w:hAnsi="Arial"/>
                <w:sz w:val="18"/>
                <w:szCs w:val="18"/>
                <w:color w:val="auto"/>
              </w:rPr>
              <w:t>$232,908</w:t>
            </w:r>
          </w:p>
        </w:tc>
        <w:tc>
          <w:tcPr>
            <w:tcW w:w="120" w:type="dxa"/>
            <w:vAlign w:val="bottom"/>
          </w:tcPr>
          <w:p>
            <w:pPr>
              <w:spacing w:after="0"/>
              <w:rPr>
                <w:sz w:val="19"/>
                <w:szCs w:val="19"/>
                <w:color w:val="auto"/>
              </w:rPr>
            </w:pPr>
          </w:p>
        </w:tc>
        <w:tc>
          <w:tcPr>
            <w:tcW w:w="1700" w:type="dxa"/>
            <w:vAlign w:val="bottom"/>
            <w:vMerge w:val="restart"/>
          </w:tcPr>
          <w:p>
            <w:pPr>
              <w:jc w:val="right"/>
              <w:ind w:right="479"/>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19"/>
                <w:szCs w:val="19"/>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59"/>
        </w:trPr>
        <w:tc>
          <w:tcPr>
            <w:tcW w:w="6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2015</w:t>
            </w:r>
          </w:p>
        </w:tc>
        <w:tc>
          <w:tcPr>
            <w:tcW w:w="1600" w:type="dxa"/>
            <w:vAlign w:val="bottom"/>
            <w:vMerge w:val="restart"/>
            <w:shd w:val="clear" w:color="auto" w:fill="CCEEFF"/>
          </w:tcPr>
          <w:p>
            <w:pPr>
              <w:jc w:val="right"/>
              <w:ind w:right="378"/>
              <w:spacing w:after="0"/>
              <w:rPr>
                <w:sz w:val="20"/>
                <w:szCs w:val="20"/>
                <w:color w:val="auto"/>
              </w:rPr>
            </w:pPr>
            <w:r>
              <w:rPr>
                <w:rFonts w:ascii="Arial" w:cs="Arial" w:eastAsia="Arial" w:hAnsi="Arial"/>
                <w:sz w:val="18"/>
                <w:szCs w:val="18"/>
                <w:color w:val="auto"/>
              </w:rPr>
              <w:t>$29,600</w:t>
            </w:r>
          </w:p>
        </w:tc>
        <w:tc>
          <w:tcPr>
            <w:tcW w:w="120" w:type="dxa"/>
            <w:vAlign w:val="bottom"/>
            <w:shd w:val="clear" w:color="auto" w:fill="CCEEFF"/>
          </w:tcPr>
          <w:p>
            <w:pPr>
              <w:spacing w:after="0"/>
              <w:rPr>
                <w:sz w:val="19"/>
                <w:szCs w:val="19"/>
                <w:color w:val="auto"/>
              </w:rPr>
            </w:pPr>
          </w:p>
        </w:tc>
        <w:tc>
          <w:tcPr>
            <w:tcW w:w="1700" w:type="dxa"/>
            <w:vAlign w:val="bottom"/>
            <w:vMerge w:val="restart"/>
            <w:shd w:val="clear" w:color="auto" w:fill="CCEEFF"/>
          </w:tcPr>
          <w:p>
            <w:pPr>
              <w:jc w:val="right"/>
              <w:ind w:right="479"/>
              <w:spacing w:after="0"/>
              <w:rPr>
                <w:sz w:val="20"/>
                <w:szCs w:val="20"/>
                <w:color w:val="auto"/>
              </w:rPr>
            </w:pPr>
            <w:r>
              <w:rPr>
                <w:rFonts w:ascii="Arial" w:cs="Arial" w:eastAsia="Arial" w:hAnsi="Arial"/>
                <w:sz w:val="18"/>
                <w:szCs w:val="18"/>
                <w:color w:val="auto"/>
              </w:rPr>
              <w:t>$13,598</w:t>
            </w:r>
          </w:p>
        </w:tc>
        <w:tc>
          <w:tcPr>
            <w:tcW w:w="100" w:type="dxa"/>
            <w:vAlign w:val="bottom"/>
            <w:shd w:val="clear" w:color="auto" w:fill="CCEEFF"/>
          </w:tcPr>
          <w:p>
            <w:pPr>
              <w:spacing w:after="0"/>
              <w:rPr>
                <w:sz w:val="19"/>
                <w:szCs w:val="19"/>
                <w:color w:val="auto"/>
              </w:rPr>
            </w:pP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61"/>
        </w:trPr>
        <w:tc>
          <w:tcPr>
            <w:tcW w:w="6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300" w:type="dxa"/>
            <w:vAlign w:val="bottom"/>
            <w:gridSpan w:val="2"/>
          </w:tcPr>
          <w:p>
            <w:pPr>
              <w:spacing w:after="0"/>
              <w:rPr>
                <w:sz w:val="20"/>
                <w:szCs w:val="20"/>
                <w:color w:val="auto"/>
              </w:rPr>
            </w:pPr>
            <w:r>
              <w:rPr>
                <w:rFonts w:ascii="Arial" w:cs="Arial" w:eastAsia="Arial" w:hAnsi="Arial"/>
                <w:sz w:val="18"/>
                <w:szCs w:val="18"/>
                <w:color w:val="auto"/>
              </w:rPr>
              <w:t>Fiscal 2014</w:t>
            </w:r>
          </w:p>
        </w:tc>
        <w:tc>
          <w:tcPr>
            <w:tcW w:w="1600" w:type="dxa"/>
            <w:vAlign w:val="bottom"/>
            <w:vMerge w:val="restart"/>
          </w:tcPr>
          <w:p>
            <w:pPr>
              <w:jc w:val="right"/>
              <w:ind w:right="378"/>
              <w:spacing w:after="0"/>
              <w:rPr>
                <w:sz w:val="20"/>
                <w:szCs w:val="20"/>
                <w:color w:val="auto"/>
              </w:rPr>
            </w:pPr>
            <w:r>
              <w:rPr>
                <w:rFonts w:ascii="Arial" w:cs="Arial" w:eastAsia="Arial" w:hAnsi="Arial"/>
                <w:sz w:val="18"/>
                <w:szCs w:val="18"/>
                <w:color w:val="auto"/>
              </w:rPr>
              <w:t>$146,400</w:t>
            </w:r>
          </w:p>
        </w:tc>
        <w:tc>
          <w:tcPr>
            <w:tcW w:w="120" w:type="dxa"/>
            <w:vAlign w:val="bottom"/>
          </w:tcPr>
          <w:p>
            <w:pPr>
              <w:spacing w:after="0"/>
              <w:rPr>
                <w:sz w:val="19"/>
                <w:szCs w:val="19"/>
                <w:color w:val="auto"/>
              </w:rPr>
            </w:pPr>
          </w:p>
        </w:tc>
        <w:tc>
          <w:tcPr>
            <w:tcW w:w="1700" w:type="dxa"/>
            <w:vAlign w:val="bottom"/>
            <w:vMerge w:val="restart"/>
          </w:tcPr>
          <w:p>
            <w:pPr>
              <w:jc w:val="right"/>
              <w:ind w:right="479"/>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19"/>
                <w:szCs w:val="19"/>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59"/>
        </w:trPr>
        <w:tc>
          <w:tcPr>
            <w:tcW w:w="6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2013</w:t>
            </w:r>
          </w:p>
        </w:tc>
        <w:tc>
          <w:tcPr>
            <w:tcW w:w="1600" w:type="dxa"/>
            <w:vAlign w:val="bottom"/>
            <w:vMerge w:val="restart"/>
            <w:shd w:val="clear" w:color="auto" w:fill="CCEEFF"/>
          </w:tcPr>
          <w:p>
            <w:pPr>
              <w:jc w:val="right"/>
              <w:ind w:right="378"/>
              <w:spacing w:after="0"/>
              <w:rPr>
                <w:sz w:val="20"/>
                <w:szCs w:val="20"/>
                <w:color w:val="auto"/>
              </w:rPr>
            </w:pPr>
            <w:r>
              <w:rPr>
                <w:rFonts w:ascii="Arial" w:cs="Arial" w:eastAsia="Arial" w:hAnsi="Arial"/>
                <w:sz w:val="18"/>
                <w:szCs w:val="18"/>
                <w:color w:val="auto"/>
              </w:rPr>
              <w:t>$99,600</w:t>
            </w:r>
          </w:p>
        </w:tc>
        <w:tc>
          <w:tcPr>
            <w:tcW w:w="120" w:type="dxa"/>
            <w:vAlign w:val="bottom"/>
            <w:shd w:val="clear" w:color="auto" w:fill="CCEEFF"/>
          </w:tcPr>
          <w:p>
            <w:pPr>
              <w:spacing w:after="0"/>
              <w:rPr>
                <w:sz w:val="19"/>
                <w:szCs w:val="19"/>
                <w:color w:val="auto"/>
              </w:rPr>
            </w:pPr>
          </w:p>
        </w:tc>
        <w:tc>
          <w:tcPr>
            <w:tcW w:w="1700" w:type="dxa"/>
            <w:vAlign w:val="bottom"/>
            <w:vMerge w:val="restart"/>
            <w:shd w:val="clear" w:color="auto" w:fill="CCEEFF"/>
          </w:tcPr>
          <w:p>
            <w:pPr>
              <w:jc w:val="right"/>
              <w:ind w:right="479"/>
              <w:spacing w:after="0"/>
              <w:rPr>
                <w:sz w:val="20"/>
                <w:szCs w:val="20"/>
                <w:color w:val="auto"/>
              </w:rPr>
            </w:pPr>
            <w:r>
              <w:rPr>
                <w:rFonts w:ascii="Arial" w:cs="Arial" w:eastAsia="Arial" w:hAnsi="Arial"/>
                <w:sz w:val="18"/>
                <w:szCs w:val="18"/>
                <w:color w:val="auto"/>
              </w:rPr>
              <w:t>$3,109</w:t>
            </w:r>
          </w:p>
        </w:tc>
        <w:tc>
          <w:tcPr>
            <w:tcW w:w="100" w:type="dxa"/>
            <w:vAlign w:val="bottom"/>
            <w:shd w:val="clear" w:color="auto" w:fill="CCEEFF"/>
          </w:tcPr>
          <w:p>
            <w:pPr>
              <w:spacing w:after="0"/>
              <w:rPr>
                <w:sz w:val="19"/>
                <w:szCs w:val="19"/>
                <w:color w:val="auto"/>
              </w:rPr>
            </w:pP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61"/>
        </w:trPr>
        <w:tc>
          <w:tcPr>
            <w:tcW w:w="6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300" w:type="dxa"/>
            <w:vAlign w:val="bottom"/>
            <w:gridSpan w:val="2"/>
          </w:tcPr>
          <w:p>
            <w:pPr>
              <w:spacing w:after="0"/>
              <w:rPr>
                <w:sz w:val="20"/>
                <w:szCs w:val="20"/>
                <w:color w:val="auto"/>
              </w:rPr>
            </w:pPr>
            <w:r>
              <w:rPr>
                <w:rFonts w:ascii="Arial" w:cs="Arial" w:eastAsia="Arial" w:hAnsi="Arial"/>
                <w:sz w:val="18"/>
                <w:szCs w:val="18"/>
                <w:color w:val="auto"/>
              </w:rPr>
              <w:t>Fiscal 2012</w:t>
            </w:r>
          </w:p>
        </w:tc>
        <w:tc>
          <w:tcPr>
            <w:tcW w:w="1600" w:type="dxa"/>
            <w:vAlign w:val="bottom"/>
            <w:vMerge w:val="restart"/>
          </w:tcPr>
          <w:p>
            <w:pPr>
              <w:jc w:val="right"/>
              <w:ind w:right="378"/>
              <w:spacing w:after="0"/>
              <w:rPr>
                <w:sz w:val="20"/>
                <w:szCs w:val="20"/>
                <w:color w:val="auto"/>
              </w:rPr>
            </w:pPr>
            <w:r>
              <w:rPr>
                <w:rFonts w:ascii="Arial" w:cs="Arial" w:eastAsia="Arial" w:hAnsi="Arial"/>
                <w:sz w:val="18"/>
                <w:szCs w:val="18"/>
                <w:color w:val="auto"/>
              </w:rPr>
              <w:t>$75,500</w:t>
            </w:r>
          </w:p>
        </w:tc>
        <w:tc>
          <w:tcPr>
            <w:tcW w:w="120" w:type="dxa"/>
            <w:vAlign w:val="bottom"/>
          </w:tcPr>
          <w:p>
            <w:pPr>
              <w:spacing w:after="0"/>
              <w:rPr>
                <w:sz w:val="19"/>
                <w:szCs w:val="19"/>
                <w:color w:val="auto"/>
              </w:rPr>
            </w:pPr>
          </w:p>
        </w:tc>
        <w:tc>
          <w:tcPr>
            <w:tcW w:w="1700" w:type="dxa"/>
            <w:vAlign w:val="bottom"/>
            <w:vMerge w:val="restart"/>
          </w:tcPr>
          <w:p>
            <w:pPr>
              <w:jc w:val="right"/>
              <w:ind w:right="479"/>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19"/>
                <w:szCs w:val="19"/>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59"/>
        </w:trPr>
        <w:tc>
          <w:tcPr>
            <w:tcW w:w="6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2011</w:t>
            </w:r>
          </w:p>
        </w:tc>
        <w:tc>
          <w:tcPr>
            <w:tcW w:w="1600" w:type="dxa"/>
            <w:vAlign w:val="bottom"/>
            <w:vMerge w:val="restart"/>
            <w:shd w:val="clear" w:color="auto" w:fill="CCEEFF"/>
          </w:tcPr>
          <w:p>
            <w:pPr>
              <w:jc w:val="right"/>
              <w:ind w:right="378"/>
              <w:spacing w:after="0"/>
              <w:rPr>
                <w:sz w:val="20"/>
                <w:szCs w:val="20"/>
                <w:color w:val="auto"/>
              </w:rPr>
            </w:pPr>
            <w:r>
              <w:rPr>
                <w:rFonts w:ascii="Arial" w:cs="Arial" w:eastAsia="Arial" w:hAnsi="Arial"/>
                <w:sz w:val="18"/>
                <w:szCs w:val="18"/>
                <w:color w:val="auto"/>
              </w:rPr>
              <w:t>$24,650</w:t>
            </w:r>
          </w:p>
        </w:tc>
        <w:tc>
          <w:tcPr>
            <w:tcW w:w="120" w:type="dxa"/>
            <w:vAlign w:val="bottom"/>
            <w:shd w:val="clear" w:color="auto" w:fill="CCEEFF"/>
          </w:tcPr>
          <w:p>
            <w:pPr>
              <w:spacing w:after="0"/>
              <w:rPr>
                <w:sz w:val="19"/>
                <w:szCs w:val="19"/>
                <w:color w:val="auto"/>
              </w:rPr>
            </w:pPr>
          </w:p>
        </w:tc>
        <w:tc>
          <w:tcPr>
            <w:tcW w:w="1700" w:type="dxa"/>
            <w:vAlign w:val="bottom"/>
            <w:vMerge w:val="restart"/>
            <w:shd w:val="clear" w:color="auto" w:fill="CCEEFF"/>
          </w:tcPr>
          <w:p>
            <w:pPr>
              <w:jc w:val="right"/>
              <w:ind w:right="479"/>
              <w:spacing w:after="0"/>
              <w:rPr>
                <w:sz w:val="20"/>
                <w:szCs w:val="20"/>
                <w:color w:val="auto"/>
              </w:rPr>
            </w:pPr>
            <w:r>
              <w:rPr>
                <w:rFonts w:ascii="Arial" w:cs="Arial" w:eastAsia="Arial" w:hAnsi="Arial"/>
                <w:sz w:val="18"/>
                <w:szCs w:val="18"/>
                <w:color w:val="auto"/>
              </w:rPr>
              <w:t>$4,735</w:t>
            </w:r>
          </w:p>
        </w:tc>
        <w:tc>
          <w:tcPr>
            <w:tcW w:w="100" w:type="dxa"/>
            <w:vAlign w:val="bottom"/>
            <w:shd w:val="clear" w:color="auto" w:fill="CCEEFF"/>
          </w:tcPr>
          <w:p>
            <w:pPr>
              <w:spacing w:after="0"/>
              <w:rPr>
                <w:sz w:val="19"/>
                <w:szCs w:val="19"/>
                <w:color w:val="auto"/>
              </w:rPr>
            </w:pP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61"/>
        </w:trPr>
        <w:tc>
          <w:tcPr>
            <w:tcW w:w="6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5176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0"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Total cost of each class of senior securities outstanding at the end of the period presented in thousands (000s).</w:t>
      </w:r>
    </w:p>
    <w:p>
      <w:pPr>
        <w:ind w:left="460" w:right="280" w:hanging="452"/>
        <w:spacing w:after="0" w:line="258" w:lineRule="auto"/>
        <w:tabs>
          <w:tab w:leader="none" w:pos="4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ind w:left="460" w:hanging="452"/>
        <w:spacing w:after="0"/>
        <w:tabs>
          <w:tab w:leader="none" w:pos="4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Not applicable, as senior securities are not registered for public trading.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320" w:firstLine="571"/>
        <w:spacing w:after="0" w:line="259" w:lineRule="auto"/>
        <w:rPr>
          <w:sz w:val="20"/>
          <w:szCs w:val="20"/>
          <w:color w:val="auto"/>
        </w:rPr>
      </w:pPr>
      <w:r>
        <w:rPr>
          <w:rFonts w:ascii="Arial" w:cs="Arial" w:eastAsia="Arial" w:hAnsi="Arial"/>
          <w:sz w:val="18"/>
          <w:szCs w:val="18"/>
          <w:color w:val="auto"/>
        </w:rPr>
        <w:t>Our common stock is traded on the NASDAQ Global Select Market under the symbol “PFLT.” The following table lists the high and low closing sale prices for our common stock, the closing sale prices as a premium or (discount) to our NAV per share and distributions per share since October 1, 2014. On January 13, 2017, the last reported closing price of our common stock was $14.10 per share.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Premium /</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Premium /</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(Discount)</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(Discount)</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Closing Sales Price</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of High Sales</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of Low Sales</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300" w:type="dxa"/>
            <w:vAlign w:val="bottom"/>
          </w:tcPr>
          <w:p>
            <w:pPr>
              <w:spacing w:after="0"/>
              <w:rPr>
                <w:sz w:val="6"/>
                <w:szCs w:val="6"/>
                <w:color w:val="auto"/>
              </w:rPr>
            </w:pPr>
          </w:p>
        </w:tc>
        <w:tc>
          <w:tcPr>
            <w:tcW w:w="5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1100" w:type="dxa"/>
            <w:vAlign w:val="bottom"/>
            <w:gridSpan w:val="2"/>
            <w:vMerge w:val="restart"/>
          </w:tcPr>
          <w:p>
            <w:pPr>
              <w:jc w:val="center"/>
              <w:ind w:right="340"/>
              <w:spacing w:after="0" w:line="135" w:lineRule="exact"/>
              <w:rPr>
                <w:sz w:val="20"/>
                <w:szCs w:val="20"/>
                <w:color w:val="auto"/>
              </w:rPr>
            </w:pPr>
            <w:r>
              <w:rPr>
                <w:rFonts w:ascii="Arial" w:cs="Arial" w:eastAsia="Arial" w:hAnsi="Arial"/>
                <w:sz w:val="14"/>
                <w:szCs w:val="14"/>
                <w:b w:val="1"/>
                <w:bCs w:val="1"/>
                <w:color w:val="auto"/>
                <w:w w:val="85"/>
              </w:rPr>
              <w:t>Price to</w:t>
            </w:r>
          </w:p>
        </w:tc>
        <w:tc>
          <w:tcPr>
            <w:tcW w:w="9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85"/>
              </w:rPr>
              <w:t>Price to</w:t>
            </w:r>
          </w:p>
        </w:tc>
        <w:tc>
          <w:tcPr>
            <w:tcW w:w="1080" w:type="dxa"/>
            <w:vAlign w:val="bottom"/>
            <w:gridSpan w:val="2"/>
            <w:vMerge w:val="restart"/>
          </w:tcPr>
          <w:p>
            <w:pPr>
              <w:jc w:val="right"/>
              <w:ind w:right="320"/>
              <w:spacing w:after="0" w:line="135" w:lineRule="exact"/>
              <w:rPr>
                <w:sz w:val="20"/>
                <w:szCs w:val="20"/>
                <w:color w:val="auto"/>
              </w:rPr>
            </w:pPr>
            <w:r>
              <w:rPr>
                <w:rFonts w:ascii="Arial" w:cs="Arial" w:eastAsia="Arial" w:hAnsi="Arial"/>
                <w:sz w:val="14"/>
                <w:szCs w:val="14"/>
                <w:b w:val="1"/>
                <w:bCs w:val="1"/>
                <w:color w:val="auto"/>
                <w:w w:val="85"/>
              </w:rPr>
              <w:t>Distributions</w:t>
            </w:r>
          </w:p>
        </w:tc>
        <w:tc>
          <w:tcPr>
            <w:tcW w:w="0" w:type="dxa"/>
            <w:vAlign w:val="bottom"/>
          </w:tcPr>
          <w:p>
            <w:pPr>
              <w:spacing w:after="0"/>
              <w:rPr>
                <w:sz w:val="1"/>
                <w:szCs w:val="1"/>
                <w:color w:val="auto"/>
              </w:rPr>
            </w:pPr>
          </w:p>
        </w:tc>
      </w:tr>
      <w:tr>
        <w:trPr>
          <w:trHeight w:val="35"/>
        </w:trPr>
        <w:tc>
          <w:tcPr>
            <w:tcW w:w="300" w:type="dxa"/>
            <w:vAlign w:val="bottom"/>
          </w:tcPr>
          <w:p>
            <w:pPr>
              <w:spacing w:after="0"/>
              <w:rPr>
                <w:sz w:val="3"/>
                <w:szCs w:val="3"/>
                <w:color w:val="auto"/>
              </w:rPr>
            </w:pPr>
          </w:p>
        </w:tc>
        <w:tc>
          <w:tcPr>
            <w:tcW w:w="5500" w:type="dxa"/>
            <w:vAlign w:val="bottom"/>
          </w:tcPr>
          <w:p>
            <w:pPr>
              <w:spacing w:after="0"/>
              <w:rPr>
                <w:sz w:val="3"/>
                <w:szCs w:val="3"/>
                <w:color w:val="auto"/>
              </w:rPr>
            </w:pPr>
          </w:p>
        </w:tc>
        <w:tc>
          <w:tcPr>
            <w:tcW w:w="660" w:type="dxa"/>
            <w:vAlign w:val="bottom"/>
            <w:gridSpan w:val="2"/>
            <w:vMerge w:val="restart"/>
          </w:tcPr>
          <w:p>
            <w:pPr>
              <w:jc w:val="right"/>
              <w:ind w:right="200"/>
              <w:spacing w:after="0" w:line="197" w:lineRule="exact"/>
              <w:rPr>
                <w:sz w:val="20"/>
                <w:szCs w:val="20"/>
                <w:color w:val="auto"/>
              </w:rPr>
            </w:pPr>
            <w:r>
              <w:rPr>
                <w:rFonts w:ascii="Arial" w:cs="Arial" w:eastAsia="Arial" w:hAnsi="Arial"/>
                <w:sz w:val="14"/>
                <w:szCs w:val="14"/>
                <w:b w:val="1"/>
                <w:bCs w:val="1"/>
                <w:color w:val="auto"/>
                <w:w w:val="92"/>
              </w:rPr>
              <w:t>NAV</w:t>
            </w:r>
            <w:r>
              <w:rPr>
                <w:rFonts w:ascii="Arial" w:cs="Arial" w:eastAsia="Arial" w:hAnsi="Arial"/>
                <w:sz w:val="22"/>
                <w:szCs w:val="22"/>
                <w:b w:val="1"/>
                <w:bCs w:val="1"/>
                <w:color w:val="auto"/>
                <w:w w:val="92"/>
                <w:vertAlign w:val="superscript"/>
              </w:rPr>
              <w:t>(1)</w:t>
            </w:r>
          </w:p>
        </w:tc>
        <w:tc>
          <w:tcPr>
            <w:tcW w:w="16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580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12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c>
          <w:tcPr>
            <w:tcW w:w="1100" w:type="dxa"/>
            <w:vAlign w:val="bottom"/>
            <w:gridSpan w:val="2"/>
          </w:tcPr>
          <w:p>
            <w:pPr>
              <w:jc w:val="center"/>
              <w:ind w:right="340"/>
              <w:spacing w:after="0" w:line="162" w:lineRule="exact"/>
              <w:rPr>
                <w:sz w:val="20"/>
                <w:szCs w:val="20"/>
                <w:color w:val="auto"/>
              </w:rPr>
            </w:pPr>
            <w:r>
              <w:rPr>
                <w:rFonts w:ascii="Arial" w:cs="Arial" w:eastAsia="Arial" w:hAnsi="Arial"/>
                <w:sz w:val="12"/>
                <w:szCs w:val="12"/>
                <w:b w:val="1"/>
                <w:bCs w:val="1"/>
                <w:color w:val="auto"/>
              </w:rPr>
              <w:t xml:space="preserve">NAV </w:t>
            </w:r>
            <w:r>
              <w:rPr>
                <w:rFonts w:ascii="Arial" w:cs="Arial" w:eastAsia="Arial" w:hAnsi="Arial"/>
                <w:sz w:val="18"/>
                <w:szCs w:val="18"/>
                <w:b w:val="1"/>
                <w:bCs w:val="1"/>
                <w:color w:val="auto"/>
                <w:vertAlign w:val="superscript"/>
              </w:rPr>
              <w:t>(2)</w:t>
            </w:r>
          </w:p>
        </w:tc>
        <w:tc>
          <w:tcPr>
            <w:tcW w:w="980" w:type="dxa"/>
            <w:vAlign w:val="bottom"/>
            <w:gridSpan w:val="2"/>
          </w:tcPr>
          <w:p>
            <w:pPr>
              <w:jc w:val="center"/>
              <w:ind w:right="260"/>
              <w:spacing w:after="0" w:line="162" w:lineRule="exact"/>
              <w:rPr>
                <w:sz w:val="20"/>
                <w:szCs w:val="20"/>
                <w:color w:val="auto"/>
              </w:rPr>
            </w:pPr>
            <w:r>
              <w:rPr>
                <w:rFonts w:ascii="Arial" w:cs="Arial" w:eastAsia="Arial" w:hAnsi="Arial"/>
                <w:sz w:val="12"/>
                <w:szCs w:val="12"/>
                <w:b w:val="1"/>
                <w:bCs w:val="1"/>
                <w:color w:val="auto"/>
              </w:rPr>
              <w:t xml:space="preserve">NAV </w:t>
            </w:r>
            <w:r>
              <w:rPr>
                <w:rFonts w:ascii="Arial" w:cs="Arial" w:eastAsia="Arial" w:hAnsi="Arial"/>
                <w:sz w:val="18"/>
                <w:szCs w:val="18"/>
                <w:b w:val="1"/>
                <w:bCs w:val="1"/>
                <w:color w:val="auto"/>
                <w:vertAlign w:val="superscript"/>
              </w:rPr>
              <w:t>(2)</w:t>
            </w: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0"/>
        </w:trPr>
        <w:tc>
          <w:tcPr>
            <w:tcW w:w="300" w:type="dxa"/>
            <w:vAlign w:val="bottom"/>
            <w:tcBorders>
              <w:bottom w:val="single" w:sz="8" w:color="CCEEFF"/>
            </w:tcBorders>
            <w:shd w:val="clear" w:color="auto" w:fill="000000"/>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2017</w:t>
            </w: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Second quarter (through January 13, 2017)</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 N/A</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$14.17</w:t>
            </w:r>
          </w:p>
        </w:tc>
        <w:tc>
          <w:tcPr>
            <w:tcW w:w="1020" w:type="dxa"/>
            <w:vAlign w:val="bottom"/>
            <w:gridSpan w:val="3"/>
          </w:tcPr>
          <w:p>
            <w:pPr>
              <w:jc w:val="right"/>
              <w:ind w:right="400"/>
              <w:spacing w:after="0"/>
              <w:rPr>
                <w:sz w:val="20"/>
                <w:szCs w:val="20"/>
                <w:color w:val="auto"/>
              </w:rPr>
            </w:pPr>
            <w:r>
              <w:rPr>
                <w:rFonts w:ascii="Arial" w:cs="Arial" w:eastAsia="Arial" w:hAnsi="Arial"/>
                <w:sz w:val="18"/>
                <w:szCs w:val="18"/>
                <w:color w:val="auto"/>
              </w:rPr>
              <w:t>$14.04</w:t>
            </w:r>
          </w:p>
        </w:tc>
        <w:tc>
          <w:tcPr>
            <w:tcW w:w="110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  0.0950</w:t>
            </w:r>
            <w:r>
              <w:rPr>
                <w:rFonts w:ascii="Arial" w:cs="Arial" w:eastAsia="Arial" w:hAnsi="Arial"/>
                <w:sz w:val="11"/>
                <w:szCs w:val="11"/>
                <w:color w:val="auto"/>
                <w:w w:val="99"/>
              </w:rPr>
              <w:t>(3)</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14.17</w:t>
            </w: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12.44</w:t>
            </w:r>
          </w:p>
        </w:tc>
        <w:tc>
          <w:tcPr>
            <w:tcW w:w="11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2016</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13.26</w:t>
            </w: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12.54</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13.75</w:t>
            </w:r>
          </w:p>
        </w:tc>
        <w:tc>
          <w:tcPr>
            <w:tcW w:w="16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12.51</w:t>
            </w:r>
          </w:p>
        </w:tc>
        <w:tc>
          <w:tcPr>
            <w:tcW w:w="1020" w:type="dxa"/>
            <w:vAlign w:val="bottom"/>
            <w:gridSpan w:val="3"/>
          </w:tcPr>
          <w:p>
            <w:pPr>
              <w:jc w:val="right"/>
              <w:ind w:right="400"/>
              <w:spacing w:after="0"/>
              <w:rPr>
                <w:sz w:val="20"/>
                <w:szCs w:val="20"/>
                <w:color w:val="auto"/>
              </w:rPr>
            </w:pPr>
            <w:r>
              <w:rPr>
                <w:rFonts w:ascii="Arial" w:cs="Arial" w:eastAsia="Arial" w:hAnsi="Arial"/>
                <w:sz w:val="18"/>
                <w:szCs w:val="18"/>
                <w:color w:val="auto"/>
              </w:rPr>
              <w:t>11.58</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11.70</w:t>
            </w: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10.09</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13.73</w:t>
            </w:r>
          </w:p>
        </w:tc>
        <w:tc>
          <w:tcPr>
            <w:tcW w:w="16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12.42</w:t>
            </w:r>
          </w:p>
        </w:tc>
        <w:tc>
          <w:tcPr>
            <w:tcW w:w="1020" w:type="dxa"/>
            <w:vAlign w:val="bottom"/>
            <w:gridSpan w:val="3"/>
          </w:tcPr>
          <w:p>
            <w:pPr>
              <w:jc w:val="right"/>
              <w:ind w:right="400"/>
              <w:spacing w:after="0"/>
              <w:rPr>
                <w:sz w:val="20"/>
                <w:szCs w:val="20"/>
                <w:color w:val="auto"/>
              </w:rPr>
            </w:pPr>
            <w:r>
              <w:rPr>
                <w:rFonts w:ascii="Arial" w:cs="Arial" w:eastAsia="Arial" w:hAnsi="Arial"/>
                <w:sz w:val="18"/>
                <w:szCs w:val="18"/>
                <w:color w:val="auto"/>
              </w:rPr>
              <w:t>10.79</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13.95</w:t>
            </w:r>
          </w:p>
        </w:tc>
        <w:tc>
          <w:tcPr>
            <w:tcW w:w="16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14.30</w:t>
            </w:r>
          </w:p>
        </w:tc>
        <w:tc>
          <w:tcPr>
            <w:tcW w:w="1020" w:type="dxa"/>
            <w:vAlign w:val="bottom"/>
            <w:gridSpan w:val="3"/>
          </w:tcPr>
          <w:p>
            <w:pPr>
              <w:jc w:val="right"/>
              <w:ind w:right="400"/>
              <w:spacing w:after="0"/>
              <w:rPr>
                <w:sz w:val="20"/>
                <w:szCs w:val="20"/>
                <w:color w:val="auto"/>
              </w:rPr>
            </w:pPr>
            <w:r>
              <w:rPr>
                <w:rFonts w:ascii="Arial" w:cs="Arial" w:eastAsia="Arial" w:hAnsi="Arial"/>
                <w:sz w:val="18"/>
                <w:szCs w:val="18"/>
                <w:color w:val="auto"/>
              </w:rPr>
              <w:t>11.35</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14.48</w:t>
            </w: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13.88</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0.2850</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14.30</w:t>
            </w:r>
          </w:p>
        </w:tc>
        <w:tc>
          <w:tcPr>
            <w:tcW w:w="16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14.16</w:t>
            </w:r>
          </w:p>
        </w:tc>
        <w:tc>
          <w:tcPr>
            <w:tcW w:w="1020" w:type="dxa"/>
            <w:vAlign w:val="bottom"/>
            <w:gridSpan w:val="3"/>
          </w:tcPr>
          <w:p>
            <w:pPr>
              <w:jc w:val="right"/>
              <w:ind w:right="400"/>
              <w:spacing w:after="0"/>
              <w:rPr>
                <w:sz w:val="20"/>
                <w:szCs w:val="20"/>
                <w:color w:val="auto"/>
              </w:rPr>
            </w:pPr>
            <w:r>
              <w:rPr>
                <w:rFonts w:ascii="Arial" w:cs="Arial" w:eastAsia="Arial" w:hAnsi="Arial"/>
                <w:sz w:val="18"/>
                <w:szCs w:val="18"/>
                <w:color w:val="auto"/>
              </w:rPr>
              <w:t>13.25</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0.2750</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14.23</w:t>
            </w: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12.98</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0.2700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5060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12" w:lineRule="exact"/>
        <w:rPr>
          <w:sz w:val="20"/>
          <w:szCs w:val="20"/>
          <w:color w:val="auto"/>
        </w:rPr>
      </w:pPr>
    </w:p>
    <w:p>
      <w:pPr>
        <w:ind w:left="220" w:right="80" w:hanging="212"/>
        <w:spacing w:after="0" w:line="230" w:lineRule="auto"/>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220" w:hanging="212"/>
        <w:spacing w:after="0" w:line="221" w:lineRule="auto"/>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Calculated as the respective high or low closing sales price less NAV per share, divided by the quarter-end NAV per share.</w:t>
      </w: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a dividend of $0.0950 per share payable on February 1, 2017 to stockholders of record as of January 20, 2017.</w:t>
      </w:r>
    </w:p>
    <w:p>
      <w:pPr>
        <w:spacing w:after="0" w:line="113" w:lineRule="exact"/>
        <w:rPr>
          <w:sz w:val="20"/>
          <w:szCs w:val="20"/>
          <w:color w:val="auto"/>
        </w:rPr>
      </w:pPr>
    </w:p>
    <w:p>
      <w:pPr>
        <w:ind w:right="100" w:firstLine="571"/>
        <w:spacing w:after="0" w:line="294" w:lineRule="auto"/>
        <w:rPr>
          <w:sz w:val="20"/>
          <w:szCs w:val="20"/>
          <w:color w:val="auto"/>
        </w:rPr>
      </w:pPr>
      <w:r>
        <w:rPr>
          <w:rFonts w:ascii="Arial" w:cs="Arial" w:eastAsia="Arial" w:hAnsi="Arial"/>
          <w:sz w:val="16"/>
          <w:szCs w:val="16"/>
          <w:color w:val="auto"/>
        </w:rPr>
        <w:t>Shares of BDCs may trade at a market price both above and below the NAV that is attributable to those shares. Our shares have traded above and below our NAV. Our shares closed on the NASDAQ Global Select Market at $13.23 and $11.94 on September 30, 2016 and 2015, respectively. Our NAV per share was $14.06 and $13.95 for the same periods.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January 13, 2017 we had 41 stockholders of record.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177" w:lineRule="exact"/>
        <w:rPr>
          <w:sz w:val="20"/>
          <w:szCs w:val="20"/>
          <w:color w:val="auto"/>
        </w:rPr>
      </w:pPr>
    </w:p>
    <w:p>
      <w:pPr>
        <w:ind w:right="240" w:firstLine="571"/>
        <w:spacing w:after="0" w:line="306" w:lineRule="auto"/>
        <w:rPr>
          <w:sz w:val="20"/>
          <w:szCs w:val="20"/>
          <w:color w:val="auto"/>
        </w:rPr>
      </w:pPr>
      <w:r>
        <w:rPr>
          <w:rFonts w:ascii="Arial" w:cs="Arial" w:eastAsia="Arial" w:hAnsi="Arial"/>
          <w:sz w:val="16"/>
          <w:szCs w:val="16"/>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26" w:lineRule="exact"/>
        <w:rPr>
          <w:sz w:val="20"/>
          <w:szCs w:val="20"/>
          <w:color w:val="auto"/>
        </w:rPr>
      </w:pPr>
    </w:p>
    <w:p>
      <w:pPr>
        <w:ind w:left="660" w:right="200" w:hanging="314"/>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amount per share by which the offering price per share and the net proceeds per share are less than the most recently determined NAV per share;</w:t>
      </w:r>
    </w:p>
    <w:p>
      <w:pPr>
        <w:spacing w:after="0" w:line="113" w:lineRule="exact"/>
        <w:rPr>
          <w:rFonts w:ascii="Arial" w:cs="Arial" w:eastAsia="Arial" w:hAnsi="Arial"/>
          <w:sz w:val="16"/>
          <w:szCs w:val="16"/>
          <w:color w:val="auto"/>
        </w:rPr>
      </w:pPr>
    </w:p>
    <w:p>
      <w:pPr>
        <w:ind w:left="660" w:right="40" w:hanging="314"/>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50" w:lineRule="exact"/>
        <w:rPr>
          <w:rFonts w:ascii="Arial" w:cs="Arial" w:eastAsia="Arial" w:hAnsi="Arial"/>
          <w:sz w:val="18"/>
          <w:szCs w:val="18"/>
          <w:color w:val="auto"/>
        </w:rPr>
      </w:pPr>
    </w:p>
    <w:p>
      <w:pPr>
        <w:ind w:left="660" w:right="140" w:hanging="314"/>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leverage available to us both before and after the offering and other borrowing terms; and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investment opportunities available relative to the potential dilutive effect of additional capital at the time of the offering.</w:t>
      </w:r>
    </w:p>
    <w:p>
      <w:pPr>
        <w:spacing w:after="0" w:line="171" w:lineRule="exact"/>
        <w:rPr>
          <w:sz w:val="20"/>
          <w:szCs w:val="20"/>
          <w:color w:val="auto"/>
        </w:rPr>
      </w:pPr>
    </w:p>
    <w:p>
      <w:pPr>
        <w:ind w:right="220" w:firstLine="571"/>
        <w:spacing w:after="0" w:line="306" w:lineRule="auto"/>
        <w:rPr>
          <w:sz w:val="20"/>
          <w:szCs w:val="20"/>
          <w:color w:val="auto"/>
        </w:rPr>
      </w:pPr>
      <w:r>
        <w:rPr>
          <w:rFonts w:ascii="Arial" w:cs="Arial" w:eastAsia="Arial" w:hAnsi="Arial"/>
          <w:sz w:val="16"/>
          <w:szCs w:val="16"/>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Floating Rate Capital Ltd. or from the offering of common stock at a premium to NAV per share.</w:t>
      </w:r>
    </w:p>
    <w:p>
      <w:pPr>
        <w:spacing w:after="0" w:line="10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We will not seek to sell shares under a prospectus supplement to the registration statement, or a post-effective amendment to the registration statement,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which this prospectus forms a part (the “current registration statement”) if the cumulative dilution to our NAV per share arising from offerings from the effective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the current registration statement through and including any follow-on offering would exceed 15% based on the anticipated pricing of such follow-on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offering. This limit would be measured separately for each offering pursuant to the current registration statement by calculating the percentage dilution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accretion to aggregate NAV from that offering and then summing the anticipated percentage dilution from each subsequent offering. For example, if our most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recently determined NAV per share at the time of the first offering is $10.00, and we have 100 million shares outstanding, the sale of an additional 25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at net proceeds to us of $5.00 per share (a 50% discount) would produce dilution of 10.0%. If we subsequently determined that our NAV 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to $11.00 on the then outstanding 125 million shares and contemplated an additional offering, we could, for example, propose to sell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31.25 million additional shares at a price that would be expected to yield net proceeds to us of $8.25 per share, resulting in incremental dilution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 before we would reach the aggregate 15% limit. If we file a new post-effective amendment, the threshold would reset.</w:t>
      </w:r>
    </w:p>
    <w:p>
      <w:pPr>
        <w:spacing w:after="0" w:line="165"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1" w:lineRule="exact"/>
        <w:rPr>
          <w:sz w:val="20"/>
          <w:szCs w:val="20"/>
          <w:color w:val="auto"/>
        </w:rPr>
      </w:pPr>
    </w:p>
    <w:p>
      <w:pPr>
        <w:ind w:left="660" w:hanging="314"/>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 and</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right="160" w:firstLine="571"/>
        <w:spacing w:after="0" w:line="290" w:lineRule="auto"/>
        <w:rPr>
          <w:sz w:val="20"/>
          <w:szCs w:val="20"/>
          <w:color w:val="auto"/>
        </w:rPr>
      </w:pPr>
      <w:r>
        <w:rPr>
          <w:rFonts w:ascii="Arial" w:cs="Arial" w:eastAsia="Arial" w:hAnsi="Arial"/>
          <w:sz w:val="16"/>
          <w:szCs w:val="16"/>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18" w:lineRule="exact"/>
        <w:rPr>
          <w:sz w:val="20"/>
          <w:szCs w:val="20"/>
          <w:color w:val="auto"/>
        </w:rPr>
      </w:pPr>
    </w:p>
    <w:p>
      <w:pPr>
        <w:jc w:val="both"/>
        <w:ind w:right="220" w:firstLine="571"/>
        <w:spacing w:after="0" w:line="259"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100" w:firstLine="571"/>
        <w:spacing w:after="0" w:line="254"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380"/>
              <w:spacing w:after="0"/>
              <w:rPr>
                <w:sz w:val="20"/>
                <w:szCs w:val="20"/>
                <w:color w:val="auto"/>
              </w:rPr>
            </w:pPr>
            <w:r>
              <w:rPr>
                <w:rFonts w:ascii="Arial" w:cs="Arial" w:eastAsia="Arial" w:hAnsi="Arial"/>
                <w:sz w:val="14"/>
                <w:szCs w:val="14"/>
                <w:b w:val="1"/>
                <w:bCs w:val="1"/>
                <w:color w:val="auto"/>
                <w:w w:val="86"/>
              </w:rPr>
              <w:t>Example 1</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421"/>
              <w:spacing w:after="0"/>
              <w:rPr>
                <w:sz w:val="20"/>
                <w:szCs w:val="20"/>
                <w:color w:val="auto"/>
              </w:rPr>
            </w:pPr>
            <w:r>
              <w:rPr>
                <w:rFonts w:ascii="Arial" w:cs="Arial" w:eastAsia="Arial" w:hAnsi="Arial"/>
                <w:sz w:val="14"/>
                <w:szCs w:val="14"/>
                <w:b w:val="1"/>
                <w:bCs w:val="1"/>
                <w:color w:val="auto"/>
                <w:w w:val="86"/>
              </w:rPr>
              <w:t>Example 2</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6"/>
              </w:rPr>
              <w:t>Example 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00" w:type="dxa"/>
            <w:vAlign w:val="bottom"/>
          </w:tcPr>
          <w:p>
            <w:pPr>
              <w:spacing w:after="0"/>
              <w:rPr>
                <w:sz w:val="12"/>
                <w:szCs w:val="12"/>
                <w:color w:val="auto"/>
              </w:rPr>
            </w:pPr>
          </w:p>
        </w:tc>
        <w:tc>
          <w:tcPr>
            <w:tcW w:w="1700" w:type="dxa"/>
            <w:vAlign w:val="bottom"/>
            <w:gridSpan w:val="4"/>
          </w:tcPr>
          <w:p>
            <w:pPr>
              <w:jc w:val="center"/>
              <w:ind w:right="17"/>
              <w:spacing w:after="0" w:line="149" w:lineRule="exact"/>
              <w:rPr>
                <w:sz w:val="20"/>
                <w:szCs w:val="20"/>
                <w:color w:val="auto"/>
              </w:rPr>
            </w:pPr>
            <w:r>
              <w:rPr>
                <w:rFonts w:ascii="Arial" w:cs="Arial" w:eastAsia="Arial" w:hAnsi="Arial"/>
                <w:sz w:val="14"/>
                <w:szCs w:val="14"/>
                <w:b w:val="1"/>
                <w:bCs w:val="1"/>
                <w:color w:val="auto"/>
                <w:w w:val="92"/>
              </w:rPr>
              <w:t>10% Offering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25% Offering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Prior to Sale</w:t>
            </w:r>
          </w:p>
        </w:tc>
        <w:tc>
          <w:tcPr>
            <w:tcW w:w="100" w:type="dxa"/>
            <w:vAlign w:val="bottom"/>
          </w:tcPr>
          <w:p>
            <w:pPr>
              <w:spacing w:after="0"/>
              <w:rPr>
                <w:sz w:val="14"/>
                <w:szCs w:val="14"/>
                <w:color w:val="auto"/>
              </w:rPr>
            </w:pPr>
          </w:p>
        </w:tc>
        <w:tc>
          <w:tcPr>
            <w:tcW w:w="18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at 5% Discount</w:t>
            </w:r>
          </w:p>
        </w:tc>
        <w:tc>
          <w:tcPr>
            <w:tcW w:w="100" w:type="dxa"/>
            <w:vAlign w:val="bottom"/>
          </w:tcPr>
          <w:p>
            <w:pPr>
              <w:spacing w:after="0"/>
              <w:rPr>
                <w:sz w:val="14"/>
                <w:szCs w:val="14"/>
                <w:color w:val="auto"/>
              </w:rPr>
            </w:pPr>
          </w:p>
        </w:tc>
        <w:tc>
          <w:tcPr>
            <w:tcW w:w="1700" w:type="dxa"/>
            <w:vAlign w:val="bottom"/>
            <w:gridSpan w:val="4"/>
          </w:tcPr>
          <w:p>
            <w:pPr>
              <w:jc w:val="center"/>
              <w:ind w:right="17"/>
              <w:spacing w:after="0"/>
              <w:rPr>
                <w:sz w:val="20"/>
                <w:szCs w:val="20"/>
                <w:color w:val="auto"/>
              </w:rPr>
            </w:pPr>
            <w:r>
              <w:rPr>
                <w:rFonts w:ascii="Arial" w:cs="Arial" w:eastAsia="Arial" w:hAnsi="Arial"/>
                <w:sz w:val="14"/>
                <w:szCs w:val="14"/>
                <w:b w:val="1"/>
                <w:bCs w:val="1"/>
                <w:color w:val="auto"/>
                <w:w w:val="88"/>
              </w:rPr>
              <w:t>at 10% Discount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85"/>
              </w:rPr>
              <w:t>Following</w:t>
            </w:r>
          </w:p>
        </w:tc>
        <w:tc>
          <w:tcPr>
            <w:tcW w:w="560" w:type="dxa"/>
            <w:vAlign w:val="bottom"/>
            <w:tcBorders>
              <w:top w:val="single" w:sz="8" w:color="auto"/>
            </w:tcBorders>
          </w:tcPr>
          <w:p>
            <w:pPr>
              <w:jc w:val="right"/>
              <w:ind w:right="157"/>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85"/>
              </w:rPr>
              <w:t>Following</w:t>
            </w:r>
          </w:p>
        </w:tc>
        <w:tc>
          <w:tcPr>
            <w:tcW w:w="600" w:type="dxa"/>
            <w:vAlign w:val="bottom"/>
            <w:tcBorders>
              <w:top w:val="single" w:sz="8" w:color="auto"/>
            </w:tcBorders>
          </w:tcPr>
          <w:p>
            <w:pPr>
              <w:jc w:val="right"/>
              <w:ind w:right="177"/>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5"/>
              </w:rPr>
              <w:t>Following</w:t>
            </w:r>
          </w:p>
        </w:tc>
        <w:tc>
          <w:tcPr>
            <w:tcW w:w="720" w:type="dxa"/>
            <w:vAlign w:val="bottom"/>
            <w:tcBorders>
              <w:top w:val="single" w:sz="8" w:color="auto"/>
            </w:tcBorders>
          </w:tcPr>
          <w:p>
            <w:pPr>
              <w:jc w:val="right"/>
              <w:ind w:right="197"/>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Below NAV</w:t>
            </w:r>
          </w:p>
        </w:tc>
        <w:tc>
          <w:tcPr>
            <w:tcW w:w="100" w:type="dxa"/>
            <w:vAlign w:val="bottom"/>
          </w:tcPr>
          <w:p>
            <w:pPr>
              <w:spacing w:after="0"/>
              <w:rPr>
                <w:sz w:val="14"/>
                <w:szCs w:val="1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3"/>
              </w:rPr>
              <w:t>Sale</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3"/>
              </w:rPr>
              <w:t>Sale</w:t>
            </w:r>
          </w:p>
        </w:tc>
        <w:tc>
          <w:tcPr>
            <w:tcW w:w="600" w:type="dxa"/>
            <w:vAlign w:val="bottom"/>
          </w:tcPr>
          <w:p>
            <w:pPr>
              <w:jc w:val="right"/>
              <w:ind w:right="37"/>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Sale</w:t>
            </w: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Offering Price</w:t>
            </w: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00" w:type="dxa"/>
            <w:vAlign w:val="bottom"/>
          </w:tcPr>
          <w:p>
            <w:pPr>
              <w:spacing w:after="0"/>
              <w:rPr>
                <w:sz w:val="19"/>
                <w:szCs w:val="19"/>
                <w:color w:val="auto"/>
              </w:rPr>
            </w:pP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ind w:right="6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41"/>
              <w:spacing w:after="0"/>
              <w:rPr>
                <w:sz w:val="20"/>
                <w:szCs w:val="20"/>
                <w:color w:val="auto"/>
              </w:rPr>
            </w:pPr>
            <w:r>
              <w:rPr>
                <w:rFonts w:ascii="Arial" w:cs="Arial" w:eastAsia="Arial" w:hAnsi="Arial"/>
                <w:sz w:val="18"/>
                <w:szCs w:val="18"/>
                <w:color w:val="auto"/>
              </w:rPr>
              <w:t>9.47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ind w:right="97"/>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41"/>
              <w:spacing w:after="0"/>
              <w:rPr>
                <w:sz w:val="20"/>
                <w:szCs w:val="20"/>
                <w:color w:val="auto"/>
              </w:rPr>
            </w:pPr>
            <w:r>
              <w:rPr>
                <w:rFonts w:ascii="Arial" w:cs="Arial" w:eastAsia="Arial" w:hAnsi="Arial"/>
                <w:sz w:val="18"/>
                <w:szCs w:val="18"/>
                <w:color w:val="auto"/>
              </w:rPr>
              <w:t>7.89</w:t>
            </w:r>
          </w:p>
        </w:tc>
        <w:tc>
          <w:tcPr>
            <w:tcW w:w="200" w:type="dxa"/>
            <w:vAlign w:val="bottom"/>
          </w:tcPr>
          <w:p>
            <w:pPr>
              <w:spacing w:after="0"/>
              <w:rPr>
                <w:sz w:val="19"/>
                <w:szCs w:val="19"/>
                <w:color w:val="auto"/>
              </w:rPr>
            </w:pPr>
          </w:p>
        </w:tc>
        <w:tc>
          <w:tcPr>
            <w:tcW w:w="820" w:type="dxa"/>
            <w:vAlign w:val="bottom"/>
            <w:gridSpan w:val="2"/>
            <w:vMerge w:val="restart"/>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1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9.50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rPr>
              <w:t>9.00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9"/>
                <w:szCs w:val="19"/>
                <w:color w:val="auto"/>
              </w:rPr>
            </w:pPr>
          </w:p>
        </w:tc>
        <w:tc>
          <w:tcPr>
            <w:tcW w:w="820" w:type="dxa"/>
            <w:vAlign w:val="bottom"/>
            <w:gridSpan w:val="2"/>
            <w:vMerge w:val="restart"/>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w w:val="84"/>
              </w:rPr>
              <w:t>1,000,000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84"/>
              </w:rPr>
              <w:t>1,050,000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96"/>
              </w:rPr>
              <w:t>5.00 %</w:t>
            </w: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w w:val="87"/>
              </w:rPr>
              <w:t>1,100,000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10.00 %</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w w:val="87"/>
              </w:rPr>
              <w:t>1,250,000</w:t>
            </w:r>
          </w:p>
        </w:tc>
        <w:tc>
          <w:tcPr>
            <w:tcW w:w="20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25.00 %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NAV per share</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ind w:right="60"/>
              <w:spacing w:after="0"/>
              <w:rPr>
                <w:sz w:val="20"/>
                <w:szCs w:val="20"/>
                <w:color w:val="auto"/>
              </w:rPr>
            </w:pPr>
            <w:r>
              <w:rPr>
                <w:rFonts w:ascii="Arial" w:cs="Arial" w:eastAsia="Arial" w:hAnsi="Arial"/>
                <w:sz w:val="18"/>
                <w:szCs w:val="18"/>
                <w:color w:val="auto"/>
              </w:rPr>
              <w:t>9.98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85"/>
              </w:rPr>
              <w:t>(0.20)%</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41"/>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w w:val="91"/>
              </w:rPr>
              <w:t>(0.90)%</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41"/>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100" w:type="dxa"/>
            <w:vAlign w:val="bottom"/>
          </w:tcPr>
          <w:p>
            <w:pPr>
              <w:spacing w:after="0"/>
              <w:rPr>
                <w:sz w:val="19"/>
                <w:szCs w:val="19"/>
                <w:color w:val="auto"/>
              </w:rPr>
            </w:pP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vMerge w:val="restart"/>
          </w:tcPr>
          <w:p>
            <w:pPr>
              <w:jc w:val="right"/>
              <w:ind w:right="60"/>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vMerge w:val="restart"/>
          </w:tcPr>
          <w:p>
            <w:pPr>
              <w:jc w:val="right"/>
              <w:ind w:right="41"/>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ind w:right="9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restart"/>
          </w:tcPr>
          <w:p>
            <w:pPr>
              <w:jc w:val="right"/>
              <w:ind w:right="41"/>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820" w:type="dxa"/>
            <w:vAlign w:val="bottom"/>
            <w:gridSpan w:val="2"/>
            <w:vMerge w:val="restart"/>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1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85"/>
              </w:rPr>
              <w:t>(5.00)%</w:t>
            </w:r>
          </w:p>
        </w:tc>
        <w:tc>
          <w:tcPr>
            <w:tcW w:w="1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0.91%</w:t>
            </w: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(9.00)%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0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NAV held by stockholder A</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99,800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85"/>
              </w:rPr>
              <w:t>(0.20)%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rPr>
              <w:t>99,100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(0.90)%</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rPr>
              <w:t>95,000</w:t>
            </w:r>
          </w:p>
        </w:tc>
        <w:tc>
          <w:tcPr>
            <w:tcW w:w="20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580"/>
              <w:spacing w:after="0"/>
              <w:rPr>
                <w:sz w:val="20"/>
                <w:szCs w:val="20"/>
                <w:color w:val="auto"/>
              </w:rPr>
            </w:pPr>
            <w:r>
              <w:rPr>
                <w:rFonts w:ascii="Arial" w:cs="Arial" w:eastAsia="Arial" w:hAnsi="Arial"/>
                <w:sz w:val="18"/>
                <w:szCs w:val="18"/>
                <w:color w:val="auto"/>
                <w:w w:val="79"/>
              </w:rPr>
              <w:t>50</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40"/>
        <w:spacing w:after="0" w:line="268" w:lineRule="auto"/>
        <w:rPr>
          <w:sz w:val="20"/>
          <w:szCs w:val="20"/>
          <w:color w:val="auto"/>
        </w:rPr>
      </w:pPr>
      <w:r>
        <w:rPr>
          <w:rFonts w:ascii="Arial" w:cs="Arial" w:eastAsia="Arial" w:hAnsi="Arial"/>
          <w:sz w:val="18"/>
          <w:szCs w:val="18"/>
          <w:color w:val="auto"/>
        </w:rPr>
        <w:t>Total investment by stockholder A (assumed to be $10.00 per share)</w:t>
      </w:r>
    </w:p>
    <w:p>
      <w:pPr>
        <w:spacing w:after="0" w:line="37" w:lineRule="exact"/>
        <w:rPr>
          <w:sz w:val="20"/>
          <w:szCs w:val="20"/>
          <w:color w:val="auto"/>
        </w:rPr>
      </w:pPr>
    </w:p>
    <w:p>
      <w:pPr>
        <w:ind w:left="440" w:right="420"/>
        <w:spacing w:after="0" w:line="268" w:lineRule="auto"/>
        <w:rPr>
          <w:sz w:val="20"/>
          <w:szCs w:val="20"/>
          <w:color w:val="auto"/>
        </w:rPr>
      </w:pPr>
      <w:r>
        <w:rPr>
          <w:rFonts w:ascii="Arial" w:cs="Arial" w:eastAsia="Arial" w:hAnsi="Arial"/>
          <w:sz w:val="18"/>
          <w:szCs w:val="18"/>
          <w:color w:val="auto"/>
        </w:rPr>
        <w:t>Total dilution to stockholder A (total NAV less total investment)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Amounts</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left="367"/>
              <w:spacing w:after="0"/>
              <w:rPr>
                <w:sz w:val="20"/>
                <w:szCs w:val="20"/>
                <w:color w:val="auto"/>
              </w:rPr>
            </w:pPr>
            <w:r>
              <w:rPr>
                <w:rFonts w:ascii="Arial" w:cs="Arial" w:eastAsia="Arial" w:hAnsi="Arial"/>
                <w:sz w:val="14"/>
                <w:szCs w:val="14"/>
                <w:b w:val="1"/>
                <w:bCs w:val="1"/>
                <w:color w:val="auto"/>
                <w:w w:val="86"/>
              </w:rPr>
              <w:t>Example 1</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left="347"/>
              <w:spacing w:after="0"/>
              <w:rPr>
                <w:sz w:val="20"/>
                <w:szCs w:val="20"/>
                <w:color w:val="auto"/>
              </w:rPr>
            </w:pPr>
            <w:r>
              <w:rPr>
                <w:rFonts w:ascii="Arial" w:cs="Arial" w:eastAsia="Arial" w:hAnsi="Arial"/>
                <w:sz w:val="14"/>
                <w:szCs w:val="14"/>
                <w:b w:val="1"/>
                <w:bCs w:val="1"/>
                <w:color w:val="auto"/>
                <w:w w:val="89"/>
              </w:rPr>
              <w:t>Example 2</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center"/>
              <w:ind w:left="347"/>
              <w:spacing w:after="0"/>
              <w:rPr>
                <w:sz w:val="20"/>
                <w:szCs w:val="20"/>
                <w:color w:val="auto"/>
              </w:rPr>
            </w:pPr>
            <w:r>
              <w:rPr>
                <w:rFonts w:ascii="Arial" w:cs="Arial" w:eastAsia="Arial" w:hAnsi="Arial"/>
                <w:sz w:val="14"/>
                <w:szCs w:val="14"/>
                <w:b w:val="1"/>
                <w:bCs w:val="1"/>
                <w:color w:val="auto"/>
                <w:w w:val="86"/>
              </w:rPr>
              <w:t>Example 3</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20" w:type="dxa"/>
            <w:vAlign w:val="bottom"/>
          </w:tcPr>
          <w:p>
            <w:pPr>
              <w:spacing w:after="0"/>
              <w:rPr>
                <w:sz w:val="12"/>
                <w:szCs w:val="12"/>
                <w:color w:val="auto"/>
              </w:rPr>
            </w:pPr>
          </w:p>
        </w:tc>
        <w:tc>
          <w:tcPr>
            <w:tcW w:w="1580" w:type="dxa"/>
            <w:vAlign w:val="bottom"/>
            <w:gridSpan w:val="4"/>
          </w:tcPr>
          <w:p>
            <w:pPr>
              <w:jc w:val="center"/>
              <w:ind w:right="22"/>
              <w:spacing w:after="0" w:line="149" w:lineRule="exact"/>
              <w:rPr>
                <w:sz w:val="20"/>
                <w:szCs w:val="20"/>
                <w:color w:val="auto"/>
              </w:rPr>
            </w:pPr>
            <w:r>
              <w:rPr>
                <w:rFonts w:ascii="Arial" w:cs="Arial" w:eastAsia="Arial" w:hAnsi="Arial"/>
                <w:sz w:val="14"/>
                <w:szCs w:val="14"/>
                <w:b w:val="1"/>
                <w:bCs w:val="1"/>
                <w:color w:val="auto"/>
                <w:w w:val="92"/>
              </w:rPr>
              <w:t>10% Offering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4"/>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25% Offering</w:t>
            </w:r>
          </w:p>
        </w:tc>
        <w:tc>
          <w:tcPr>
            <w:tcW w:w="0" w:type="dxa"/>
            <w:vAlign w:val="bottom"/>
          </w:tcPr>
          <w:p>
            <w:pPr>
              <w:spacing w:after="0"/>
              <w:rPr>
                <w:sz w:val="1"/>
                <w:szCs w:val="1"/>
                <w:color w:val="auto"/>
              </w:rPr>
            </w:pPr>
          </w:p>
        </w:tc>
      </w:tr>
      <w:tr>
        <w:trPr>
          <w:trHeight w:val="161"/>
        </w:trPr>
        <w:tc>
          <w:tcPr>
            <w:tcW w:w="8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w w:val="94"/>
              </w:rPr>
              <w:t>Prior to Sale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at 5% Discount</w:t>
            </w:r>
          </w:p>
        </w:tc>
        <w:tc>
          <w:tcPr>
            <w:tcW w:w="120" w:type="dxa"/>
            <w:vAlign w:val="bottom"/>
          </w:tcPr>
          <w:p>
            <w:pPr>
              <w:spacing w:after="0"/>
              <w:rPr>
                <w:sz w:val="14"/>
                <w:szCs w:val="14"/>
                <w:color w:val="auto"/>
              </w:rPr>
            </w:pPr>
          </w:p>
        </w:tc>
        <w:tc>
          <w:tcPr>
            <w:tcW w:w="1580" w:type="dxa"/>
            <w:vAlign w:val="bottom"/>
            <w:gridSpan w:val="4"/>
          </w:tcPr>
          <w:p>
            <w:pPr>
              <w:jc w:val="center"/>
              <w:ind w:right="22"/>
              <w:spacing w:after="0"/>
              <w:rPr>
                <w:sz w:val="20"/>
                <w:szCs w:val="20"/>
                <w:color w:val="auto"/>
              </w:rPr>
            </w:pPr>
            <w:r>
              <w:rPr>
                <w:rFonts w:ascii="Arial" w:cs="Arial" w:eastAsia="Arial" w:hAnsi="Arial"/>
                <w:sz w:val="14"/>
                <w:szCs w:val="14"/>
                <w:b w:val="1"/>
                <w:bCs w:val="1"/>
                <w:color w:val="auto"/>
                <w:w w:val="88"/>
              </w:rPr>
              <w:t>at 10% Discount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center"/>
              <w:ind w:right="42"/>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8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Following</w:t>
            </w:r>
          </w:p>
        </w:tc>
        <w:tc>
          <w:tcPr>
            <w:tcW w:w="540" w:type="dxa"/>
            <w:vAlign w:val="bottom"/>
            <w:tcBorders>
              <w:top w:val="single" w:sz="8" w:color="auto"/>
            </w:tcBorders>
          </w:tcPr>
          <w:p>
            <w:pPr>
              <w:jc w:val="right"/>
              <w:ind w:right="162"/>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8"/>
              </w:rPr>
              <w:t>Following</w:t>
            </w:r>
          </w:p>
        </w:tc>
        <w:tc>
          <w:tcPr>
            <w:tcW w:w="540" w:type="dxa"/>
            <w:vAlign w:val="bottom"/>
            <w:tcBorders>
              <w:top w:val="single" w:sz="8" w:color="auto"/>
            </w:tcBorders>
          </w:tcPr>
          <w:p>
            <w:pPr>
              <w:jc w:val="right"/>
              <w:ind w:right="182"/>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Following</w:t>
            </w:r>
          </w:p>
        </w:tc>
        <w:tc>
          <w:tcPr>
            <w:tcW w:w="540" w:type="dxa"/>
            <w:vAlign w:val="bottom"/>
            <w:tcBorders>
              <w:top w:val="single" w:sz="8" w:color="auto"/>
            </w:tcBorders>
          </w:tcPr>
          <w:p>
            <w:pPr>
              <w:jc w:val="right"/>
              <w:ind w:right="162"/>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Below NAV</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3"/>
              </w:rPr>
              <w:t>Sale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3"/>
              </w:rPr>
              <w:t>Sale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3"/>
              </w:rPr>
              <w:t>Sale</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478"/>
        </w:trPr>
        <w:tc>
          <w:tcPr>
            <w:tcW w:w="880" w:type="dxa"/>
            <w:vAlign w:val="bottom"/>
          </w:tcPr>
          <w:p>
            <w:pPr>
              <w:jc w:val="right"/>
              <w:ind w:right="62"/>
              <w:spacing w:after="0"/>
              <w:rPr>
                <w:sz w:val="20"/>
                <w:szCs w:val="20"/>
                <w:color w:val="auto"/>
              </w:rPr>
            </w:pPr>
            <w:r>
              <w:rPr>
                <w:rFonts w:ascii="Arial" w:cs="Arial" w:eastAsia="Arial" w:hAnsi="Arial"/>
                <w:sz w:val="18"/>
                <w:szCs w:val="18"/>
                <w:color w:val="auto"/>
                <w:w w:val="89"/>
              </w:rPr>
              <w:t>$ 100,000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center"/>
              <w:ind w:right="7"/>
              <w:spacing w:after="0"/>
              <w:rPr>
                <w:sz w:val="20"/>
                <w:szCs w:val="20"/>
                <w:color w:val="auto"/>
              </w:rPr>
            </w:pPr>
            <w:r>
              <w:rPr>
                <w:rFonts w:ascii="Arial" w:cs="Arial" w:eastAsia="Arial" w:hAnsi="Arial"/>
                <w:sz w:val="18"/>
                <w:szCs w:val="18"/>
                <w:color w:val="auto"/>
                <w:w w:val="89"/>
              </w:rPr>
              <w:t>100,000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center"/>
              <w:ind w:right="27"/>
              <w:spacing w:after="0"/>
              <w:rPr>
                <w:sz w:val="20"/>
                <w:szCs w:val="20"/>
                <w:color w:val="auto"/>
              </w:rPr>
            </w:pPr>
            <w:r>
              <w:rPr>
                <w:rFonts w:ascii="Arial" w:cs="Arial" w:eastAsia="Arial" w:hAnsi="Arial"/>
                <w:sz w:val="18"/>
                <w:szCs w:val="18"/>
                <w:color w:val="auto"/>
                <w:w w:val="86"/>
              </w:rPr>
              <w:t>100,000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center"/>
              <w:ind w:right="27"/>
              <w:spacing w:after="0"/>
              <w:rPr>
                <w:sz w:val="20"/>
                <w:szCs w:val="20"/>
                <w:color w:val="auto"/>
              </w:rPr>
            </w:pPr>
            <w:r>
              <w:rPr>
                <w:rFonts w:ascii="Arial" w:cs="Arial" w:eastAsia="Arial" w:hAnsi="Arial"/>
                <w:sz w:val="18"/>
                <w:szCs w:val="18"/>
                <w:color w:val="auto"/>
                <w:w w:val="89"/>
              </w:rPr>
              <w:t>100,000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880" w:type="dxa"/>
            <w:vAlign w:val="bottom"/>
          </w:tcPr>
          <w:p>
            <w:pPr>
              <w:jc w:val="right"/>
              <w:ind w:right="62"/>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27"/>
              <w:spacing w:after="0"/>
              <w:rPr>
                <w:sz w:val="20"/>
                <w:szCs w:val="20"/>
                <w:color w:val="auto"/>
              </w:rPr>
            </w:pPr>
            <w:r>
              <w:rPr>
                <w:rFonts w:ascii="Arial" w:cs="Arial" w:eastAsia="Arial" w:hAnsi="Arial"/>
                <w:sz w:val="18"/>
                <w:szCs w:val="18"/>
                <w:color w:val="auto"/>
              </w:rPr>
              <w:t>(900)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-632460</wp:posOffset>
            </wp:positionV>
            <wp:extent cx="7246620" cy="3175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1270</wp:posOffset>
            </wp:positionV>
            <wp:extent cx="7246620" cy="1803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77" w:lineRule="exact"/>
        <w:rPr>
          <w:sz w:val="20"/>
          <w:szCs w:val="20"/>
          <w:color w:val="auto"/>
        </w:rPr>
      </w:pPr>
    </w:p>
    <w:p>
      <w:pPr>
        <w:sectPr>
          <w:pgSz w:w="11900" w:h="16838" w:orient="portrait"/>
          <w:cols w:equalWidth="0" w:num="2">
            <w:col w:w="4500" w:space="280"/>
            <w:col w:w="66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4700" w:type="dxa"/>
            <w:vAlign w:val="bottom"/>
          </w:tcPr>
          <w:p>
            <w:pPr>
              <w:ind w:left="440"/>
              <w:spacing w:after="0"/>
              <w:rPr>
                <w:sz w:val="20"/>
                <w:szCs w:val="20"/>
                <w:color w:val="auto"/>
              </w:rPr>
            </w:pPr>
            <w:r>
              <w:rPr>
                <w:rFonts w:ascii="Arial" w:cs="Arial" w:eastAsia="Arial" w:hAnsi="Arial"/>
                <w:sz w:val="18"/>
                <w:szCs w:val="18"/>
                <w:color w:val="auto"/>
              </w:rPr>
              <w:t>NAV per share held by stockholder A</w:t>
            </w:r>
          </w:p>
        </w:tc>
        <w:tc>
          <w:tcPr>
            <w:tcW w:w="98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132"/>
              <w:spacing w:after="0"/>
              <w:rPr>
                <w:sz w:val="20"/>
                <w:szCs w:val="20"/>
                <w:color w:val="auto"/>
              </w:rPr>
            </w:pPr>
            <w:r>
              <w:rPr>
                <w:rFonts w:ascii="Arial" w:cs="Arial" w:eastAsia="Arial" w:hAnsi="Arial"/>
                <w:sz w:val="18"/>
                <w:szCs w:val="18"/>
                <w:color w:val="auto"/>
              </w:rPr>
              <w:t>9.98</w:t>
            </w:r>
          </w:p>
        </w:tc>
        <w:tc>
          <w:tcPr>
            <w:tcW w:w="840" w:type="dxa"/>
            <w:vAlign w:val="bottom"/>
            <w:vMerge w:val="restart"/>
          </w:tcPr>
          <w:p>
            <w:pPr>
              <w:jc w:val="center"/>
              <w:ind w:left="32"/>
              <w:spacing w:after="0"/>
              <w:rPr>
                <w:sz w:val="20"/>
                <w:szCs w:val="20"/>
                <w:color w:val="auto"/>
              </w:rPr>
            </w:pPr>
            <w:r>
              <w:rPr>
                <w:rFonts w:ascii="Arial" w:cs="Arial" w:eastAsia="Arial" w:hAnsi="Arial"/>
                <w:sz w:val="18"/>
                <w:szCs w:val="18"/>
                <w:color w:val="auto"/>
                <w:w w:val="88"/>
              </w:rPr>
              <w:t>—</w:t>
            </w:r>
          </w:p>
        </w:tc>
        <w:tc>
          <w:tcPr>
            <w:tcW w:w="32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ind w:right="132"/>
              <w:spacing w:after="0"/>
              <w:rPr>
                <w:sz w:val="20"/>
                <w:szCs w:val="20"/>
                <w:color w:val="auto"/>
              </w:rPr>
            </w:pPr>
            <w:r>
              <w:rPr>
                <w:rFonts w:ascii="Arial" w:cs="Arial" w:eastAsia="Arial" w:hAnsi="Arial"/>
                <w:sz w:val="18"/>
                <w:szCs w:val="18"/>
                <w:color w:val="auto"/>
              </w:rPr>
              <w:t>9.91</w:t>
            </w:r>
          </w:p>
        </w:tc>
        <w:tc>
          <w:tcPr>
            <w:tcW w:w="860" w:type="dxa"/>
            <w:vAlign w:val="bottom"/>
            <w:vMerge w:val="restart"/>
          </w:tcPr>
          <w:p>
            <w:pPr>
              <w:jc w:val="center"/>
              <w:ind w:left="32"/>
              <w:spacing w:after="0"/>
              <w:rPr>
                <w:sz w:val="20"/>
                <w:szCs w:val="20"/>
                <w:color w:val="auto"/>
              </w:rPr>
            </w:pPr>
            <w:r>
              <w:rPr>
                <w:rFonts w:ascii="Arial" w:cs="Arial" w:eastAsia="Arial" w:hAnsi="Arial"/>
                <w:sz w:val="18"/>
                <w:szCs w:val="18"/>
                <w:color w:val="auto"/>
                <w:w w:val="99"/>
              </w:rPr>
              <w:t>—</w:t>
            </w:r>
          </w:p>
        </w:tc>
        <w:tc>
          <w:tcPr>
            <w:tcW w:w="30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132"/>
              <w:spacing w:after="0"/>
              <w:rPr>
                <w:sz w:val="20"/>
                <w:szCs w:val="20"/>
                <w:color w:val="auto"/>
              </w:rPr>
            </w:pPr>
            <w:r>
              <w:rPr>
                <w:rFonts w:ascii="Arial" w:cs="Arial" w:eastAsia="Arial" w:hAnsi="Arial"/>
                <w:sz w:val="18"/>
                <w:szCs w:val="18"/>
                <w:color w:val="auto"/>
              </w:rPr>
              <w:t>9.50</w:t>
            </w:r>
          </w:p>
        </w:tc>
        <w:tc>
          <w:tcPr>
            <w:tcW w:w="840" w:type="dxa"/>
            <w:vAlign w:val="bottom"/>
            <w:vMerge w:val="restart"/>
          </w:tcPr>
          <w:p>
            <w:pPr>
              <w:jc w:val="center"/>
              <w:ind w:left="32"/>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69"/>
        </w:trPr>
        <w:tc>
          <w:tcPr>
            <w:tcW w:w="47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9"/>
              </w:rPr>
              <w:t>Investment per share held by stockholder A (assumed to be</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$10.00 per share on shares held prior to sale)</w:t>
            </w:r>
          </w:p>
        </w:tc>
        <w:tc>
          <w:tcPr>
            <w:tcW w:w="9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   10.00</w:t>
            </w:r>
          </w:p>
        </w:tc>
        <w:tc>
          <w:tcPr>
            <w:tcW w:w="3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10.00</w:t>
            </w:r>
          </w:p>
        </w:tc>
        <w:tc>
          <w:tcPr>
            <w:tcW w:w="840" w:type="dxa"/>
            <w:vAlign w:val="bottom"/>
            <w:vMerge w:val="restart"/>
            <w:shd w:val="clear" w:color="auto" w:fill="CCEEFF"/>
          </w:tcPr>
          <w:p>
            <w:pPr>
              <w:jc w:val="center"/>
              <w:ind w:left="32"/>
              <w:spacing w:after="0"/>
              <w:rPr>
                <w:sz w:val="20"/>
                <w:szCs w:val="20"/>
                <w:color w:val="auto"/>
              </w:rPr>
            </w:pPr>
            <w:r>
              <w:rPr>
                <w:rFonts w:ascii="Arial" w:cs="Arial" w:eastAsia="Arial" w:hAnsi="Arial"/>
                <w:sz w:val="18"/>
                <w:szCs w:val="18"/>
                <w:color w:val="auto"/>
                <w:w w:val="88"/>
              </w:rPr>
              <w:t>—</w:t>
            </w:r>
          </w:p>
        </w:tc>
        <w:tc>
          <w:tcPr>
            <w:tcW w:w="3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10.00</w:t>
            </w:r>
          </w:p>
        </w:tc>
        <w:tc>
          <w:tcPr>
            <w:tcW w:w="860" w:type="dxa"/>
            <w:vAlign w:val="bottom"/>
            <w:vMerge w:val="restart"/>
            <w:shd w:val="clear" w:color="auto" w:fill="CCEEFF"/>
          </w:tcPr>
          <w:p>
            <w:pPr>
              <w:jc w:val="center"/>
              <w:ind w:left="32"/>
              <w:spacing w:after="0"/>
              <w:rPr>
                <w:sz w:val="20"/>
                <w:szCs w:val="20"/>
                <w:color w:val="auto"/>
              </w:rPr>
            </w:pPr>
            <w:r>
              <w:rPr>
                <w:rFonts w:ascii="Arial" w:cs="Arial" w:eastAsia="Arial" w:hAnsi="Arial"/>
                <w:sz w:val="18"/>
                <w:szCs w:val="18"/>
                <w:color w:val="auto"/>
                <w:w w:val="99"/>
              </w:rPr>
              <w:t>—</w:t>
            </w:r>
          </w:p>
        </w:tc>
        <w:tc>
          <w:tcPr>
            <w:tcW w:w="3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10.00</w:t>
            </w:r>
          </w:p>
        </w:tc>
        <w:tc>
          <w:tcPr>
            <w:tcW w:w="840" w:type="dxa"/>
            <w:vAlign w:val="bottom"/>
            <w:vMerge w:val="restart"/>
            <w:shd w:val="clear" w:color="auto" w:fill="CCEEFF"/>
          </w:tcPr>
          <w:p>
            <w:pPr>
              <w:jc w:val="center"/>
              <w:ind w:left="32"/>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70"/>
        </w:trPr>
        <w:tc>
          <w:tcPr>
            <w:tcW w:w="47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440"/>
              <w:spacing w:after="0"/>
              <w:rPr>
                <w:sz w:val="20"/>
                <w:szCs w:val="20"/>
                <w:color w:val="auto"/>
              </w:rPr>
            </w:pPr>
            <w:r>
              <w:rPr>
                <w:rFonts w:ascii="Arial" w:cs="Arial" w:eastAsia="Arial" w:hAnsi="Arial"/>
                <w:sz w:val="18"/>
                <w:szCs w:val="18"/>
                <w:color w:val="auto"/>
                <w:w w:val="94"/>
              </w:rPr>
              <w:t>Dilution per share held by stockholder A (NAV per share</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tcPr>
          <w:p>
            <w:pPr>
              <w:ind w:left="440"/>
              <w:spacing w:after="0"/>
              <w:rPr>
                <w:sz w:val="20"/>
                <w:szCs w:val="20"/>
                <w:color w:val="auto"/>
              </w:rPr>
            </w:pPr>
            <w:r>
              <w:rPr>
                <w:rFonts w:ascii="Arial" w:cs="Arial" w:eastAsia="Arial" w:hAnsi="Arial"/>
                <w:sz w:val="18"/>
                <w:szCs w:val="18"/>
                <w:color w:val="auto"/>
              </w:rPr>
              <w:t>less investment per share)</w:t>
            </w:r>
          </w:p>
        </w:tc>
        <w:tc>
          <w:tcPr>
            <w:tcW w:w="98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92"/>
              <w:spacing w:after="0"/>
              <w:rPr>
                <w:sz w:val="20"/>
                <w:szCs w:val="20"/>
                <w:color w:val="auto"/>
              </w:rPr>
            </w:pPr>
            <w:r>
              <w:rPr>
                <w:rFonts w:ascii="Arial" w:cs="Arial" w:eastAsia="Arial" w:hAnsi="Arial"/>
                <w:sz w:val="18"/>
                <w:szCs w:val="18"/>
                <w:color w:val="auto"/>
              </w:rPr>
              <w:t>(0.02)</w:t>
            </w:r>
          </w:p>
        </w:tc>
        <w:tc>
          <w:tcPr>
            <w:tcW w:w="840" w:type="dxa"/>
            <w:vAlign w:val="bottom"/>
            <w:vMerge w:val="restart"/>
          </w:tcPr>
          <w:p>
            <w:pPr>
              <w:jc w:val="center"/>
              <w:ind w:left="32"/>
              <w:spacing w:after="0"/>
              <w:rPr>
                <w:sz w:val="20"/>
                <w:szCs w:val="20"/>
                <w:color w:val="auto"/>
              </w:rPr>
            </w:pPr>
            <w:r>
              <w:rPr>
                <w:rFonts w:ascii="Arial" w:cs="Arial" w:eastAsia="Arial" w:hAnsi="Arial"/>
                <w:sz w:val="18"/>
                <w:szCs w:val="18"/>
                <w:color w:val="auto"/>
                <w:w w:val="88"/>
              </w:rPr>
              <w:t>—</w:t>
            </w:r>
          </w:p>
        </w:tc>
        <w:tc>
          <w:tcPr>
            <w:tcW w:w="32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ind w:right="92"/>
              <w:spacing w:after="0"/>
              <w:rPr>
                <w:sz w:val="20"/>
                <w:szCs w:val="20"/>
                <w:color w:val="auto"/>
              </w:rPr>
            </w:pPr>
            <w:r>
              <w:rPr>
                <w:rFonts w:ascii="Arial" w:cs="Arial" w:eastAsia="Arial" w:hAnsi="Arial"/>
                <w:sz w:val="18"/>
                <w:szCs w:val="18"/>
                <w:color w:val="auto"/>
              </w:rPr>
              <w:t>(0.09)</w:t>
            </w:r>
          </w:p>
        </w:tc>
        <w:tc>
          <w:tcPr>
            <w:tcW w:w="860" w:type="dxa"/>
            <w:vAlign w:val="bottom"/>
            <w:vMerge w:val="restart"/>
          </w:tcPr>
          <w:p>
            <w:pPr>
              <w:jc w:val="center"/>
              <w:ind w:left="32"/>
              <w:spacing w:after="0"/>
              <w:rPr>
                <w:sz w:val="20"/>
                <w:szCs w:val="20"/>
                <w:color w:val="auto"/>
              </w:rPr>
            </w:pPr>
            <w:r>
              <w:rPr>
                <w:rFonts w:ascii="Arial" w:cs="Arial" w:eastAsia="Arial" w:hAnsi="Arial"/>
                <w:sz w:val="18"/>
                <w:szCs w:val="18"/>
                <w:color w:val="auto"/>
                <w:w w:val="99"/>
              </w:rPr>
              <w:t>—</w:t>
            </w:r>
          </w:p>
        </w:tc>
        <w:tc>
          <w:tcPr>
            <w:tcW w:w="30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92"/>
              <w:spacing w:after="0"/>
              <w:rPr>
                <w:sz w:val="20"/>
                <w:szCs w:val="20"/>
                <w:color w:val="auto"/>
              </w:rPr>
            </w:pPr>
            <w:r>
              <w:rPr>
                <w:rFonts w:ascii="Arial" w:cs="Arial" w:eastAsia="Arial" w:hAnsi="Arial"/>
                <w:sz w:val="18"/>
                <w:szCs w:val="18"/>
                <w:color w:val="auto"/>
              </w:rPr>
              <w:t>(0.50)</w:t>
            </w:r>
          </w:p>
        </w:tc>
        <w:tc>
          <w:tcPr>
            <w:tcW w:w="840" w:type="dxa"/>
            <w:vAlign w:val="bottom"/>
            <w:vMerge w:val="restart"/>
          </w:tcPr>
          <w:p>
            <w:pPr>
              <w:jc w:val="center"/>
              <w:ind w:left="32"/>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69"/>
        </w:trPr>
        <w:tc>
          <w:tcPr>
            <w:tcW w:w="47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Percentage dilution to stockholder A (dilution per share</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divided by investment per share)</w:t>
            </w:r>
          </w:p>
        </w:tc>
        <w:tc>
          <w:tcPr>
            <w:tcW w:w="9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(0.20)%</w:t>
            </w:r>
          </w:p>
        </w:tc>
        <w:tc>
          <w:tcPr>
            <w:tcW w:w="32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(0.90)%</w:t>
            </w:r>
          </w:p>
        </w:tc>
        <w:tc>
          <w:tcPr>
            <w:tcW w:w="30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(5.00)%</w:t>
            </w:r>
          </w:p>
        </w:tc>
        <w:tc>
          <w:tcPr>
            <w:tcW w:w="0" w:type="dxa"/>
            <w:vAlign w:val="bottom"/>
          </w:tcPr>
          <w:p>
            <w:pPr>
              <w:spacing w:after="0"/>
              <w:rPr>
                <w:sz w:val="1"/>
                <w:szCs w:val="1"/>
                <w:color w:val="auto"/>
              </w:rPr>
            </w:pPr>
          </w:p>
        </w:tc>
      </w:tr>
      <w:tr>
        <w:trPr>
          <w:trHeight w:val="70"/>
        </w:trPr>
        <w:tc>
          <w:tcPr>
            <w:tcW w:w="47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60" w:firstLine="571"/>
        <w:spacing w:after="0" w:line="286"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24" w:lineRule="exact"/>
        <w:rPr>
          <w:sz w:val="20"/>
          <w:szCs w:val="20"/>
          <w:color w:val="auto"/>
        </w:rPr>
      </w:pPr>
    </w:p>
    <w:p>
      <w:pPr>
        <w:ind w:right="100" w:firstLine="571"/>
        <w:spacing w:after="0" w:line="283" w:lineRule="auto"/>
        <w:rPr>
          <w:sz w:val="20"/>
          <w:szCs w:val="20"/>
          <w:color w:val="auto"/>
        </w:rPr>
      </w:pPr>
      <w:r>
        <w:rPr>
          <w:rFonts w:ascii="Arial" w:cs="Arial" w:eastAsia="Arial" w:hAnsi="Arial"/>
          <w:sz w:val="16"/>
          <w:szCs w:val="16"/>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w:t>
      </w:r>
    </w:p>
    <w:p>
      <w:pPr>
        <w:spacing w:after="0" w:line="3" w:lineRule="exact"/>
        <w:rPr>
          <w:sz w:val="20"/>
          <w:szCs w:val="20"/>
          <w:color w:val="auto"/>
        </w:rPr>
      </w:pPr>
    </w:p>
    <w:p>
      <w:pPr>
        <w:ind w:right="380" w:firstLine="8"/>
        <w:spacing w:after="0" w:line="261" w:lineRule="auto"/>
        <w:tabs>
          <w:tab w:leader="none" w:pos="2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150% of their proportionate share of the offering (i.e. 3,750 shares which is 1.50% of the offering of 250,000 shares rather than their 1.00% proportionate share).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Prior to Sale</w:t>
            </w:r>
          </w:p>
        </w:tc>
        <w:tc>
          <w:tcPr>
            <w:tcW w:w="120" w:type="dxa"/>
            <w:vAlign w:val="bottom"/>
          </w:tcPr>
          <w:p>
            <w:pPr>
              <w:spacing w:after="0"/>
              <w:rPr>
                <w:sz w:val="14"/>
                <w:szCs w:val="14"/>
                <w:color w:val="auto"/>
              </w:rPr>
            </w:pPr>
          </w:p>
        </w:tc>
        <w:tc>
          <w:tcPr>
            <w:tcW w:w="1680" w:type="dxa"/>
            <w:vAlign w:val="bottom"/>
            <w:gridSpan w:val="3"/>
          </w:tcPr>
          <w:p>
            <w:pPr>
              <w:ind w:left="260"/>
              <w:spacing w:after="0"/>
              <w:rPr>
                <w:sz w:val="20"/>
                <w:szCs w:val="20"/>
                <w:color w:val="auto"/>
              </w:rPr>
            </w:pPr>
            <w:r>
              <w:rPr>
                <w:rFonts w:ascii="Arial" w:cs="Arial" w:eastAsia="Arial" w:hAnsi="Arial"/>
                <w:sz w:val="14"/>
                <w:szCs w:val="14"/>
                <w:b w:val="1"/>
                <w:bCs w:val="1"/>
                <w:color w:val="auto"/>
              </w:rPr>
              <w:t>50% Participation</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tcPr>
          <w:p>
            <w:pPr>
              <w:ind w:left="2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39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Below NAV</w:t>
            </w:r>
          </w:p>
        </w:tc>
        <w:tc>
          <w:tcPr>
            <w:tcW w:w="12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Sale</w:t>
            </w:r>
          </w:p>
        </w:tc>
        <w:tc>
          <w:tcPr>
            <w:tcW w:w="580" w:type="dxa"/>
            <w:vAlign w:val="bottom"/>
          </w:tcPr>
          <w:p>
            <w:pPr>
              <w:ind w:left="80"/>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Sale</w:t>
            </w: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Offering Price</w:t>
            </w:r>
          </w:p>
        </w:tc>
        <w:tc>
          <w:tcPr>
            <w:tcW w:w="2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4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200" w:type="dxa"/>
            <w:vAlign w:val="bottom"/>
          </w:tcPr>
          <w:p>
            <w:pPr>
              <w:spacing w:after="0"/>
              <w:rPr>
                <w:sz w:val="19"/>
                <w:szCs w:val="19"/>
                <w:color w:val="auto"/>
              </w:rPr>
            </w:pPr>
          </w:p>
        </w:tc>
        <w:tc>
          <w:tcPr>
            <w:tcW w:w="12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64"/>
              <w:spacing w:after="0"/>
              <w:rPr>
                <w:sz w:val="20"/>
                <w:szCs w:val="20"/>
                <w:color w:val="auto"/>
              </w:rPr>
            </w:pPr>
            <w:r>
              <w:rPr>
                <w:rFonts w:ascii="Arial" w:cs="Arial" w:eastAsia="Arial" w:hAnsi="Arial"/>
                <w:sz w:val="18"/>
                <w:szCs w:val="18"/>
                <w:color w:val="auto"/>
              </w:rPr>
              <w:t>7.89</w:t>
            </w:r>
          </w:p>
        </w:tc>
        <w:tc>
          <w:tcPr>
            <w:tcW w:w="360" w:type="dxa"/>
            <w:vAlign w:val="bottom"/>
          </w:tcPr>
          <w:p>
            <w:pPr>
              <w:spacing w:after="0"/>
              <w:rPr>
                <w:sz w:val="19"/>
                <w:szCs w:val="19"/>
                <w:color w:val="auto"/>
              </w:rPr>
            </w:pPr>
          </w:p>
        </w:tc>
        <w:tc>
          <w:tcPr>
            <w:tcW w:w="580" w:type="dxa"/>
            <w:vAlign w:val="bottom"/>
          </w:tcPr>
          <w:p>
            <w:pPr>
              <w:ind w:left="2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64"/>
              <w:spacing w:after="0"/>
              <w:rPr>
                <w:sz w:val="20"/>
                <w:szCs w:val="20"/>
                <w:color w:val="auto"/>
              </w:rPr>
            </w:pPr>
            <w:r>
              <w:rPr>
                <w:rFonts w:ascii="Arial" w:cs="Arial" w:eastAsia="Arial" w:hAnsi="Arial"/>
                <w:sz w:val="18"/>
                <w:szCs w:val="18"/>
                <w:color w:val="auto"/>
              </w:rPr>
              <w:t>7.89</w:t>
            </w:r>
          </w:p>
        </w:tc>
        <w:tc>
          <w:tcPr>
            <w:tcW w:w="360" w:type="dxa"/>
            <w:vAlign w:val="bottom"/>
          </w:tcPr>
          <w:p>
            <w:pPr>
              <w:spacing w:after="0"/>
              <w:rPr>
                <w:sz w:val="19"/>
                <w:szCs w:val="19"/>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220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ind w:right="64"/>
              <w:spacing w:after="0"/>
              <w:rPr>
                <w:sz w:val="20"/>
                <w:szCs w:val="20"/>
                <w:color w:val="auto"/>
              </w:rPr>
            </w:pPr>
            <w:r>
              <w:rPr>
                <w:rFonts w:ascii="Arial" w:cs="Arial" w:eastAsia="Arial" w:hAnsi="Arial"/>
                <w:sz w:val="18"/>
                <w:szCs w:val="18"/>
                <w:color w:val="auto"/>
              </w:rPr>
              <w:t>7.50</w:t>
            </w:r>
          </w:p>
        </w:tc>
        <w:tc>
          <w:tcPr>
            <w:tcW w:w="36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64"/>
              <w:spacing w:after="0"/>
              <w:rPr>
                <w:sz w:val="20"/>
                <w:szCs w:val="20"/>
                <w:color w:val="auto"/>
              </w:rPr>
            </w:pPr>
            <w:r>
              <w:rPr>
                <w:rFonts w:ascii="Arial" w:cs="Arial" w:eastAsia="Arial" w:hAnsi="Arial"/>
                <w:sz w:val="18"/>
                <w:szCs w:val="18"/>
                <w:color w:val="auto"/>
              </w:rPr>
              <w:t>7.50</w:t>
            </w:r>
          </w:p>
        </w:tc>
        <w:tc>
          <w:tcPr>
            <w:tcW w:w="360" w:type="dxa"/>
            <w:vAlign w:val="bottom"/>
            <w:shd w:val="clear" w:color="auto" w:fill="CCEEFF"/>
          </w:tcPr>
          <w:p>
            <w:pPr>
              <w:spacing w:after="0"/>
              <w:rPr>
                <w:sz w:val="19"/>
                <w:szCs w:val="19"/>
                <w:color w:val="auto"/>
              </w:rPr>
            </w:pP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3940" w:type="dxa"/>
            <w:vAlign w:val="bottom"/>
            <w:shd w:val="clear" w:color="auto" w:fill="CCEEFF"/>
          </w:tcPr>
          <w:p>
            <w:pPr>
              <w:spacing w:after="0"/>
              <w:rPr>
                <w:sz w:val="5"/>
                <w:szCs w:val="5"/>
                <w:color w:val="auto"/>
              </w:rPr>
            </w:pPr>
          </w:p>
        </w:tc>
        <w:tc>
          <w:tcPr>
            <w:tcW w:w="220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480" w:type="dxa"/>
            <w:vAlign w:val="bottom"/>
            <w:gridSpan w:val="2"/>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3940" w:type="dxa"/>
            <w:vAlign w:val="bottom"/>
          </w:tcPr>
          <w:p>
            <w:pPr>
              <w:spacing w:after="0"/>
              <w:rPr>
                <w:sz w:val="24"/>
                <w:szCs w:val="24"/>
                <w:color w:val="auto"/>
              </w:rPr>
            </w:pPr>
          </w:p>
        </w:tc>
        <w:tc>
          <w:tcPr>
            <w:tcW w:w="2200" w:type="dxa"/>
            <w:vAlign w:val="bottom"/>
          </w:tcPr>
          <w:p>
            <w:pPr>
              <w:jc w:val="right"/>
              <w:ind w:right="252"/>
              <w:spacing w:after="0"/>
              <w:rPr>
                <w:sz w:val="20"/>
                <w:szCs w:val="20"/>
                <w:color w:val="auto"/>
              </w:rPr>
            </w:pPr>
            <w:r>
              <w:rPr>
                <w:rFonts w:ascii="Arial" w:cs="Arial" w:eastAsia="Arial" w:hAnsi="Arial"/>
                <w:sz w:val="18"/>
                <w:szCs w:val="18"/>
                <w:color w:val="auto"/>
              </w:rPr>
              <w:t>51</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7"/>
              </w:rPr>
              <w:t>Prior to Sale</w:t>
            </w:r>
          </w:p>
        </w:tc>
        <w:tc>
          <w:tcPr>
            <w:tcW w:w="100" w:type="dxa"/>
            <w:vAlign w:val="bottom"/>
          </w:tcPr>
          <w:p>
            <w:pPr>
              <w:spacing w:after="0"/>
              <w:rPr>
                <w:sz w:val="14"/>
                <w:szCs w:val="14"/>
                <w:color w:val="auto"/>
              </w:rPr>
            </w:pPr>
          </w:p>
        </w:tc>
        <w:tc>
          <w:tcPr>
            <w:tcW w:w="19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50% Participation</w:t>
            </w:r>
          </w:p>
        </w:tc>
        <w:tc>
          <w:tcPr>
            <w:tcW w:w="100" w:type="dxa"/>
            <w:vAlign w:val="bottom"/>
          </w:tcPr>
          <w:p>
            <w:pPr>
              <w:spacing w:after="0"/>
              <w:rPr>
                <w:sz w:val="14"/>
                <w:szCs w:val="14"/>
                <w:color w:val="auto"/>
              </w:rPr>
            </w:pPr>
          </w:p>
        </w:tc>
        <w:tc>
          <w:tcPr>
            <w:tcW w:w="1780" w:type="dxa"/>
            <w:vAlign w:val="bottom"/>
            <w:gridSpan w:val="4"/>
          </w:tcPr>
          <w:p>
            <w:pPr>
              <w:ind w:left="2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7"/>
              </w:rPr>
              <w:t>Following</w:t>
            </w:r>
          </w:p>
        </w:tc>
        <w:tc>
          <w:tcPr>
            <w:tcW w:w="720" w:type="dxa"/>
            <w:vAlign w:val="bottom"/>
            <w:tcBorders>
              <w:top w:val="single" w:sz="8" w:color="auto"/>
            </w:tcBorders>
          </w:tcPr>
          <w:p>
            <w:pPr>
              <w:jc w:val="right"/>
              <w:ind w:right="21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rPr>
              <w:t>Following</w:t>
            </w:r>
          </w:p>
        </w:tc>
        <w:tc>
          <w:tcPr>
            <w:tcW w:w="640" w:type="dxa"/>
            <w:vAlign w:val="bottom"/>
            <w:tcBorders>
              <w:top w:val="single" w:sz="8" w:color="auto"/>
            </w:tcBorders>
          </w:tcPr>
          <w:p>
            <w:pPr>
              <w:jc w:val="right"/>
              <w:ind w:right="175"/>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Below NAV</w:t>
            </w:r>
          </w:p>
        </w:tc>
        <w:tc>
          <w:tcPr>
            <w:tcW w:w="10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Increases in Shares and Decrease to NAV</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shares outstanding</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restart"/>
          </w:tcPr>
          <w:p>
            <w:pPr>
              <w:jc w:val="right"/>
              <w:ind w:right="35"/>
              <w:spacing w:after="0"/>
              <w:rPr>
                <w:sz w:val="20"/>
                <w:szCs w:val="20"/>
                <w:color w:val="auto"/>
              </w:rPr>
            </w:pPr>
            <w:r>
              <w:rPr>
                <w:rFonts w:ascii="Arial" w:cs="Arial" w:eastAsia="Arial" w:hAnsi="Arial"/>
                <w:sz w:val="18"/>
                <w:szCs w:val="18"/>
                <w:color w:val="auto"/>
                <w:w w:val="87"/>
              </w:rPr>
              <w:t>1,000,000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vMerge w:val="restart"/>
          </w:tcPr>
          <w:p>
            <w:pPr>
              <w:jc w:val="right"/>
              <w:ind w:right="37"/>
              <w:spacing w:after="0"/>
              <w:rPr>
                <w:sz w:val="20"/>
                <w:szCs w:val="20"/>
                <w:color w:val="auto"/>
              </w:rPr>
            </w:pPr>
            <w:r>
              <w:rPr>
                <w:rFonts w:ascii="Arial" w:cs="Arial" w:eastAsia="Arial" w:hAnsi="Arial"/>
                <w:sz w:val="18"/>
                <w:szCs w:val="18"/>
                <w:color w:val="auto"/>
                <w:w w:val="87"/>
              </w:rPr>
              <w:t>1,250,000</w:t>
            </w:r>
          </w:p>
        </w:tc>
        <w:tc>
          <w:tcPr>
            <w:tcW w:w="200" w:type="dxa"/>
            <w:vAlign w:val="bottom"/>
          </w:tcPr>
          <w:p>
            <w:pPr>
              <w:spacing w:after="0"/>
              <w:rPr>
                <w:sz w:val="19"/>
                <w:szCs w:val="19"/>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25.00 %</w:t>
            </w:r>
          </w:p>
        </w:tc>
        <w:tc>
          <w:tcPr>
            <w:tcW w:w="100" w:type="dxa"/>
            <w:vAlign w:val="bottom"/>
          </w:tcPr>
          <w:p>
            <w:pPr>
              <w:spacing w:after="0"/>
              <w:rPr>
                <w:sz w:val="19"/>
                <w:szCs w:val="19"/>
                <w:color w:val="auto"/>
              </w:rPr>
            </w:pP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w w:val="84"/>
              </w:rPr>
              <w:t>1,250,000</w:t>
            </w:r>
          </w:p>
        </w:tc>
        <w:tc>
          <w:tcPr>
            <w:tcW w:w="20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3"/>
              </w:rPr>
              <w:t>25.00 %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NAV per share</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9.50</w:t>
            </w:r>
          </w:p>
        </w:tc>
        <w:tc>
          <w:tcPr>
            <w:tcW w:w="20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(5.00)%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9.50</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(5.00)%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40" w:type="dxa"/>
            <w:vAlign w:val="bottom"/>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rPr>
              <w:t>(Dilution)/Accretion to Participating Stockholder A</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Shares held by stockholder A</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11,250</w:t>
            </w:r>
          </w:p>
        </w:tc>
        <w:tc>
          <w:tcPr>
            <w:tcW w:w="20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12.50 %</w:t>
            </w: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13,750</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37.50 %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Percentage held by stockholder A</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0.90%</w:t>
            </w: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95"/>
              </w:rPr>
              <w:t>(10.00)%</w:t>
            </w:r>
          </w:p>
        </w:tc>
        <w:tc>
          <w:tcPr>
            <w:tcW w:w="100" w:type="dxa"/>
            <w:vAlign w:val="bottom"/>
          </w:tcPr>
          <w:p>
            <w:pPr>
              <w:spacing w:after="0"/>
              <w:rPr>
                <w:sz w:val="19"/>
                <w:szCs w:val="19"/>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1.10%</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3"/>
              </w:rPr>
              <w:t>10.00 %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 Values</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NAV held by stockholder A</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35"/>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9"/>
                <w:szCs w:val="19"/>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37"/>
              <w:spacing w:after="0"/>
              <w:rPr>
                <w:sz w:val="20"/>
                <w:szCs w:val="20"/>
                <w:color w:val="auto"/>
              </w:rPr>
            </w:pPr>
            <w:r>
              <w:rPr>
                <w:rFonts w:ascii="Arial" w:cs="Arial" w:eastAsia="Arial" w:hAnsi="Arial"/>
                <w:sz w:val="18"/>
                <w:szCs w:val="18"/>
                <w:color w:val="auto"/>
              </w:rPr>
              <w:t>106,875</w:t>
            </w:r>
          </w:p>
        </w:tc>
        <w:tc>
          <w:tcPr>
            <w:tcW w:w="200" w:type="dxa"/>
            <w:vAlign w:val="bottom"/>
          </w:tcPr>
          <w:p>
            <w:pPr>
              <w:spacing w:after="0"/>
              <w:rPr>
                <w:sz w:val="19"/>
                <w:szCs w:val="19"/>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6.88 %</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130,625</w:t>
            </w:r>
          </w:p>
        </w:tc>
        <w:tc>
          <w:tcPr>
            <w:tcW w:w="20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3"/>
              </w:rPr>
              <w:t>30.63 %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w w:val="88"/>
              </w:rPr>
              <w:t>Total investment by stockholder A (assumed to be $10.00 per share on shares held prior</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 sale)</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109,863</w:t>
            </w:r>
          </w:p>
        </w:tc>
        <w:tc>
          <w:tcPr>
            <w:tcW w:w="20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9.86 %</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129,588</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29.59 %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240" w:type="dxa"/>
            <w:vAlign w:val="bottom"/>
            <w:shd w:val="clear" w:color="auto" w:fill="CCEEFF"/>
          </w:tcPr>
          <w:p>
            <w:pPr>
              <w:spacing w:after="0"/>
              <w:rPr>
                <w:sz w:val="6"/>
                <w:szCs w:val="6"/>
                <w:color w:val="auto"/>
              </w:rPr>
            </w:pPr>
          </w:p>
        </w:tc>
        <w:tc>
          <w:tcPr>
            <w:tcW w:w="180" w:type="dxa"/>
            <w:vAlign w:val="bottom"/>
            <w:gridSpan w:val="2"/>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(dilution)/accretion to stockholder A (total NAV less total investment)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(2,988)</w:t>
            </w:r>
          </w:p>
        </w:tc>
        <w:tc>
          <w:tcPr>
            <w:tcW w:w="200" w:type="dxa"/>
            <w:vAlign w:val="bottom"/>
          </w:tcPr>
          <w:p>
            <w:pPr>
              <w:spacing w:after="0"/>
              <w:rPr>
                <w:sz w:val="19"/>
                <w:szCs w:val="19"/>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1,037</w:t>
            </w:r>
          </w:p>
        </w:tc>
        <w:tc>
          <w:tcPr>
            <w:tcW w:w="200" w:type="dxa"/>
            <w:vAlign w:val="bottom"/>
          </w:tcPr>
          <w:p>
            <w:pPr>
              <w:spacing w:after="0"/>
              <w:rPr>
                <w:sz w:val="19"/>
                <w:szCs w:val="19"/>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 Share Amounts</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NAV per share held by stockholder A</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37"/>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19"/>
                <w:szCs w:val="19"/>
                <w:color w:val="auto"/>
              </w:rPr>
            </w:pP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19"/>
                <w:szCs w:val="19"/>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Investment per share held by stockholder A (assumed to be $10.00 per share on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shares held prior to sale)</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9.77</w:t>
            </w:r>
          </w:p>
        </w:tc>
        <w:tc>
          <w:tcPr>
            <w:tcW w:w="20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(2.30)%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9.42</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(5.80)%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240" w:type="dxa"/>
            <w:vAlign w:val="bottom"/>
            <w:shd w:val="clear" w:color="auto" w:fill="CCEEFF"/>
          </w:tcPr>
          <w:p>
            <w:pPr>
              <w:spacing w:after="0"/>
              <w:rPr>
                <w:sz w:val="6"/>
                <w:szCs w:val="6"/>
                <w:color w:val="auto"/>
              </w:rPr>
            </w:pPr>
          </w:p>
        </w:tc>
        <w:tc>
          <w:tcPr>
            <w:tcW w:w="180" w:type="dxa"/>
            <w:vAlign w:val="bottom"/>
            <w:gridSpan w:val="2"/>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(Dilution)/accretion per share held by stockholder A (NAV per share less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640"/>
              <w:spacing w:after="0"/>
              <w:rPr>
                <w:sz w:val="20"/>
                <w:szCs w:val="20"/>
                <w:color w:val="auto"/>
              </w:rPr>
            </w:pPr>
            <w:r>
              <w:rPr>
                <w:rFonts w:ascii="Arial" w:cs="Arial" w:eastAsia="Arial" w:hAnsi="Arial"/>
                <w:sz w:val="18"/>
                <w:szCs w:val="18"/>
                <w:color w:val="auto"/>
              </w:rPr>
              <w:t>investment per share)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(0.27)</w:t>
            </w:r>
          </w:p>
        </w:tc>
        <w:tc>
          <w:tcPr>
            <w:tcW w:w="200" w:type="dxa"/>
            <w:vAlign w:val="bottom"/>
          </w:tcPr>
          <w:p>
            <w:pPr>
              <w:spacing w:after="0"/>
              <w:rPr>
                <w:sz w:val="19"/>
                <w:szCs w:val="19"/>
                <w:color w:val="auto"/>
              </w:rPr>
            </w:pP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19"/>
                <w:szCs w:val="19"/>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Percentage (dilution)/accretion to stockholder A ((dilution)/accretion per share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divided by investment per share)</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90" w:lineRule="exact"/>
        <w:rPr>
          <w:sz w:val="20"/>
          <w:szCs w:val="20"/>
          <w:color w:val="auto"/>
        </w:rPr>
      </w:pPr>
    </w:p>
    <w:p>
      <w:pPr>
        <w:jc w:val="both"/>
        <w:ind w:right="200" w:firstLine="571"/>
        <w:spacing w:after="0" w:line="259"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398"/>
              <w:spacing w:after="0"/>
              <w:rPr>
                <w:sz w:val="20"/>
                <w:szCs w:val="20"/>
                <w:color w:val="auto"/>
              </w:rPr>
            </w:pPr>
            <w:r>
              <w:rPr>
                <w:rFonts w:ascii="Arial" w:cs="Arial" w:eastAsia="Arial" w:hAnsi="Arial"/>
                <w:sz w:val="14"/>
                <w:szCs w:val="14"/>
                <w:b w:val="1"/>
                <w:bCs w:val="1"/>
                <w:color w:val="auto"/>
                <w:w w:val="89"/>
              </w:rPr>
              <w:t>Example 1</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398"/>
              <w:spacing w:after="0"/>
              <w:rPr>
                <w:sz w:val="20"/>
                <w:szCs w:val="20"/>
                <w:color w:val="auto"/>
              </w:rPr>
            </w:pPr>
            <w:r>
              <w:rPr>
                <w:rFonts w:ascii="Arial" w:cs="Arial" w:eastAsia="Arial" w:hAnsi="Arial"/>
                <w:sz w:val="14"/>
                <w:szCs w:val="14"/>
                <w:b w:val="1"/>
                <w:bCs w:val="1"/>
                <w:color w:val="auto"/>
                <w:w w:val="89"/>
              </w:rPr>
              <w:t>Example 2</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398"/>
              <w:spacing w:after="0"/>
              <w:rPr>
                <w:sz w:val="20"/>
                <w:szCs w:val="20"/>
                <w:color w:val="auto"/>
              </w:rPr>
            </w:pPr>
            <w:r>
              <w:rPr>
                <w:rFonts w:ascii="Arial" w:cs="Arial" w:eastAsia="Arial" w:hAnsi="Arial"/>
                <w:sz w:val="14"/>
                <w:szCs w:val="14"/>
                <w:b w:val="1"/>
                <w:bCs w:val="1"/>
                <w:color w:val="auto"/>
                <w:w w:val="89"/>
              </w:rPr>
              <w:t>Example 3</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5% Offering</w:t>
            </w:r>
          </w:p>
        </w:tc>
        <w:tc>
          <w:tcPr>
            <w:tcW w:w="100" w:type="dxa"/>
            <w:vAlign w:val="bottom"/>
          </w:tcPr>
          <w:p>
            <w:pPr>
              <w:spacing w:after="0"/>
              <w:rPr>
                <w:sz w:val="12"/>
                <w:szCs w:val="12"/>
                <w:color w:val="auto"/>
              </w:rPr>
            </w:pPr>
          </w:p>
        </w:tc>
        <w:tc>
          <w:tcPr>
            <w:tcW w:w="192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00" w:type="dxa"/>
            <w:vAlign w:val="bottom"/>
          </w:tcPr>
          <w:p>
            <w:pPr>
              <w:spacing w:after="0"/>
              <w:rPr>
                <w:sz w:val="12"/>
                <w:szCs w:val="12"/>
                <w:color w:val="auto"/>
              </w:rPr>
            </w:pPr>
          </w:p>
        </w:tc>
        <w:tc>
          <w:tcPr>
            <w:tcW w:w="178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25% Offering</w:t>
            </w:r>
          </w:p>
        </w:tc>
        <w:tc>
          <w:tcPr>
            <w:tcW w:w="0" w:type="dxa"/>
            <w:vAlign w:val="bottom"/>
          </w:tcPr>
          <w:p>
            <w:pPr>
              <w:spacing w:after="0"/>
              <w:rPr>
                <w:sz w:val="1"/>
                <w:szCs w:val="1"/>
                <w:color w:val="auto"/>
              </w:rPr>
            </w:pPr>
          </w:p>
        </w:tc>
      </w:tr>
      <w:tr>
        <w:trPr>
          <w:trHeight w:val="161"/>
        </w:trPr>
        <w:tc>
          <w:tcPr>
            <w:tcW w:w="4400" w:type="dxa"/>
            <w:vAlign w:val="bottom"/>
          </w:tcPr>
          <w:p>
            <w:pPr>
              <w:spacing w:after="0"/>
              <w:rPr>
                <w:sz w:val="14"/>
                <w:szCs w:val="14"/>
                <w:color w:val="auto"/>
              </w:rPr>
            </w:pPr>
          </w:p>
        </w:tc>
        <w:tc>
          <w:tcPr>
            <w:tcW w:w="9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Prior to Sale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at 5% Discount</w:t>
            </w:r>
          </w:p>
        </w:tc>
        <w:tc>
          <w:tcPr>
            <w:tcW w:w="100" w:type="dxa"/>
            <w:vAlign w:val="bottom"/>
          </w:tcPr>
          <w:p>
            <w:pPr>
              <w:spacing w:after="0"/>
              <w:rPr>
                <w:sz w:val="14"/>
                <w:szCs w:val="14"/>
                <w:color w:val="auto"/>
              </w:rPr>
            </w:pPr>
          </w:p>
        </w:tc>
        <w:tc>
          <w:tcPr>
            <w:tcW w:w="19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8"/>
              </w:rPr>
              <w:t>at 10% Discount</w:t>
            </w:r>
          </w:p>
        </w:tc>
        <w:tc>
          <w:tcPr>
            <w:tcW w:w="100" w:type="dxa"/>
            <w:vAlign w:val="bottom"/>
          </w:tcPr>
          <w:p>
            <w:pPr>
              <w:spacing w:after="0"/>
              <w:rPr>
                <w:sz w:val="14"/>
                <w:szCs w:val="14"/>
                <w:color w:val="auto"/>
              </w:rPr>
            </w:pPr>
          </w:p>
        </w:tc>
        <w:tc>
          <w:tcPr>
            <w:tcW w:w="17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44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ind w:left="180"/>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Following</w:t>
            </w:r>
          </w:p>
        </w:tc>
        <w:tc>
          <w:tcPr>
            <w:tcW w:w="580" w:type="dxa"/>
            <w:vAlign w:val="bottom"/>
            <w:tcBorders>
              <w:top w:val="single" w:sz="8" w:color="auto"/>
            </w:tcBorders>
          </w:tcPr>
          <w:p>
            <w:pPr>
              <w:ind w:left="180"/>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ind w:left="200"/>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0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Arial" w:cs="Arial" w:eastAsia="Arial" w:hAnsi="Arial"/>
                <w:sz w:val="14"/>
                <w:szCs w:val="14"/>
                <w:b w:val="1"/>
                <w:bCs w:val="1"/>
                <w:color w:val="auto"/>
              </w:rPr>
              <w:t>Below NAV</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3"/>
              </w:rPr>
              <w:t>Sale</w:t>
            </w: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Sale</w:t>
            </w: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Sale</w:t>
            </w: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Offering Price</w:t>
            </w: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9.47</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7.89</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9.50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7.50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Decrease to NAV</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84"/>
              </w:rPr>
              <w:t>1,050,000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5.00 %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1,100,000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84"/>
              </w:rPr>
              <w:t>1,250,000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25.00 %</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NAV per share</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9.98</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8"/>
              </w:rPr>
              <w:t>(0.20)%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8"/>
              </w:rPr>
              <w:t>(0.90)%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9.50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8"/>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Dilution to Stockholder A</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2,500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0.90%</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NAV held by</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stockholder A</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4,990</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23,750</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400" w:type="dxa"/>
            <w:vAlign w:val="bottom"/>
          </w:tcPr>
          <w:p>
            <w:pPr>
              <w:ind w:left="440"/>
              <w:spacing w:after="0"/>
              <w:rPr>
                <w:sz w:val="20"/>
                <w:szCs w:val="20"/>
                <w:color w:val="auto"/>
              </w:rPr>
            </w:pPr>
            <w:r>
              <w:rPr>
                <w:rFonts w:ascii="Arial" w:cs="Arial" w:eastAsia="Arial" w:hAnsi="Arial"/>
                <w:sz w:val="18"/>
                <w:szCs w:val="18"/>
                <w:color w:val="auto"/>
              </w:rPr>
              <w:t>Total investment by</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660"/>
              <w:spacing w:after="0"/>
              <w:rPr>
                <w:sz w:val="20"/>
                <w:szCs w:val="20"/>
                <w:color w:val="auto"/>
              </w:rPr>
            </w:pPr>
            <w:r>
              <w:rPr>
                <w:rFonts w:ascii="Arial" w:cs="Arial" w:eastAsia="Arial" w:hAnsi="Arial"/>
                <w:sz w:val="18"/>
                <w:szCs w:val="18"/>
                <w:color w:val="auto"/>
              </w:rPr>
              <w:t>stockholder A</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9,470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19,725</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Total (dilution)/accretion to stockholder A (total NAV</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less total investment)</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4,025</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NAV per share held by stockholder A</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9.98</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9.50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Investment per share held by stockholder A</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9.47</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7.89</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(Dilution)/accretion per share held by stockholder A</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(NAV per share less investment per share)</w:t>
            </w: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1.61</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400" w:type="dxa"/>
            <w:vAlign w:val="bottom"/>
          </w:tcPr>
          <w:p>
            <w:pPr>
              <w:ind w:left="440"/>
              <w:spacing w:after="0"/>
              <w:rPr>
                <w:sz w:val="20"/>
                <w:szCs w:val="20"/>
                <w:color w:val="auto"/>
              </w:rPr>
            </w:pPr>
            <w:r>
              <w:rPr>
                <w:rFonts w:ascii="Arial" w:cs="Arial" w:eastAsia="Arial" w:hAnsi="Arial"/>
                <w:sz w:val="18"/>
                <w:szCs w:val="18"/>
                <w:color w:val="auto"/>
              </w:rPr>
              <w:t>Percentage (dilution)/accretion to stockholder A</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660"/>
              <w:spacing w:after="0"/>
              <w:rPr>
                <w:sz w:val="20"/>
                <w:szCs w:val="20"/>
                <w:color w:val="auto"/>
              </w:rPr>
            </w:pPr>
            <w:r>
              <w:rPr>
                <w:rFonts w:ascii="Arial" w:cs="Arial" w:eastAsia="Arial" w:hAnsi="Arial"/>
                <w:sz w:val="18"/>
                <w:szCs w:val="18"/>
                <w:color w:val="auto"/>
              </w:rPr>
              <w:t>((dilution)/accretion per share divided by</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tcPr>
          <w:p>
            <w:pPr>
              <w:ind w:left="660"/>
              <w:spacing w:after="0"/>
              <w:rPr>
                <w:sz w:val="20"/>
                <w:szCs w:val="20"/>
                <w:color w:val="auto"/>
              </w:rPr>
            </w:pPr>
            <w:r>
              <w:rPr>
                <w:rFonts w:ascii="Arial" w:cs="Arial" w:eastAsia="Arial" w:hAnsi="Arial"/>
                <w:sz w:val="18"/>
                <w:szCs w:val="18"/>
                <w:color w:val="auto"/>
              </w:rPr>
              <w:t>investment per share)</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8"/>
              </w:rPr>
              <w:t>(0.20)%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9"/>
              </w:rPr>
              <w:t>4.65 %</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20.41%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518"/>
              <w:spacing w:after="0"/>
              <w:rPr>
                <w:sz w:val="20"/>
                <w:szCs w:val="20"/>
                <w:color w:val="auto"/>
              </w:rPr>
            </w:pPr>
            <w:r>
              <w:rPr>
                <w:rFonts w:ascii="Arial" w:cs="Arial" w:eastAsia="Arial" w:hAnsi="Arial"/>
                <w:sz w:val="18"/>
                <w:szCs w:val="18"/>
                <w:color w:val="auto"/>
                <w:w w:val="89"/>
              </w:rPr>
              <w:t>53</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per share that we have declared on our common stock since October 1, 2014.</w:t>
      </w:r>
    </w:p>
    <w:p>
      <w:pPr>
        <w:spacing w:after="0" w:line="13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Record Dates</w:t>
            </w:r>
          </w:p>
        </w:tc>
        <w:tc>
          <w:tcPr>
            <w:tcW w:w="4400" w:type="dxa"/>
            <w:vAlign w:val="bottom"/>
            <w:vMerge w:val="restart"/>
          </w:tcPr>
          <w:p>
            <w:pPr>
              <w:spacing w:after="0"/>
              <w:rPr>
                <w:sz w:val="14"/>
                <w:szCs w:val="14"/>
                <w:color w:val="auto"/>
              </w:rPr>
            </w:pPr>
          </w:p>
        </w:tc>
        <w:tc>
          <w:tcPr>
            <w:tcW w:w="4160" w:type="dxa"/>
            <w:vAlign w:val="bottom"/>
            <w:gridSpan w:val="3"/>
            <w:vMerge w:val="restart"/>
          </w:tcPr>
          <w:p>
            <w:pPr>
              <w:jc w:val="right"/>
              <w:ind w:right="1000"/>
              <w:spacing w:after="0"/>
              <w:rPr>
                <w:sz w:val="20"/>
                <w:szCs w:val="20"/>
                <w:color w:val="auto"/>
              </w:rPr>
            </w:pPr>
            <w:r>
              <w:rPr>
                <w:rFonts w:ascii="Arial" w:cs="Arial" w:eastAsia="Arial" w:hAnsi="Arial"/>
                <w:sz w:val="14"/>
                <w:szCs w:val="14"/>
                <w:b w:val="1"/>
                <w:bCs w:val="1"/>
                <w:color w:val="auto"/>
              </w:rPr>
              <w:t>Payment Dates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9"/>
              </w:rPr>
              <w:t>Distributions</w:t>
            </w:r>
          </w:p>
        </w:tc>
        <w:tc>
          <w:tcPr>
            <w:tcW w:w="0" w:type="dxa"/>
            <w:vAlign w:val="bottom"/>
          </w:tcPr>
          <w:p>
            <w:pPr>
              <w:spacing w:after="0"/>
              <w:rPr>
                <w:sz w:val="1"/>
                <w:szCs w:val="1"/>
                <w:color w:val="auto"/>
              </w:rPr>
            </w:pPr>
          </w:p>
        </w:tc>
      </w:tr>
      <w:tr>
        <w:trPr>
          <w:trHeight w:val="148"/>
        </w:trPr>
        <w:tc>
          <w:tcPr>
            <w:tcW w:w="840" w:type="dxa"/>
            <w:vAlign w:val="bottom"/>
            <w:vMerge w:val="continue"/>
          </w:tcPr>
          <w:p>
            <w:pPr>
              <w:spacing w:after="0"/>
              <w:rPr>
                <w:sz w:val="12"/>
                <w:szCs w:val="12"/>
                <w:color w:val="auto"/>
              </w:rPr>
            </w:pPr>
          </w:p>
        </w:tc>
        <w:tc>
          <w:tcPr>
            <w:tcW w:w="4400" w:type="dxa"/>
            <w:vAlign w:val="bottom"/>
            <w:vMerge w:val="continue"/>
          </w:tcPr>
          <w:p>
            <w:pPr>
              <w:spacing w:after="0"/>
              <w:rPr>
                <w:sz w:val="12"/>
                <w:szCs w:val="12"/>
                <w:color w:val="auto"/>
              </w:rPr>
            </w:pPr>
          </w:p>
        </w:tc>
        <w:tc>
          <w:tcPr>
            <w:tcW w:w="41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shd w:val="clear" w:color="auto" w:fill="000000"/>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2017</w:t>
            </w:r>
          </w:p>
        </w:tc>
        <w:tc>
          <w:tcPr>
            <w:tcW w:w="2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January 20, 2017</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February 1, 2017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22, 2016</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January 3, 2017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November 18, 2016</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December 1, 2016</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October 20, 2016</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November 1, 2016</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4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2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2016</w:t>
            </w:r>
          </w:p>
        </w:tc>
        <w:tc>
          <w:tcPr>
            <w:tcW w:w="2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September 21, 2016</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October 3, 2016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August 19, 2016</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September 1, 2016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July 20, 2016</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August 1, 2016</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20, 2016</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July 1, 2016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May 20, 2016</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June 1, 2016</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April 20, 2016</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May 2, 2016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March 18, 2016</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April 1, 2016</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February 18, 2016</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March 1, 2016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January 20, 2016</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February 1, 2016</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24, 2015</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January 4, 2016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November 19, 2015</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December 1, 2015</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October 21, 2015</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November 2, 2015</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2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2015</w:t>
            </w:r>
          </w:p>
        </w:tc>
        <w:tc>
          <w:tcPr>
            <w:tcW w:w="2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September 21, 2015</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October 1, 2015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August 24, 2015</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September 1, 2015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July 22, 2015</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August 3, 2015</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15, 2015</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July 1, 2015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May 20, 2015</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June 1, 2015</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April 20, 2015</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May 1, 2015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March 20, 2015</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rPr>
              <w:t>April 1, 2015</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February 18, 2015</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March 2, 2015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January 21, 2015</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February 2, 2015</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19, 2014</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January 2, 2015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November 19, 2014</w:t>
            </w:r>
          </w:p>
        </w:tc>
        <w:tc>
          <w:tcPr>
            <w:tcW w:w="2300" w:type="dxa"/>
            <w:vAlign w:val="bottom"/>
          </w:tcPr>
          <w:p>
            <w:pPr>
              <w:spacing w:after="0"/>
              <w:rPr>
                <w:sz w:val="18"/>
                <w:szCs w:val="18"/>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December 1, 2014</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October 22, 2014</w:t>
            </w:r>
          </w:p>
        </w:tc>
        <w:tc>
          <w:tcPr>
            <w:tcW w:w="2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November 3, 2014</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2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right="860" w:firstLine="571"/>
        <w:spacing w:after="0" w:line="268" w:lineRule="auto"/>
        <w:rPr>
          <w:sz w:val="20"/>
          <w:szCs w:val="20"/>
          <w:color w:val="auto"/>
        </w:rPr>
      </w:pPr>
      <w:r>
        <w:rPr>
          <w:rFonts w:ascii="Arial" w:cs="Arial" w:eastAsia="Arial" w:hAnsi="Arial"/>
          <w:sz w:val="18"/>
          <w:szCs w:val="18"/>
          <w:color w:val="auto"/>
        </w:rPr>
        <w:t>In January 2017, a Form 1099-DIV will be sent to stockholders subject to information reporting that will state the amount and composition of distributions and provide information with respect to appropriate tax treatment of our distributions.</w:t>
      </w:r>
    </w:p>
    <w:p>
      <w:pPr>
        <w:spacing w:after="0" w:line="105" w:lineRule="exact"/>
        <w:rPr>
          <w:sz w:val="20"/>
          <w:szCs w:val="20"/>
          <w:color w:val="auto"/>
        </w:rPr>
      </w:pPr>
    </w:p>
    <w:p>
      <w:pPr>
        <w:ind w:right="100" w:firstLine="571"/>
        <w:spacing w:after="0" w:line="298" w:lineRule="auto"/>
        <w:rPr>
          <w:sz w:val="20"/>
          <w:szCs w:val="20"/>
          <w:color w:val="auto"/>
        </w:rPr>
      </w:pPr>
      <w:r>
        <w:rPr>
          <w:rFonts w:ascii="Arial" w:cs="Arial" w:eastAsia="Arial" w:hAnsi="Arial"/>
          <w:sz w:val="16"/>
          <w:szCs w:val="16"/>
          <w:color w:val="auto"/>
        </w:rPr>
        <w:t>The tax characteristics of distributions declared, in accordance with Section 19(a) of the 1940 Act, during the fiscal years ended September 30, 2016 and 2015 from ordinary income (including short-term capital gains) totaled $30.5 million and $17.2 million, or $1.14 and $1.06 per share, respectively, based on the weighted average shares outstanding for the respective periods. Additionally, for the fiscal year ended September 30, 2015, we had long-term capital gain distributions of $1.7 million, or $0.10 per share, based on the weighted average shares outstanding.</w:t>
      </w:r>
    </w:p>
    <w:p>
      <w:pPr>
        <w:spacing w:after="0" w:line="86" w:lineRule="exact"/>
        <w:rPr>
          <w:sz w:val="20"/>
          <w:szCs w:val="20"/>
          <w:color w:val="auto"/>
        </w:rPr>
      </w:pPr>
    </w:p>
    <w:p>
      <w:pPr>
        <w:ind w:right="400" w:firstLine="571"/>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tax status. We cannot assure stockholders that they will receive any distributions or distributions at a particular level.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Unregistered Securities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did not engage in any sales of unregistered securities during the fiscal year ended September 30, 2016.</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 Park Floating Rate Capital Ltd.</w:t>
      </w:r>
    </w:p>
    <w:p>
      <w:pPr>
        <w:spacing w:after="0" w:line="96" w:lineRule="exact"/>
        <w:rPr>
          <w:sz w:val="20"/>
          <w:szCs w:val="20"/>
          <w:color w:val="auto"/>
        </w:rPr>
      </w:pPr>
    </w:p>
    <w:p>
      <w:pPr>
        <w:ind w:right="380" w:firstLine="571"/>
        <w:spacing w:after="0" w:line="268"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51"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37"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will be invested in Floating Rate Loans and other instruments bearing a variable-rate of interest. We generally expect that senior secured debt, or first lien loans, will represent at least 65% of our overall portfolio. We also generally expect to invest up to 35% of our overall portfolio opportunistically in other types of investments, including mezzanine securities and, to a lesser extent, equity investments. We seek to create a diversified portfolio by generally targeting an investment size between $3 million and $15 million, on average, although we expect that this investment size will vary proportionately with the size of our capital base.</w:t>
      </w:r>
    </w:p>
    <w:p>
      <w:pPr>
        <w:spacing w:after="0" w:line="35" w:lineRule="exact"/>
        <w:rPr>
          <w:sz w:val="20"/>
          <w:szCs w:val="20"/>
          <w:color w:val="auto"/>
        </w:rPr>
      </w:pPr>
    </w:p>
    <w:p>
      <w:pPr>
        <w:ind w:right="220" w:firstLine="571"/>
        <w:spacing w:after="0" w:line="256"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96"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59"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May 2011. We formed Funding I in order to establish our Credit Facility.</w:t>
      </w:r>
    </w:p>
    <w:p>
      <w:pPr>
        <w:spacing w:after="0" w:line="51" w:lineRule="exact"/>
        <w:rPr>
          <w:sz w:val="20"/>
          <w:szCs w:val="20"/>
          <w:color w:val="auto"/>
        </w:rPr>
      </w:pPr>
    </w:p>
    <w:p>
      <w:pPr>
        <w:ind w:right="380" w:firstLine="571"/>
        <w:spacing w:after="0" w:line="259" w:lineRule="auto"/>
        <w:rPr>
          <w:sz w:val="20"/>
          <w:szCs w:val="20"/>
          <w:color w:val="auto"/>
        </w:rPr>
      </w:pPr>
      <w:r>
        <w:rPr>
          <w:rFonts w:ascii="Arial" w:cs="Arial" w:eastAsia="Arial" w:hAnsi="Arial"/>
          <w:sz w:val="18"/>
          <w:szCs w:val="18"/>
          <w:color w:val="auto"/>
        </w:rPr>
        <w:t>In August 2015, we completed the acquisition of MCG pursuant to the Merger Agreement by and among MCG, our Investment Adviser and the Company. As a result of the transactions completed by the Merger Agreement, MCG was ultimately merged with and into PFLT Funding II, LLC with PFLT Funding II, LLC as the surviving company.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100" w:firstLine="571"/>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about $3.0 billion in debt and equity capital and has invested $5.5 billion in more than 400 companies with over 160 different financial sponsors through its managed funds.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may provide,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w:t>
      </w:r>
    </w:p>
    <w:p>
      <w:pPr>
        <w:spacing w:after="0" w:line="45" w:lineRule="exact"/>
        <w:rPr>
          <w:sz w:val="20"/>
          <w:szCs w:val="20"/>
          <w:color w:val="auto"/>
        </w:rPr>
      </w:pPr>
    </w:p>
    <w:p>
      <w:pPr>
        <w:ind w:left="660" w:hanging="314"/>
        <w:spacing w:after="0" w:line="25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in raising debt through the capital markets. </w:t>
      </w:r>
      <w:r>
        <w:rPr>
          <w:rFonts w:ascii="Arial" w:cs="Arial" w:eastAsia="Arial" w:hAnsi="Arial"/>
          <w:sz w:val="18"/>
          <w:szCs w:val="18"/>
          <w:color w:val="auto"/>
        </w:rPr>
        <w:t>Many middle-market companies look to</w:t>
      </w:r>
      <w:r>
        <w:rPr>
          <w:rFonts w:ascii="Arial" w:cs="Arial" w:eastAsia="Arial" w:hAnsi="Arial"/>
          <w:sz w:val="18"/>
          <w:szCs w:val="18"/>
          <w:b w:val="1"/>
          <w:bCs w:val="1"/>
          <w:color w:val="auto"/>
        </w:rPr>
        <w:t xml:space="preserve"> </w:t>
      </w:r>
      <w:r>
        <w:rPr>
          <w:rFonts w:ascii="Arial" w:cs="Arial" w:eastAsia="Arial" w:hAnsi="Arial"/>
          <w:sz w:val="18"/>
          <w:szCs w:val="18"/>
          <w:color w:val="auto"/>
        </w:rPr>
        <w:t>raise funds by issuing high-yield bonds.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55" w:lineRule="exact"/>
        <w:rPr>
          <w:rFonts w:ascii="Arial" w:cs="Arial" w:eastAsia="Arial" w:hAnsi="Arial"/>
          <w:sz w:val="18"/>
          <w:szCs w:val="18"/>
          <w:color w:val="auto"/>
        </w:rPr>
      </w:pPr>
    </w:p>
    <w:p>
      <w:pPr>
        <w:ind w:left="660" w:right="260" w:hanging="314"/>
        <w:spacing w:after="0" w:line="262"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From time to time, banks, finance companies, hedge</w:t>
      </w:r>
      <w:r>
        <w:rPr>
          <w:rFonts w:ascii="Arial" w:cs="Arial" w:eastAsia="Arial" w:hAnsi="Arial"/>
          <w:sz w:val="18"/>
          <w:szCs w:val="18"/>
          <w:b w:val="1"/>
          <w:bCs w:val="1"/>
          <w:color w:val="auto"/>
        </w:rPr>
        <w:t xml:space="preserve"> </w:t>
      </w:r>
      <w:r>
        <w:rPr>
          <w:rFonts w:ascii="Arial" w:cs="Arial" w:eastAsia="Arial" w:hAnsi="Arial"/>
          <w:sz w:val="18"/>
          <w:szCs w:val="18"/>
          <w:color w:val="auto"/>
        </w:rPr>
        <w:t>funds and CLO funds have withdrawn, and may again withdraw, capital from the middle-market, resulting in opportunities for alternative funding sources.</w:t>
      </w:r>
    </w:p>
    <w:p>
      <w:pPr>
        <w:spacing w:after="0" w:line="51" w:lineRule="exact"/>
        <w:rPr>
          <w:rFonts w:ascii="Arial" w:cs="Arial" w:eastAsia="Arial" w:hAnsi="Arial"/>
          <w:sz w:val="18"/>
          <w:szCs w:val="18"/>
          <w:color w:val="auto"/>
        </w:rPr>
      </w:pPr>
    </w:p>
    <w:p>
      <w:pPr>
        <w:jc w:val="both"/>
        <w:ind w:left="660" w:right="40" w:hanging="314"/>
        <w:spacing w:after="0" w:line="262"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credit market dislocation for middle-market companies improves the risk-reward on our investments. </w:t>
      </w:r>
      <w:r>
        <w:rPr>
          <w:rFonts w:ascii="Arial" w:cs="Arial" w:eastAsia="Arial" w:hAnsi="Arial"/>
          <w:sz w:val="18"/>
          <w:szCs w:val="18"/>
          <w:color w:val="auto"/>
        </w:rPr>
        <w:t>From time to time, market</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have reduced lending to middle-market and non-investment grade borrowers. As a result, we believe there is less competition in our market, more conservative capital structures, higher yields and stronger covenants.</w:t>
      </w:r>
    </w:p>
    <w:p>
      <w:pPr>
        <w:spacing w:after="0" w:line="51" w:lineRule="exact"/>
        <w:rPr>
          <w:rFonts w:ascii="Arial" w:cs="Arial" w:eastAsia="Arial" w:hAnsi="Arial"/>
          <w:sz w:val="18"/>
          <w:szCs w:val="18"/>
          <w:color w:val="auto"/>
        </w:rPr>
      </w:pPr>
    </w:p>
    <w:p>
      <w:pPr>
        <w:ind w:left="660" w:right="180" w:hanging="314"/>
        <w:spacing w:after="0" w:line="30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funds generally seek to leverage their investments by combining their capital with senior secured debt and/or mezzanine debt provided by other sources, and we believe that our capital is well-positioned to partner with such equity investors.</w:t>
      </w:r>
    </w:p>
    <w:p>
      <w:pPr>
        <w:spacing w:after="0" w:line="22" w:lineRule="exact"/>
        <w:rPr>
          <w:rFonts w:ascii="Arial" w:cs="Arial" w:eastAsia="Arial" w:hAnsi="Arial"/>
          <w:sz w:val="16"/>
          <w:szCs w:val="16"/>
          <w:color w:val="auto"/>
        </w:rPr>
      </w:pPr>
    </w:p>
    <w:p>
      <w:pPr>
        <w:ind w:left="660" w:right="40" w:hanging="314"/>
        <w:spacing w:after="0" w:line="296"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substantial supply of opportunities resulting from maturing loans that seek refinancing. </w:t>
      </w:r>
      <w:r>
        <w:rPr>
          <w:rFonts w:ascii="Arial" w:cs="Arial" w:eastAsia="Arial" w:hAnsi="Arial"/>
          <w:sz w:val="16"/>
          <w:szCs w:val="16"/>
          <w:color w:val="auto"/>
        </w:rPr>
        <w:t>A high volume of financings will</w:t>
      </w:r>
      <w:r>
        <w:rPr>
          <w:rFonts w:ascii="Arial" w:cs="Arial" w:eastAsia="Arial" w:hAnsi="Arial"/>
          <w:sz w:val="16"/>
          <w:szCs w:val="16"/>
          <w:b w:val="1"/>
          <w:bCs w:val="1"/>
          <w:color w:val="auto"/>
        </w:rPr>
        <w:t xml:space="preserve"> </w:t>
      </w:r>
      <w:r>
        <w:rPr>
          <w:rFonts w:ascii="Arial" w:cs="Arial" w:eastAsia="Arial" w:hAnsi="Arial"/>
          <w:sz w:val="16"/>
          <w:szCs w:val="16"/>
          <w:color w:val="auto"/>
        </w:rPr>
        <w:t>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believe that we have the following competitive advantages over other capital providers to middle-market companies: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90" w:lineRule="exact"/>
        <w:rPr>
          <w:sz w:val="20"/>
          <w:szCs w:val="20"/>
          <w:color w:val="auto"/>
        </w:rPr>
      </w:pPr>
    </w:p>
    <w:p>
      <w:pPr>
        <w:ind w:right="120" w:firstLine="571"/>
        <w:spacing w:after="0" w:line="298" w:lineRule="auto"/>
        <w:rPr>
          <w:sz w:val="20"/>
          <w:szCs w:val="20"/>
          <w:color w:val="auto"/>
        </w:rPr>
      </w:pPr>
      <w:r>
        <w:rPr>
          <w:rFonts w:ascii="Arial" w:cs="Arial" w:eastAsia="Arial" w:hAnsi="Arial"/>
          <w:sz w:val="16"/>
          <w:szCs w:val="16"/>
          <w:color w:val="auto"/>
        </w:rPr>
        <w:t>The senior investment professionals of our Investment Adviser have worked together for many years and average over 25 years of experience in senior lending, mezzanine lending, leveraged finance, distressed debt and private equity businesses. These senior investment professionals have been involved in originating, structuring, negotiating, managing and monitoring investments in each of these businesses across changing economic and market cycles. We believe this extensive experience and history has resulted in a strong reputation across the capital markets.</w:t>
      </w:r>
    </w:p>
    <w:p>
      <w:pPr>
        <w:spacing w:after="0" w:line="32"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We are able to provide value-added customized financial solutions to middle-market companies as a result of specialized due diligence, underwriting capabilities and more extensive ongoing monitoring required as lenders.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90" w:lineRule="exact"/>
        <w:rPr>
          <w:sz w:val="20"/>
          <w:szCs w:val="20"/>
          <w:color w:val="auto"/>
        </w:rPr>
      </w:pPr>
    </w:p>
    <w:p>
      <w:pPr>
        <w:jc w:val="both"/>
        <w:ind w:right="100" w:firstLine="571"/>
        <w:spacing w:after="0" w:line="323" w:lineRule="auto"/>
        <w:rPr>
          <w:sz w:val="20"/>
          <w:szCs w:val="20"/>
          <w:color w:val="auto"/>
        </w:rPr>
      </w:pPr>
      <w:r>
        <w:rPr>
          <w:rFonts w:ascii="Arial" w:cs="Arial" w:eastAsia="Arial" w:hAnsi="Arial"/>
          <w:sz w:val="15"/>
          <w:szCs w:val="15"/>
          <w:color w:val="auto"/>
        </w:rPr>
        <w:t>We employ a disciplined approach in selecting investments that meet the long-standing, consistent value-oriented investment selection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17"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for more information.</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90" w:lineRule="exact"/>
        <w:rPr>
          <w:sz w:val="20"/>
          <w:szCs w:val="20"/>
          <w:color w:val="auto"/>
        </w:rPr>
      </w:pPr>
    </w:p>
    <w:p>
      <w:pPr>
        <w:ind w:left="900" w:hanging="325"/>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171" w:lineRule="exact"/>
        <w:rPr>
          <w:rFonts w:ascii="Arial" w:cs="Arial" w:eastAsia="Arial" w:hAnsi="Arial"/>
          <w:sz w:val="18"/>
          <w:szCs w:val="18"/>
          <w:color w:val="auto"/>
        </w:rPr>
      </w:pPr>
    </w:p>
    <w:p>
      <w:pPr>
        <w:ind w:left="420" w:hanging="184"/>
        <w:spacing w:after="0"/>
        <w:tabs>
          <w:tab w:leader="none" w:pos="420" w:val="left"/>
        </w:tabs>
        <w:numPr>
          <w:ilvl w:val="0"/>
          <w:numId w:val="2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Ability to Source and Evaluate Transactions through our Investment Adviser’s Proactive Research Capability and Established Network</w:t>
      </w:r>
    </w:p>
    <w:p>
      <w:pPr>
        <w:spacing w:after="0" w:line="113" w:lineRule="exact"/>
        <w:rPr>
          <w:sz w:val="20"/>
          <w:szCs w:val="20"/>
          <w:color w:val="auto"/>
        </w:rPr>
      </w:pPr>
    </w:p>
    <w:p>
      <w:pPr>
        <w:ind w:right="240" w:firstLine="571"/>
        <w:spacing w:after="0" w:line="255"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9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59"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51"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color w:val="auto"/>
        </w:rPr>
        <w:t>We believe that the in-depth experience of our Investment Adviser will enable us to invest throughout various stages of the economic and market cycles and to provide us with ongoing market insights in addition to a significant investment opportunity.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jc w:val="both"/>
        <w:ind w:firstLine="571"/>
        <w:spacing w:after="0" w:line="28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However, we believe that from time to time there has been a reduction in the amount of debt capital available to middle-market companies, which we believe has resulted in a less competitive environment for making new investments.</w:t>
      </w:r>
    </w:p>
    <w:p>
      <w:pPr>
        <w:spacing w:after="0" w:line="57"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60" w:firstLine="571"/>
        <w:spacing w:after="0" w:line="287" w:lineRule="auto"/>
        <w:rPr>
          <w:sz w:val="20"/>
          <w:szCs w:val="20"/>
          <w:color w:val="auto"/>
        </w:rPr>
      </w:pPr>
      <w:r>
        <w:rPr>
          <w:rFonts w:ascii="Arial" w:cs="Arial" w:eastAsia="Arial" w:hAnsi="Arial"/>
          <w:sz w:val="16"/>
          <w:szCs w:val="16"/>
          <w:color w:val="auto"/>
        </w:rPr>
        <w:t>As of September 30, 2016, we maintained a $350 million Credit Facility, which matures in August 2020, with the Lenders. During the Credit Facility’s revolving period, which extends to August 2018, it bears interest at LIBOR plus 200 basis points, and after the revolving period, the rate sets to LIBOR plus 425 basis points for the remaining two years. The Credit Facility is secured by all of the assets held by Funding I, under which we had $232.9 million outstanding. The annualized weighted average cost of debt for the year ended September 30, 2016, inclusive of the fee on the undrawn commitment on the Credit Facility but excluding amendment costs, was 3.51%. As of September 30, 2016 and 2015, we had $117.1 million and $260.4 million of unused borrowing capacity under our Credit Facility, respectively, subject to regulatory restrictions. We believe that our capital resources provide us with the flexibility to take advantage of market opportunities when they arise. Our use of leverage, as calculated under the asset coverage ratio of the 1940 Act, may generally range between 70% and 90% of our net assets, or 40% to 50% of our Managed Assets. We cannot assure investors that our leverage will remain within the range. The amount of leverage that we employ will depend on our assessment of the market and other factors at the time of any proposed borrowing. See “Management’s Discussion and Analysis of Financial Condition and Results of Operations” for more information.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MCG was a party to certain legal proceedings, including the enforcement of its rights under contracts with its portfolio companies. We inherited this litigation upon the closing of our acquisition of MCG. While the outcome of these and any future legal proceedings cannot be predicted with certainty, we do not expect that these proceedings will have a material effect upon our financial condition or results of operations, although we cannot assure you that amounts received in settlement may not be requested to be returned or that we may not be found liable in any such litigation.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INVESTMENT OBJECTIVES AND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right="20" w:firstLine="571"/>
        <w:spacing w:after="0" w:line="288" w:lineRule="auto"/>
        <w:rPr>
          <w:sz w:val="20"/>
          <w:szCs w:val="20"/>
          <w:color w:val="auto"/>
        </w:rPr>
      </w:pPr>
      <w:r>
        <w:rPr>
          <w:rFonts w:ascii="Arial" w:cs="Arial" w:eastAsia="Arial" w:hAnsi="Arial"/>
          <w:sz w:val="16"/>
          <w:szCs w:val="16"/>
          <w:color w:val="auto"/>
        </w:rPr>
        <w:t>We seek to create a diversified portfolio primarily of Floating Rate Loans by generally targeting an investment size of $3 million to $15 million in securities, on average, of middle-market companies. We expect this investment size to vary proportionately with the size of our capital base. We generally expect that senior secured debt, or first lien loans, will represent at least 65% of our overall portfolio. We also generally expect to invest up to 35% of our overall portfolio opportunistically in other types of investments, including mezzanine securities and, to a lesser extent, equity investments. The companies in which we invest are typically highly leveraged, and, in most cases, are not rated by national rating agencies. If such unrated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In addition, we expect our debt investments to range in maturity from three to ten years.</w:t>
      </w:r>
    </w:p>
    <w:p>
      <w:pPr>
        <w:spacing w:after="0" w:line="120" w:lineRule="exact"/>
        <w:rPr>
          <w:sz w:val="20"/>
          <w:szCs w:val="20"/>
          <w:color w:val="auto"/>
        </w:rPr>
      </w:pPr>
    </w:p>
    <w:p>
      <w:pPr>
        <w:ind w:right="200" w:firstLine="571"/>
        <w:spacing w:after="0" w:line="254" w:lineRule="auto"/>
        <w:rPr>
          <w:sz w:val="20"/>
          <w:szCs w:val="20"/>
          <w:color w:val="auto"/>
        </w:rPr>
      </w:pPr>
      <w:r>
        <w:rPr>
          <w:rFonts w:ascii="Arial" w:cs="Arial" w:eastAsia="Arial" w:hAnsi="Arial"/>
          <w:sz w:val="18"/>
          <w:szCs w:val="18"/>
          <w:color w:val="auto"/>
        </w:rPr>
        <w:t>Over time, we expect that our portfolio will continue to consist primarily of Floating Rate Loans in qualifying assets such as private, or thinly traded or small market-capitalization, U.S. middle-market public companies. In addition, we may invest up to 30% of our portfolio in non-qualifying assets. These non-qualifying assets may include investments in public companies whose securities are not thinly traded or have a market capitalization of greater than $250 million, securities of middle-market companies located outside of the United States and investment companies as defined in the 1940 Act. We may acquire investments in the secondary market. See “Regulation—Qualifying Assets” and “Investment Objectives and Policies—Investment Selection Criteria” for more information.</w:t>
      </w:r>
    </w:p>
    <w:p>
      <w:pPr>
        <w:spacing w:after="0" w:line="144" w:lineRule="exact"/>
        <w:rPr>
          <w:sz w:val="20"/>
          <w:szCs w:val="20"/>
          <w:color w:val="auto"/>
        </w:rPr>
      </w:pPr>
    </w:p>
    <w:p>
      <w:pPr>
        <w:ind w:right="120" w:firstLine="571"/>
        <w:spacing w:after="0" w:line="294"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of changes to our operating policies and strategies may adversely affect our business, our ability to make distributions and the value of our stock.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Debt</w:t>
      </w:r>
    </w:p>
    <w:p>
      <w:pPr>
        <w:spacing w:after="0" w:line="96"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Structurally, senior secured debt (which we define as first lien debt) ranks senior in priority of payment to mezzanine debt and equity and benefits from a senior security interest in the assets of the borrower. As such, other creditors rank junior to our investments in these securities in the event of insolvency. Due to its lower risk profile and often more restrictive covenants as compared to mezzanine debt, senior secured debt generally 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Mezzanine Debt</w:t>
      </w:r>
    </w:p>
    <w:p>
      <w:pPr>
        <w:spacing w:after="0" w:line="96"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Structurally, mezzanine debt (which we define to include second lien secured debt and subordinated debt) usually ranks subordinate in priority of payment to senior secured loans. Our second lien secured debt is subordinated debt that benefits from a security interest in the borrower. As such, other creditors may rank senior to us in the event of insolvency. Mezzanine debt ranks senior to common and preferred equity in borrowers’ capital structures. Due to its higher risk profile and often less restrictive covenants as compared to senior secured debt, mezzanine debt generally earns a higher return than senior secured debt. In many cases, mezzanine investors receive opportunities to invest directly in the equity securities of borrowers and from time to time may also receive warrants to purchase equity securities. We evaluate these investment opportunities on a case-by-case basis.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We are committed to a value-oriented philosophy used by the senior investment professionals who manage our portfolio and seek to minimize the risk of capital loss without foregoing potential for capital appreciation.</w:t>
      </w:r>
    </w:p>
    <w:p>
      <w:pPr>
        <w:spacing w:after="0" w:line="132"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opportunities and to structure investments efficiently and effectively.</w:t>
      </w:r>
    </w:p>
    <w:p>
      <w:pPr>
        <w:spacing w:after="0" w:line="184" w:lineRule="exact"/>
        <w:rPr>
          <w:sz w:val="20"/>
          <w:szCs w:val="20"/>
          <w:color w:val="auto"/>
        </w:rPr>
      </w:pPr>
    </w:p>
    <w:p>
      <w:pPr>
        <w:ind w:left="1140" w:hanging="335"/>
        <w:spacing w:after="0"/>
        <w:tabs>
          <w:tab w:leader="none" w:pos="114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Leading and defensible competitive market positions</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The Investment Adviser invests in portfolio companies that it believes have developed strong positions within their markets. The Investment Adviser also seeks to invest in portfolio companies that it believes possess competitive advantages, for example, in scale, scope, customer loyalty, product pricing or product quality as compared to their competitors to protect their market position.</w:t>
      </w:r>
    </w:p>
    <w:p>
      <w:pPr>
        <w:spacing w:after="0" w:line="181" w:lineRule="exact"/>
        <w:rPr>
          <w:sz w:val="20"/>
          <w:szCs w:val="20"/>
          <w:color w:val="auto"/>
        </w:rPr>
      </w:pPr>
    </w:p>
    <w:p>
      <w:pPr>
        <w:ind w:left="1140" w:hanging="335"/>
        <w:spacing w:after="0"/>
        <w:tabs>
          <w:tab w:leader="none" w:pos="114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Investing in stable borrowers with positive cash flow</w:t>
      </w:r>
    </w:p>
    <w:p>
      <w:pPr>
        <w:spacing w:after="0" w:line="90"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Our investment philosophy places a premium on fundamental analysis and has a distinct value-orientation. The Investment Adviser invests in portfolio companies it believes to be stable and well-established,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56" w:lineRule="exact"/>
        <w:rPr>
          <w:sz w:val="20"/>
          <w:szCs w:val="20"/>
          <w:color w:val="auto"/>
        </w:rPr>
      </w:pPr>
    </w:p>
    <w:p>
      <w:pPr>
        <w:ind w:left="1140" w:hanging="335"/>
        <w:spacing w:after="0"/>
        <w:tabs>
          <w:tab w:leader="none" w:pos="114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Proven management teams</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181" w:lineRule="exact"/>
        <w:rPr>
          <w:sz w:val="20"/>
          <w:szCs w:val="20"/>
          <w:color w:val="auto"/>
        </w:rPr>
      </w:pPr>
    </w:p>
    <w:p>
      <w:pPr>
        <w:ind w:left="1140" w:hanging="335"/>
        <w:spacing w:after="0"/>
        <w:tabs>
          <w:tab w:leader="none" w:pos="114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sponsorship</w:t>
      </w:r>
    </w:p>
    <w:p>
      <w:pPr>
        <w:spacing w:after="0" w:line="90"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The Investment Adviser may seek to cause us to participate in transactions sponsored by what it believes to be trusted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an ability, and a strong incentive, to contribute additional capital in difficult economic times should financial or operational issues arise so as to maintain their ownership position.</w:t>
      </w:r>
    </w:p>
    <w:p>
      <w:pPr>
        <w:spacing w:after="0" w:line="153" w:lineRule="exact"/>
        <w:rPr>
          <w:sz w:val="20"/>
          <w:szCs w:val="20"/>
          <w:color w:val="auto"/>
        </w:rPr>
      </w:pPr>
    </w:p>
    <w:p>
      <w:pPr>
        <w:ind w:left="1140" w:hanging="335"/>
        <w:spacing w:after="0"/>
        <w:tabs>
          <w:tab w:leader="none" w:pos="114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 in different borrowers, industries and geographies</w:t>
      </w:r>
    </w:p>
    <w:p>
      <w:pPr>
        <w:spacing w:after="0" w:line="90" w:lineRule="exact"/>
        <w:rPr>
          <w:sz w:val="20"/>
          <w:szCs w:val="20"/>
          <w:color w:val="auto"/>
        </w:rPr>
      </w:pPr>
    </w:p>
    <w:p>
      <w:pPr>
        <w:ind w:right="500" w:firstLine="571"/>
        <w:spacing w:after="0" w:line="306" w:lineRule="auto"/>
        <w:rPr>
          <w:sz w:val="20"/>
          <w:szCs w:val="20"/>
          <w:color w:val="auto"/>
        </w:rPr>
      </w:pPr>
      <w:r>
        <w:rPr>
          <w:rFonts w:ascii="Arial" w:cs="Arial" w:eastAsia="Arial" w:hAnsi="Arial"/>
          <w:sz w:val="16"/>
          <w:szCs w:val="16"/>
          <w:color w:val="auto"/>
        </w:rPr>
        <w:t>The Investment Adviser seeks to invest our assets broadly among portfolio companies, across industries and geographical regions. The Investment Adviser believes that this approach may reduce the risk that a downturn in any one portfolio company, industry or geographical region will have a disproportionate impact on the value of our portfolio, although we are permitted to be non-diversified under the 1940 Act.</w:t>
      </w:r>
    </w:p>
    <w:p>
      <w:pPr>
        <w:spacing w:after="0" w:line="147" w:lineRule="exact"/>
        <w:rPr>
          <w:sz w:val="20"/>
          <w:szCs w:val="20"/>
          <w:color w:val="auto"/>
        </w:rPr>
      </w:pPr>
    </w:p>
    <w:p>
      <w:pPr>
        <w:ind w:left="1140" w:hanging="335"/>
        <w:spacing w:after="0"/>
        <w:tabs>
          <w:tab w:leader="none" w:pos="114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Viable exit strategy</w:t>
      </w:r>
    </w:p>
    <w:p>
      <w:pPr>
        <w:spacing w:after="0" w:line="90"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96"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We believe it is critical to conduct extensive due diligence in evaluating new investment targets.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due diligence may include:</w:t>
      </w:r>
    </w:p>
    <w:p>
      <w:pPr>
        <w:spacing w:after="0" w:line="90"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research relating to the portfolio company’s management, industry, markets, products and services and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 of loan documents;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background checks.</w:t>
      </w:r>
    </w:p>
    <w:p>
      <w:pPr>
        <w:spacing w:after="0" w:line="171" w:lineRule="exact"/>
        <w:rPr>
          <w:sz w:val="20"/>
          <w:szCs w:val="20"/>
          <w:color w:val="auto"/>
        </w:rPr>
      </w:pPr>
    </w:p>
    <w:p>
      <w:pPr>
        <w:ind w:right="80" w:firstLine="571"/>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32"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Upon the completion of due diligence in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Rather, they are employees of and receive compensation from our Investment Adviser.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Structure</w:t>
      </w:r>
    </w:p>
    <w:p>
      <w:pPr>
        <w:spacing w:after="0" w:line="96" w:lineRule="exact"/>
        <w:rPr>
          <w:sz w:val="20"/>
          <w:szCs w:val="20"/>
          <w:color w:val="auto"/>
        </w:rPr>
      </w:pPr>
    </w:p>
    <w:p>
      <w:pPr>
        <w:jc w:val="both"/>
        <w:ind w:right="20" w:firstLine="571"/>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140"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We expect our Floating Rate Loans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85" w:lineRule="exact"/>
        <w:rPr>
          <w:sz w:val="20"/>
          <w:szCs w:val="20"/>
          <w:color w:val="auto"/>
        </w:rPr>
      </w:pPr>
    </w:p>
    <w:p>
      <w:pPr>
        <w:ind w:right="60" w:firstLine="571"/>
        <w:spacing w:after="0" w:line="323" w:lineRule="auto"/>
        <w:rPr>
          <w:sz w:val="20"/>
          <w:szCs w:val="20"/>
          <w:color w:val="auto"/>
        </w:rPr>
      </w:pPr>
      <w:r>
        <w:rPr>
          <w:rFonts w:ascii="Arial" w:cs="Arial" w:eastAsia="Arial" w:hAnsi="Arial"/>
          <w:sz w:val="15"/>
          <w:szCs w:val="15"/>
          <w:color w:val="auto"/>
        </w:rPr>
        <w:t>Typically, our mezzanine debt investments have maturities of three to ten years. Mezzanine debt may take the form of a second priority lien on the assets of a portfolio company and have interest-only payments in the early years with cash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mezzanine debt may be collateralized by a subordinated lien on some or all of the assets of the borrower.</w:t>
      </w:r>
    </w:p>
    <w:p>
      <w:pPr>
        <w:spacing w:after="0" w:line="98"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7" w:lineRule="exact"/>
        <w:rPr>
          <w:sz w:val="20"/>
          <w:szCs w:val="20"/>
          <w:color w:val="auto"/>
        </w:rPr>
      </w:pPr>
    </w:p>
    <w:p>
      <w:pPr>
        <w:ind w:left="900" w:right="24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requiring a total return on our investments (including both interest in the form of a floor and potential equity appreciation) that compensates us for credit risk;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jc w:val="both"/>
        <w:ind w:left="900" w:right="320" w:hanging="325"/>
        <w:spacing w:after="0" w:line="306"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our focus on preserving capital. Such restrictions may include affirmative and negative covenants, default penalties, lien protection, change of control provisions and board rights, including either observation or participation rights.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120" w:firstLine="571"/>
        <w:spacing w:after="0" w:line="332" w:lineRule="auto"/>
        <w:rPr>
          <w:sz w:val="20"/>
          <w:szCs w:val="20"/>
          <w:color w:val="auto"/>
        </w:rPr>
      </w:pPr>
      <w:r>
        <w:rPr>
          <w:rFonts w:ascii="Arial" w:cs="Arial" w:eastAsia="Arial" w:hAnsi="Arial"/>
          <w:sz w:val="16"/>
          <w:szCs w:val="16"/>
          <w:color w:val="auto"/>
        </w:rPr>
        <w:t>We expect to hold most of our investments to maturity or repayment, but we may exit certain investments earlier when a liquidity event, such as the sale or refinancing of a portfolio company, takes place. We also may turn over investments to better position the portfolio in light of market conditions.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Monitoring</w:t>
      </w:r>
    </w:p>
    <w:p>
      <w:pPr>
        <w:spacing w:after="0" w:line="90" w:lineRule="exact"/>
        <w:rPr>
          <w:sz w:val="20"/>
          <w:szCs w:val="20"/>
          <w:color w:val="auto"/>
        </w:rPr>
      </w:pPr>
    </w:p>
    <w:p>
      <w:pPr>
        <w:ind w:right="560" w:firstLine="571"/>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also monitors the financial trends of each portfolio company to determine if it is meeting its respective business plans and to assess the appropriate course of action for each portfolio company.</w:t>
      </w:r>
    </w:p>
    <w:p>
      <w:pPr>
        <w:spacing w:after="0" w:line="85" w:lineRule="exact"/>
        <w:rPr>
          <w:sz w:val="20"/>
          <w:szCs w:val="20"/>
          <w:color w:val="auto"/>
        </w:rPr>
      </w:pPr>
    </w:p>
    <w:p>
      <w:pPr>
        <w:ind w:right="340" w:firstLine="571"/>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periodic or regular contact with portfolio company management and, if appropriate, the financial or strategic sponsor, to discuss financial position, requirements and accomplishments;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comparisons to other portfolio companies in the industry,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 of periodic financial statements and financial projections for portfolio companies.</w:t>
      </w:r>
    </w:p>
    <w:p>
      <w:pPr>
        <w:spacing w:after="0" w:line="171" w:lineRule="exact"/>
        <w:rPr>
          <w:sz w:val="20"/>
          <w:szCs w:val="20"/>
          <w:color w:val="auto"/>
        </w:rPr>
      </w:pPr>
    </w:p>
    <w:p>
      <w:pPr>
        <w:ind w:right="160" w:firstLine="571"/>
        <w:spacing w:after="0" w:line="291" w:lineRule="auto"/>
        <w:rPr>
          <w:sz w:val="20"/>
          <w:szCs w:val="20"/>
          <w:color w:val="auto"/>
        </w:rPr>
      </w:pPr>
      <w:r>
        <w:rPr>
          <w:rFonts w:ascii="Arial" w:cs="Arial" w:eastAsia="Arial" w:hAnsi="Arial"/>
          <w:sz w:val="16"/>
          <w:szCs w:val="16"/>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capital requirements; (6) a portfolio company’s interest and asset coverage; and (7) the relative value of an investment based on a portfolio company’s anticipated cash flow.</w:t>
      </w:r>
    </w:p>
    <w:p>
      <w:pPr>
        <w:spacing w:after="0" w:line="120"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Under normal market conditions, we expect that at least 80% of the value of our Managed Assets will be invested in Floating Rate Loans and other instruments bearing a variable rate of interest which may, from time to time, include variable rate derivative instruments. This policy is not fundamental and may be changed by our board of directors with at least 60 days prior written notice provided to stockholders.</w:t>
      </w:r>
    </w:p>
    <w:p>
      <w:pPr>
        <w:spacing w:after="0" w:line="140"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color w:val="auto"/>
        </w:rPr>
        <w:t>While our investment objectives are to seek high current income and capital appreciation through investments in Floating Rate Loans, we may invest up to 35% of the portfolio in opportunistic investments. These investments may include investments in second-lien, high yield, mezzanine and distressed debt securities and, to a lesser extent equity investments and securities of companies located outside of the United States. We expect that these public foreign companies generally will have debt securities that are non-investment grade.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Managerial assistance</w:t>
      </w:r>
    </w:p>
    <w:p>
      <w:pPr>
        <w:spacing w:after="0" w:line="90" w:lineRule="exact"/>
        <w:rPr>
          <w:sz w:val="20"/>
          <w:szCs w:val="20"/>
          <w:color w:val="auto"/>
        </w:rPr>
      </w:pPr>
    </w:p>
    <w:p>
      <w:pPr>
        <w:ind w:right="120" w:firstLine="571"/>
        <w:spacing w:after="0" w:line="268" w:lineRule="auto"/>
        <w:rPr>
          <w:sz w:val="20"/>
          <w:szCs w:val="20"/>
          <w:color w:val="auto"/>
        </w:rPr>
      </w:pPr>
      <w:r>
        <w:rPr>
          <w:rFonts w:ascii="Arial" w:cs="Arial" w:eastAsia="Arial" w:hAnsi="Arial"/>
          <w:sz w:val="18"/>
          <w:szCs w:val="18"/>
          <w:color w:val="auto"/>
        </w:rPr>
        <w:t>We offer managerial assistance to our portfolio companies. As a BDC, we are required to make available such managerial assistance within the meaning of Section 55 of the 1940 Act. See “Regulation” for more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Staffing</w:t>
      </w:r>
    </w:p>
    <w:p>
      <w:pPr>
        <w:spacing w:after="0" w:line="9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We do not currently have any employees. Our Investment Adviser and Administrator have hired and expect to continue to hire professionals with skills applicable to our business plan, including experience in middle-market investing, senior lending, mezzanine lending, leveraged finance, distressed debt and private equity businesses.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w:t>
      </w:r>
    </w:p>
    <w:p>
      <w:pPr>
        <w:spacing w:after="0" w:line="144"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Our principal investment focus is to invest in Floating Rate Loans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81"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 Aerospace and Defense</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Energy/Utilities</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 Auto Sector</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Environmental Services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Beverage, Food and Tobacco</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Financial Services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Broadcasting and Entertainment</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Grocery</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Buildings and Real Estate</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Healthcare, Education and Childcare</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Building Materials</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High Tech Industries</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 Business Services</w:t>
            </w:r>
          </w:p>
        </w:tc>
        <w:tc>
          <w:tcPr>
            <w:tcW w:w="5860" w:type="dxa"/>
            <w:vAlign w:val="bottom"/>
            <w:gridSpan w:val="2"/>
          </w:tcPr>
          <w:p>
            <w:pPr>
              <w:ind w:left="580"/>
              <w:spacing w:after="0"/>
              <w:rPr>
                <w:sz w:val="20"/>
                <w:szCs w:val="20"/>
                <w:color w:val="auto"/>
              </w:rPr>
            </w:pPr>
            <w:r>
              <w:rPr>
                <w:rFonts w:ascii="Arial" w:cs="Arial" w:eastAsia="Arial" w:hAnsi="Arial"/>
                <w:sz w:val="18"/>
                <w:szCs w:val="18"/>
                <w:color w:val="auto"/>
                <w:w w:val="89"/>
              </w:rPr>
              <w:t>• Home &amp; Office Furnishings, Housewares &amp; Durable Consumer Products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Cable Television</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Hotels, Motels, Inns and Gaming</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Capital Equipment</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Insurance</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Cargo Transportation</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Leisure, Amusement, Motion Picture, Entertainment</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Chemicals, Plastics and Rubber</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Logistics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Manufacturing/Basic Industries</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 Consumer Products</w:t>
            </w:r>
          </w:p>
        </w:tc>
        <w:tc>
          <w:tcPr>
            <w:tcW w:w="5860" w:type="dxa"/>
            <w:vAlign w:val="bottom"/>
            <w:gridSpan w:val="2"/>
          </w:tcPr>
          <w:p>
            <w:pPr>
              <w:ind w:left="580"/>
              <w:spacing w:after="0"/>
              <w:rPr>
                <w:sz w:val="20"/>
                <w:szCs w:val="20"/>
                <w:color w:val="auto"/>
              </w:rPr>
            </w:pPr>
            <w:r>
              <w:rPr>
                <w:rFonts w:ascii="Arial" w:cs="Arial" w:eastAsia="Arial" w:hAnsi="Arial"/>
                <w:sz w:val="18"/>
                <w:szCs w:val="18"/>
                <w:color w:val="auto"/>
              </w:rPr>
              <w:t>• Media</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Consumer Services</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Mining, Steel, Iron and Non-Precious Metals</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 Containers Packaging &amp; Glass</w:t>
            </w:r>
          </w:p>
        </w:tc>
        <w:tc>
          <w:tcPr>
            <w:tcW w:w="5860" w:type="dxa"/>
            <w:vAlign w:val="bottom"/>
            <w:gridSpan w:val="2"/>
          </w:tcPr>
          <w:p>
            <w:pPr>
              <w:ind w:left="580"/>
              <w:spacing w:after="0"/>
              <w:rPr>
                <w:sz w:val="20"/>
                <w:szCs w:val="20"/>
                <w:color w:val="auto"/>
              </w:rPr>
            </w:pPr>
            <w:r>
              <w:rPr>
                <w:rFonts w:ascii="Arial" w:cs="Arial" w:eastAsia="Arial" w:hAnsi="Arial"/>
                <w:sz w:val="18"/>
                <w:szCs w:val="18"/>
                <w:color w:val="auto"/>
              </w:rPr>
              <w:t>• Oil and Gas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Other Media</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Diversified/Conglomerate Manufacturing</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Personal, Food and Miscellaneous Services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Diversified/Conglomerate Services</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Printing and Publishing</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Diversified Natural Resources, Precious Metals and Minerals</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5180" w:type="dxa"/>
            <w:vAlign w:val="bottom"/>
          </w:tcPr>
          <w:p>
            <w:pPr>
              <w:ind w:left="40"/>
              <w:spacing w:after="0"/>
              <w:rPr>
                <w:sz w:val="20"/>
                <w:szCs w:val="20"/>
                <w:color w:val="auto"/>
              </w:rPr>
            </w:pPr>
            <w:r>
              <w:rPr>
                <w:rFonts w:ascii="Arial" w:cs="Arial" w:eastAsia="Arial" w:hAnsi="Arial"/>
                <w:sz w:val="18"/>
                <w:szCs w:val="18"/>
                <w:color w:val="auto"/>
              </w:rPr>
              <w:t>Retail</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Education</w:t>
            </w:r>
          </w:p>
        </w:tc>
        <w:tc>
          <w:tcPr>
            <w:tcW w:w="5860" w:type="dxa"/>
            <w:vAlign w:val="bottom"/>
            <w:gridSpan w:val="2"/>
          </w:tcPr>
          <w:p>
            <w:pPr>
              <w:ind w:left="580"/>
              <w:spacing w:after="0"/>
              <w:rPr>
                <w:sz w:val="20"/>
                <w:szCs w:val="20"/>
                <w:color w:val="auto"/>
              </w:rPr>
            </w:pPr>
            <w:r>
              <w:rPr>
                <w:rFonts w:ascii="Arial" w:cs="Arial" w:eastAsia="Arial" w:hAnsi="Arial"/>
                <w:sz w:val="18"/>
                <w:szCs w:val="18"/>
                <w:color w:val="auto"/>
              </w:rPr>
              <w:t>• Wholesale</w:t>
            </w:r>
          </w:p>
        </w:tc>
      </w:tr>
      <w:tr>
        <w:trPr>
          <w:trHeight w:val="222"/>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Electronics</w:t>
            </w:r>
          </w:p>
        </w:tc>
        <w:tc>
          <w:tcPr>
            <w:tcW w:w="680" w:type="dxa"/>
            <w:vAlign w:val="bottom"/>
          </w:tcPr>
          <w:p>
            <w:pPr>
              <w:spacing w:after="0"/>
              <w:rPr>
                <w:sz w:val="19"/>
                <w:szCs w:val="19"/>
                <w:color w:val="auto"/>
              </w:rPr>
            </w:pPr>
          </w:p>
        </w:tc>
        <w:tc>
          <w:tcPr>
            <w:tcW w:w="5180" w:type="dxa"/>
            <w:vAlign w:val="bottom"/>
          </w:tcPr>
          <w:p>
            <w:pPr>
              <w:spacing w:after="0"/>
              <w:rPr>
                <w:sz w:val="19"/>
                <w:szCs w:val="19"/>
                <w:color w:val="auto"/>
              </w:rPr>
            </w:pPr>
          </w:p>
        </w:tc>
      </w:tr>
    </w:tbl>
    <w:p>
      <w:pPr>
        <w:spacing w:after="0" w:line="88" w:lineRule="exact"/>
        <w:rPr>
          <w:sz w:val="20"/>
          <w:szCs w:val="20"/>
          <w:color w:val="auto"/>
        </w:rPr>
      </w:pPr>
    </w:p>
    <w:p>
      <w:pPr>
        <w:ind w:right="760" w:firstLine="571"/>
        <w:spacing w:after="0" w:line="268"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equivalents) as of September 30: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60" w:type="dxa"/>
            <w:vAlign w:val="bottom"/>
          </w:tcPr>
          <w:p>
            <w:pPr>
              <w:spacing w:after="0"/>
              <w:rPr>
                <w:sz w:val="20"/>
                <w:szCs w:val="20"/>
                <w:color w:val="auto"/>
              </w:rPr>
            </w:pPr>
            <w:r>
              <w:rPr>
                <w:rFonts w:ascii="Arial" w:cs="Arial" w:eastAsia="Arial" w:hAnsi="Arial"/>
                <w:sz w:val="18"/>
                <w:szCs w:val="18"/>
                <w:b w:val="1"/>
                <w:bCs w:val="1"/>
                <w:color w:val="auto"/>
              </w:rPr>
              <w:t>Portfolio Company</w:t>
            </w:r>
          </w:p>
        </w:tc>
        <w:tc>
          <w:tcPr>
            <w:tcW w:w="2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2016</w:t>
            </w:r>
          </w:p>
        </w:tc>
        <w:tc>
          <w:tcPr>
            <w:tcW w:w="260" w:type="dxa"/>
            <w:vAlign w:val="bottom"/>
          </w:tcPr>
          <w:p>
            <w:pPr>
              <w:spacing w:after="0"/>
              <w:rPr>
                <w:sz w:val="21"/>
                <w:szCs w:val="21"/>
                <w:color w:val="auto"/>
              </w:rPr>
            </w:pPr>
          </w:p>
        </w:tc>
        <w:tc>
          <w:tcPr>
            <w:tcW w:w="4840" w:type="dxa"/>
            <w:vAlign w:val="bottom"/>
            <w:gridSpan w:val="2"/>
          </w:tcPr>
          <w:p>
            <w:pPr>
              <w:ind w:left="140"/>
              <w:spacing w:after="0"/>
              <w:rPr>
                <w:sz w:val="20"/>
                <w:szCs w:val="20"/>
                <w:color w:val="auto"/>
              </w:rPr>
            </w:pPr>
            <w:r>
              <w:rPr>
                <w:rFonts w:ascii="Arial" w:cs="Arial" w:eastAsia="Arial" w:hAnsi="Arial"/>
                <w:sz w:val="18"/>
                <w:szCs w:val="18"/>
                <w:b w:val="1"/>
                <w:bCs w:val="1"/>
                <w:color w:val="auto"/>
              </w:rPr>
              <w:t>Portfolio Company</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2015</w:t>
            </w:r>
          </w:p>
        </w:tc>
      </w:tr>
      <w:tr>
        <w:trPr>
          <w:trHeight w:val="20"/>
        </w:trPr>
        <w:tc>
          <w:tcPr>
            <w:tcW w:w="5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51"/>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Marketplace Events LLC</w:t>
            </w:r>
          </w:p>
        </w:tc>
        <w:tc>
          <w:tcPr>
            <w:tcW w:w="2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AKA Diversified Holdings, Inc.</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1"/>
        </w:trPr>
        <w:tc>
          <w:tcPr>
            <w:tcW w:w="5260" w:type="dxa"/>
            <w:vAlign w:val="bottom"/>
            <w:gridSpan w:val="2"/>
          </w:tcPr>
          <w:p>
            <w:pPr>
              <w:spacing w:after="0"/>
              <w:rPr>
                <w:sz w:val="20"/>
                <w:szCs w:val="20"/>
                <w:color w:val="auto"/>
              </w:rPr>
            </w:pPr>
            <w:r>
              <w:rPr>
                <w:rFonts w:ascii="Arial" w:cs="Arial" w:eastAsia="Arial" w:hAnsi="Arial"/>
                <w:sz w:val="18"/>
                <w:szCs w:val="18"/>
                <w:color w:val="auto"/>
              </w:rPr>
              <w:t>Advanced Cable Communications, LLC</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Bowlmor AMF Corp.</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r>
      <w:tr>
        <w:trPr>
          <w:trHeight w:val="232"/>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ALG USA Holdings, LLC</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CRGT Inc.</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r>
      <w:tr>
        <w:trPr>
          <w:trHeight w:val="256"/>
        </w:trPr>
        <w:tc>
          <w:tcPr>
            <w:tcW w:w="5260" w:type="dxa"/>
            <w:vAlign w:val="bottom"/>
            <w:gridSpan w:val="2"/>
          </w:tcPr>
          <w:p>
            <w:pPr>
              <w:spacing w:after="0"/>
              <w:rPr>
                <w:sz w:val="20"/>
                <w:szCs w:val="20"/>
                <w:color w:val="auto"/>
              </w:rPr>
            </w:pPr>
            <w:r>
              <w:rPr>
                <w:rFonts w:ascii="Arial" w:cs="Arial" w:eastAsia="Arial" w:hAnsi="Arial"/>
                <w:sz w:val="18"/>
                <w:szCs w:val="18"/>
                <w:color w:val="auto"/>
              </w:rPr>
              <w:t>AMF Bowling Centers, Inc.</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Howard Berger Co. LLC</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r>
      <w:tr>
        <w:trPr>
          <w:trHeight w:val="258"/>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CD&amp;R TZ Purchaser, Inc.</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Instant Web, LLC</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r>
      <w:tr>
        <w:trPr>
          <w:trHeight w:val="256"/>
        </w:trPr>
        <w:tc>
          <w:tcPr>
            <w:tcW w:w="5260" w:type="dxa"/>
            <w:vAlign w:val="bottom"/>
            <w:gridSpan w:val="2"/>
          </w:tcPr>
          <w:p>
            <w:pPr>
              <w:spacing w:after="0"/>
              <w:rPr>
                <w:sz w:val="20"/>
                <w:szCs w:val="20"/>
                <w:color w:val="auto"/>
              </w:rPr>
            </w:pPr>
            <w:r>
              <w:rPr>
                <w:rFonts w:ascii="Arial" w:cs="Arial" w:eastAsia="Arial" w:hAnsi="Arial"/>
                <w:sz w:val="18"/>
                <w:szCs w:val="18"/>
                <w:color w:val="auto"/>
              </w:rPr>
              <w:t>CRGT Inc.</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Language Line, LLC</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r>
      <w:tr>
        <w:trPr>
          <w:trHeight w:val="258"/>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Efficient Collaborative Retail Marketing Company, LLC</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Novitex Acquisition, LLC</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r>
      <w:tr>
        <w:trPr>
          <w:trHeight w:val="256"/>
        </w:trPr>
        <w:tc>
          <w:tcPr>
            <w:tcW w:w="5260" w:type="dxa"/>
            <w:vAlign w:val="bottom"/>
            <w:gridSpan w:val="2"/>
          </w:tcPr>
          <w:p>
            <w:pPr>
              <w:spacing w:after="0"/>
              <w:rPr>
                <w:sz w:val="20"/>
                <w:szCs w:val="20"/>
                <w:color w:val="auto"/>
              </w:rPr>
            </w:pPr>
            <w:r>
              <w:rPr>
                <w:rFonts w:ascii="Arial" w:cs="Arial" w:eastAsia="Arial" w:hAnsi="Arial"/>
                <w:sz w:val="18"/>
                <w:szCs w:val="18"/>
                <w:color w:val="auto"/>
              </w:rPr>
              <w:t>KHC Holdings, Inc.</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Polyconcept Finance B.V.</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r>
      <w:tr>
        <w:trPr>
          <w:trHeight w:val="258"/>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Novitex Acquisition, LLC</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Surgical Specialties Corporation (US), Inc.</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r>
      <w:tr>
        <w:trPr>
          <w:trHeight w:val="255"/>
        </w:trPr>
        <w:tc>
          <w:tcPr>
            <w:tcW w:w="5260" w:type="dxa"/>
            <w:vAlign w:val="bottom"/>
            <w:gridSpan w:val="2"/>
          </w:tcPr>
          <w:p>
            <w:pPr>
              <w:spacing w:after="0"/>
              <w:rPr>
                <w:sz w:val="20"/>
                <w:szCs w:val="20"/>
                <w:color w:val="auto"/>
              </w:rPr>
            </w:pPr>
            <w:r>
              <w:rPr>
                <w:rFonts w:ascii="Arial" w:cs="Arial" w:eastAsia="Arial" w:hAnsi="Arial"/>
                <w:sz w:val="18"/>
                <w:szCs w:val="18"/>
                <w:color w:val="auto"/>
              </w:rPr>
              <w:t>Triad Manufacturing, Inc.</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iEnergizer Limited and Aptara, Inc.</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2</w:t>
            </w: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60" w:type="dxa"/>
            <w:vAlign w:val="bottom"/>
          </w:tcPr>
          <w:p>
            <w:pPr>
              <w:spacing w:after="0"/>
              <w:rPr>
                <w:sz w:val="20"/>
                <w:szCs w:val="20"/>
                <w:color w:val="auto"/>
              </w:rPr>
            </w:pPr>
            <w:r>
              <w:rPr>
                <w:rFonts w:ascii="Arial" w:cs="Arial" w:eastAsia="Arial" w:hAnsi="Arial"/>
                <w:sz w:val="18"/>
                <w:szCs w:val="18"/>
                <w:b w:val="1"/>
                <w:bCs w:val="1"/>
                <w:color w:val="auto"/>
              </w:rPr>
              <w:t>Industry</w:t>
            </w:r>
          </w:p>
        </w:tc>
        <w:tc>
          <w:tcPr>
            <w:tcW w:w="2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2016</w:t>
            </w:r>
          </w:p>
        </w:tc>
        <w:tc>
          <w:tcPr>
            <w:tcW w:w="260" w:type="dxa"/>
            <w:vAlign w:val="bottom"/>
          </w:tcPr>
          <w:p>
            <w:pPr>
              <w:spacing w:after="0"/>
              <w:rPr>
                <w:sz w:val="21"/>
                <w:szCs w:val="21"/>
                <w:color w:val="auto"/>
              </w:rPr>
            </w:pPr>
          </w:p>
        </w:tc>
        <w:tc>
          <w:tcPr>
            <w:tcW w:w="4840" w:type="dxa"/>
            <w:vAlign w:val="bottom"/>
            <w:gridSpan w:val="2"/>
          </w:tcPr>
          <w:p>
            <w:pPr>
              <w:ind w:left="140"/>
              <w:spacing w:after="0"/>
              <w:rPr>
                <w:sz w:val="20"/>
                <w:szCs w:val="20"/>
                <w:color w:val="auto"/>
              </w:rPr>
            </w:pPr>
            <w:r>
              <w:rPr>
                <w:rFonts w:ascii="Arial" w:cs="Arial" w:eastAsia="Arial" w:hAnsi="Arial"/>
                <w:sz w:val="18"/>
                <w:szCs w:val="18"/>
                <w:b w:val="1"/>
                <w:bCs w:val="1"/>
                <w:color w:val="auto"/>
              </w:rPr>
              <w:t>Industry</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2015</w:t>
            </w:r>
          </w:p>
        </w:tc>
      </w:tr>
      <w:tr>
        <w:trPr>
          <w:trHeight w:val="20"/>
        </w:trPr>
        <w:tc>
          <w:tcPr>
            <w:tcW w:w="5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51"/>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2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High Tech Industries</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56"/>
        </w:trPr>
        <w:tc>
          <w:tcPr>
            <w:tcW w:w="5260" w:type="dxa"/>
            <w:vAlign w:val="bottom"/>
            <w:gridSpan w:val="2"/>
          </w:tcPr>
          <w:p>
            <w:pPr>
              <w:spacing w:after="0"/>
              <w:rPr>
                <w:sz w:val="20"/>
                <w:szCs w:val="20"/>
                <w:color w:val="auto"/>
              </w:rPr>
            </w:pPr>
            <w:r>
              <w:rPr>
                <w:rFonts w:ascii="Arial" w:cs="Arial" w:eastAsia="Arial" w:hAnsi="Arial"/>
                <w:sz w:val="18"/>
                <w:szCs w:val="18"/>
                <w:color w:val="auto"/>
              </w:rPr>
              <w:t>High Tech Industries</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Healthcare and Pharmaceuticals</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12</w:t>
            </w:r>
          </w:p>
        </w:tc>
      </w:tr>
      <w:tr>
        <w:trPr>
          <w:trHeight w:val="258"/>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Business Services</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r>
      <w:tr>
        <w:trPr>
          <w:trHeight w:val="256"/>
        </w:trPr>
        <w:tc>
          <w:tcPr>
            <w:tcW w:w="5260" w:type="dxa"/>
            <w:vAlign w:val="bottom"/>
            <w:gridSpan w:val="2"/>
          </w:tcPr>
          <w:p>
            <w:pPr>
              <w:spacing w:after="0"/>
              <w:rPr>
                <w:sz w:val="20"/>
                <w:szCs w:val="20"/>
                <w:color w:val="auto"/>
              </w:rPr>
            </w:pPr>
            <w:r>
              <w:rPr>
                <w:rFonts w:ascii="Arial" w:cs="Arial" w:eastAsia="Arial" w:hAnsi="Arial"/>
                <w:sz w:val="18"/>
                <w:szCs w:val="18"/>
                <w:color w:val="auto"/>
              </w:rPr>
              <w:t>Consumer Goods: Durable</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Consumer Goods: Durable</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8</w:t>
            </w:r>
          </w:p>
        </w:tc>
      </w:tr>
      <w:tr>
        <w:trPr>
          <w:trHeight w:val="258"/>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Retail</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r>
      <w:tr>
        <w:trPr>
          <w:trHeight w:val="256"/>
        </w:trPr>
        <w:tc>
          <w:tcPr>
            <w:tcW w:w="526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Construction and Building</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6</w:t>
            </w:r>
          </w:p>
        </w:tc>
      </w:tr>
      <w:tr>
        <w:trPr>
          <w:trHeight w:val="258"/>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Consumer Services</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r>
      <w:tr>
        <w:trPr>
          <w:trHeight w:val="256"/>
        </w:trPr>
        <w:tc>
          <w:tcPr>
            <w:tcW w:w="5260" w:type="dxa"/>
            <w:vAlign w:val="bottom"/>
            <w:gridSpan w:val="2"/>
          </w:tcPr>
          <w:p>
            <w:pPr>
              <w:spacing w:after="0"/>
              <w:rPr>
                <w:sz w:val="20"/>
                <w:szCs w:val="20"/>
                <w:color w:val="auto"/>
              </w:rPr>
            </w:pPr>
            <w:r>
              <w:rPr>
                <w:rFonts w:ascii="Arial" w:cs="Arial" w:eastAsia="Arial" w:hAnsi="Arial"/>
                <w:sz w:val="18"/>
                <w:szCs w:val="18"/>
                <w:color w:val="auto"/>
              </w:rPr>
              <w:t>Media: Diversified and Production</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Hotel, Gaming and Leisure</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5</w:t>
            </w:r>
          </w:p>
        </w:tc>
      </w:tr>
      <w:tr>
        <w:trPr>
          <w:trHeight w:val="258"/>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Consumer Goods: Non-Durable</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r>
      <w:tr>
        <w:trPr>
          <w:trHeight w:val="255"/>
        </w:trPr>
        <w:tc>
          <w:tcPr>
            <w:tcW w:w="5260" w:type="dxa"/>
            <w:vAlign w:val="bottom"/>
            <w:gridSpan w:val="2"/>
          </w:tcPr>
          <w:p>
            <w:pPr>
              <w:spacing w:after="0"/>
              <w:rPr>
                <w:sz w:val="20"/>
                <w:szCs w:val="20"/>
                <w:color w:val="auto"/>
              </w:rPr>
            </w:pPr>
            <w:r>
              <w:rPr>
                <w:rFonts w:ascii="Arial" w:cs="Arial" w:eastAsia="Arial" w:hAnsi="Arial"/>
                <w:sz w:val="18"/>
                <w:szCs w:val="18"/>
                <w:color w:val="auto"/>
              </w:rPr>
              <w:t>Wholesale</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4840" w:type="dxa"/>
            <w:vAlign w:val="bottom"/>
            <w:gridSpan w:val="2"/>
          </w:tcPr>
          <w:p>
            <w:pPr>
              <w:ind w:left="140"/>
              <w:spacing w:after="0"/>
              <w:rPr>
                <w:sz w:val="20"/>
                <w:szCs w:val="20"/>
                <w:color w:val="auto"/>
              </w:rPr>
            </w:pPr>
            <w:r>
              <w:rPr>
                <w:rFonts w:ascii="Arial" w:cs="Arial" w:eastAsia="Arial" w:hAnsi="Arial"/>
                <w:sz w:val="18"/>
                <w:szCs w:val="18"/>
                <w:color w:val="auto"/>
              </w:rPr>
              <w:t>Media: Advertising, Printing and Publishing</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4</w:t>
            </w:r>
          </w:p>
        </w:tc>
      </w:tr>
    </w:tbl>
    <w:p>
      <w:pPr>
        <w:spacing w:after="0" w:line="142"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459" w:right="2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Investment Corporation,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 and we have received exemptive relief with respect to certain co-investment transactions. Where co-investment is unavailable or inappropriate, the Investment Adviser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27"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our trade allocation procedures and, if applicable, the terms of our exemptive relief.</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00"/>
          </w:cols>
          <w:pgMar w:left="240" w:top="459" w:right="3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96" w:lineRule="exact"/>
        <w:rPr>
          <w:sz w:val="20"/>
          <w:szCs w:val="20"/>
          <w:color w:val="auto"/>
        </w:rPr>
      </w:pPr>
    </w:p>
    <w:p>
      <w:pPr>
        <w:ind w:right="260" w:firstLine="571"/>
        <w:spacing w:after="0" w:line="323" w:lineRule="auto"/>
        <w:rPr>
          <w:sz w:val="20"/>
          <w:szCs w:val="20"/>
          <w:color w:val="auto"/>
        </w:rPr>
      </w:pPr>
      <w:r>
        <w:rPr>
          <w:rFonts w:ascii="Arial" w:cs="Arial" w:eastAsia="Arial" w:hAnsi="Arial"/>
          <w:sz w:val="15"/>
          <w:szCs w:val="15"/>
          <w:color w:val="auto"/>
        </w:rPr>
        <w:t>The following is a listing of each portfolio company or its affiliate, together referred to as portfolio companies, in which we had an investment as of September 30, 2016.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Consolidated Financial Statements included elsewhere in this prospectus.</w:t>
      </w:r>
    </w:p>
    <w:p>
      <w:pPr>
        <w:spacing w:after="0" w:line="17"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Certain assets are pledged as collateral under our Credit Facility as disclosed in our Consolidated Schedule of Investments. Unless otherwise noted, we held no voting board membership on any of our portfolio companies.</w:t>
      </w:r>
    </w:p>
    <w:p>
      <w:pPr>
        <w:spacing w:after="0" w:line="3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of September 30, 2016, there was no portfolio company in which we have made an investment that represents greater than 5% of our total assets.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tcPr>
          <w:p>
            <w:pPr>
              <w:ind w:left="500"/>
              <w:spacing w:after="0"/>
              <w:rPr>
                <w:sz w:val="20"/>
                <w:szCs w:val="20"/>
                <w:color w:val="auto"/>
              </w:rPr>
            </w:pPr>
            <w:r>
              <w:rPr>
                <w:rFonts w:ascii="Arial" w:cs="Arial" w:eastAsia="Arial" w:hAnsi="Arial"/>
                <w:sz w:val="14"/>
                <w:szCs w:val="14"/>
                <w:b w:val="1"/>
                <w:bCs w:val="1"/>
                <w:color w:val="auto"/>
              </w:rPr>
              <w:t>Type of Investment,</w:t>
            </w:r>
          </w:p>
        </w:tc>
        <w:tc>
          <w:tcPr>
            <w:tcW w:w="1820" w:type="dxa"/>
            <w:vAlign w:val="bottom"/>
            <w:gridSpan w:val="2"/>
          </w:tcPr>
          <w:p>
            <w:pPr>
              <w:ind w:left="340"/>
              <w:spacing w:after="0"/>
              <w:rPr>
                <w:sz w:val="20"/>
                <w:szCs w:val="20"/>
                <w:color w:val="auto"/>
              </w:rPr>
            </w:pPr>
            <w:r>
              <w:rPr>
                <w:rFonts w:ascii="Arial" w:cs="Arial" w:eastAsia="Arial" w:hAnsi="Arial"/>
                <w:sz w:val="14"/>
                <w:szCs w:val="14"/>
                <w:b w:val="1"/>
                <w:bCs w:val="1"/>
                <w:color w:val="auto"/>
              </w:rPr>
              <w:t>Voting Percentage</w:t>
            </w:r>
          </w:p>
        </w:tc>
        <w:tc>
          <w:tcPr>
            <w:tcW w:w="1700" w:type="dxa"/>
            <w:vAlign w:val="bottom"/>
          </w:tcPr>
          <w:p>
            <w:pPr>
              <w:jc w:val="right"/>
              <w:ind w:right="45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83"/>
              </w:rPr>
              <w:t>Nature of Business</w:t>
            </w:r>
          </w:p>
        </w:tc>
        <w:tc>
          <w:tcPr>
            <w:tcW w:w="120" w:type="dxa"/>
            <w:vAlign w:val="bottom"/>
          </w:tcPr>
          <w:p>
            <w:pPr>
              <w:spacing w:after="0"/>
              <w:rPr>
                <w:sz w:val="17"/>
                <w:szCs w:val="17"/>
                <w:color w:val="auto"/>
              </w:rPr>
            </w:pP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5"/>
              </w:rPr>
              <w:t>Interest</w:t>
            </w:r>
            <w:r>
              <w:rPr>
                <w:rFonts w:ascii="Arial" w:cs="Arial" w:eastAsia="Arial" w:hAnsi="Arial"/>
                <w:sz w:val="20"/>
                <w:szCs w:val="20"/>
                <w:b w:val="1"/>
                <w:bCs w:val="1"/>
                <w:color w:val="auto"/>
                <w:w w:val="95"/>
                <w:vertAlign w:val="superscript"/>
              </w:rPr>
              <w:t>(1)</w:t>
            </w:r>
            <w:r>
              <w:rPr>
                <w:rFonts w:ascii="Arial" w:cs="Arial" w:eastAsia="Arial" w:hAnsi="Arial"/>
                <w:sz w:val="13"/>
                <w:szCs w:val="13"/>
                <w:b w:val="1"/>
                <w:bCs w:val="1"/>
                <w:color w:val="auto"/>
                <w:w w:val="95"/>
              </w:rPr>
              <w:t>, Maturity</w:t>
            </w:r>
          </w:p>
        </w:tc>
        <w:tc>
          <w:tcPr>
            <w:tcW w:w="1820" w:type="dxa"/>
            <w:vAlign w:val="bottom"/>
            <w:gridSpan w:val="2"/>
          </w:tcPr>
          <w:p>
            <w:pPr>
              <w:ind w:left="460"/>
              <w:spacing w:after="0" w:line="176" w:lineRule="exact"/>
              <w:rPr>
                <w:sz w:val="20"/>
                <w:szCs w:val="20"/>
                <w:color w:val="auto"/>
              </w:rPr>
            </w:pPr>
            <w:r>
              <w:rPr>
                <w:rFonts w:ascii="Arial" w:cs="Arial" w:eastAsia="Arial" w:hAnsi="Arial"/>
                <w:sz w:val="13"/>
                <w:szCs w:val="13"/>
                <w:b w:val="1"/>
                <w:bCs w:val="1"/>
                <w:color w:val="auto"/>
              </w:rPr>
              <w:t xml:space="preserve">Ownership </w:t>
            </w:r>
            <w:r>
              <w:rPr>
                <w:rFonts w:ascii="Arial" w:cs="Arial" w:eastAsia="Arial" w:hAnsi="Arial"/>
                <w:sz w:val="20"/>
                <w:szCs w:val="20"/>
                <w:b w:val="1"/>
                <w:bCs w:val="1"/>
                <w:color w:val="auto"/>
                <w:vertAlign w:val="superscript"/>
              </w:rPr>
              <w:t>(2)</w:t>
            </w:r>
          </w:p>
        </w:tc>
        <w:tc>
          <w:tcPr>
            <w:tcW w:w="1700" w:type="dxa"/>
            <w:vAlign w:val="bottom"/>
          </w:tcPr>
          <w:p>
            <w:pPr>
              <w:jc w:val="right"/>
              <w:ind w:right="356"/>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88"/>
              </w:rPr>
              <w:t>Companies Less than 5% Owned</w:t>
            </w:r>
          </w:p>
        </w:tc>
        <w:tc>
          <w:tcPr>
            <w:tcW w:w="68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Advanced Cable Communications, LLC</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Telecommunications</w:t>
            </w: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00" w:type="dxa"/>
            <w:vAlign w:val="bottom"/>
          </w:tcPr>
          <w:p>
            <w:pPr>
              <w:spacing w:after="0"/>
              <w:rPr>
                <w:sz w:val="18"/>
                <w:szCs w:val="18"/>
                <w:color w:val="auto"/>
              </w:rPr>
            </w:pPr>
          </w:p>
        </w:tc>
        <w:tc>
          <w:tcPr>
            <w:tcW w:w="1700" w:type="dxa"/>
            <w:vAlign w:val="bottom"/>
          </w:tcPr>
          <w:p>
            <w:pPr>
              <w:jc w:val="right"/>
              <w:ind w:right="436"/>
              <w:spacing w:after="0"/>
              <w:rPr>
                <w:sz w:val="20"/>
                <w:szCs w:val="20"/>
                <w:color w:val="auto"/>
              </w:rPr>
            </w:pPr>
            <w:r>
              <w:rPr>
                <w:rFonts w:ascii="Arial" w:cs="Arial" w:eastAsia="Arial" w:hAnsi="Arial"/>
                <w:sz w:val="18"/>
                <w:szCs w:val="18"/>
                <w:color w:val="auto"/>
              </w:rPr>
              <w:t>$ 12,601</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(TPC Broadband Investors, LP)</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L+575, 08/09/2021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12409 NW 35 Street</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Equity</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Coral Springs, FL 33065</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2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Affinion Group Holdings, Inc.</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Consumer Goods: Durable</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5,635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(Affinion Group, Inc.)</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L+700, 10/31/2018</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(Affinion International Holdings Limited)</w:t>
            </w:r>
            <w:r>
              <w:rPr>
                <w:rFonts w:ascii="Arial" w:cs="Arial" w:eastAsia="Arial" w:hAnsi="Arial"/>
                <w:sz w:val="11"/>
                <w:szCs w:val="11"/>
                <w:color w:val="auto"/>
                <w:w w:val="97"/>
              </w:rPr>
              <w:t>(3)</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Subordinated Debt, 7.50%</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Connecticut Avenue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(PIK4.00%) fixed, 07/30/2018</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Norwalk, CT 06850</w:t>
            </w:r>
          </w:p>
        </w:tc>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Common Equity</w:t>
            </w: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220" w:type="dxa"/>
            <w:vAlign w:val="bottom"/>
            <w:gridSpan w:val="3"/>
          </w:tcPr>
          <w:p>
            <w:pPr>
              <w:spacing w:after="0"/>
              <w:rPr>
                <w:sz w:val="20"/>
                <w:szCs w:val="20"/>
                <w:color w:val="auto"/>
              </w:rPr>
            </w:pPr>
            <w:r>
              <w:rPr>
                <w:rFonts w:ascii="Arial" w:cs="Arial" w:eastAsia="Arial" w:hAnsi="Arial"/>
                <w:sz w:val="18"/>
                <w:szCs w:val="18"/>
                <w:color w:val="auto"/>
              </w:rPr>
              <w:t>ALG USA Holdings, LLC</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Hotel, Gaming and Leisure</w:t>
            </w:r>
          </w:p>
        </w:tc>
        <w:tc>
          <w:tcPr>
            <w:tcW w:w="120" w:type="dxa"/>
            <w:vAlign w:val="bottom"/>
          </w:tcPr>
          <w:p>
            <w:pPr>
              <w:spacing w:after="0"/>
              <w:rPr>
                <w:sz w:val="23"/>
                <w:szCs w:val="23"/>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6"/>
              <w:spacing w:after="0"/>
              <w:rPr>
                <w:sz w:val="20"/>
                <w:szCs w:val="20"/>
                <w:color w:val="auto"/>
              </w:rPr>
            </w:pPr>
            <w:r>
              <w:rPr>
                <w:rFonts w:ascii="Arial" w:cs="Arial" w:eastAsia="Arial" w:hAnsi="Arial"/>
                <w:sz w:val="18"/>
                <w:szCs w:val="18"/>
                <w:color w:val="auto"/>
              </w:rPr>
              <w:t>12,064</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7 Campus Boulevard</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L+575, 02/28/2019</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Newtown Square, PA 19073</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2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Alvogen Pharma US, Inc.</w:t>
            </w:r>
            <w:r>
              <w:rPr>
                <w:rFonts w:ascii="Arial" w:cs="Arial" w:eastAsia="Arial" w:hAnsi="Arial"/>
                <w:sz w:val="11"/>
                <w:szCs w:val="11"/>
                <w:color w:val="auto"/>
              </w:rPr>
              <w:t>(3)</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Healthcare and Pharmaceuticals</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3,946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 Bloomfield Avenue, Building B</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L+500, 04/04/2022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Pine Brook, NJ 07058</w:t>
            </w:r>
          </w:p>
        </w:tc>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220" w:type="dxa"/>
            <w:vAlign w:val="bottom"/>
            <w:gridSpan w:val="3"/>
          </w:tcPr>
          <w:p>
            <w:pPr>
              <w:spacing w:after="0"/>
              <w:rPr>
                <w:sz w:val="20"/>
                <w:szCs w:val="20"/>
                <w:color w:val="auto"/>
              </w:rPr>
            </w:pPr>
            <w:r>
              <w:rPr>
                <w:rFonts w:ascii="Arial" w:cs="Arial" w:eastAsia="Arial" w:hAnsi="Arial"/>
                <w:sz w:val="18"/>
                <w:szCs w:val="18"/>
                <w:color w:val="auto"/>
              </w:rPr>
              <w:t>American Bath Group, LLC</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Consumer Goods: Durable</w:t>
            </w:r>
          </w:p>
        </w:tc>
        <w:tc>
          <w:tcPr>
            <w:tcW w:w="120" w:type="dxa"/>
            <w:vAlign w:val="bottom"/>
          </w:tcPr>
          <w:p>
            <w:pPr>
              <w:spacing w:after="0"/>
              <w:rPr>
                <w:sz w:val="23"/>
                <w:szCs w:val="23"/>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6"/>
              <w:spacing w:after="0"/>
              <w:rPr>
                <w:sz w:val="20"/>
                <w:szCs w:val="20"/>
                <w:color w:val="auto"/>
              </w:rPr>
            </w:pPr>
            <w:r>
              <w:rPr>
                <w:rFonts w:ascii="Arial" w:cs="Arial" w:eastAsia="Arial" w:hAnsi="Arial"/>
                <w:sz w:val="18"/>
                <w:szCs w:val="18"/>
                <w:color w:val="auto"/>
              </w:rPr>
              <w:t>2,993</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435 Industrial Road</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L+575, 10/02/2023</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Savannah, TN 38372</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2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American Gilsonite Company</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Metals and Mining</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1717 St. James Place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 , 09/01/2017</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TX 77056</w:t>
            </w:r>
          </w:p>
        </w:tc>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220" w:type="dxa"/>
            <w:vAlign w:val="bottom"/>
            <w:gridSpan w:val="3"/>
          </w:tcPr>
          <w:p>
            <w:pPr>
              <w:spacing w:after="0"/>
              <w:rPr>
                <w:sz w:val="20"/>
                <w:szCs w:val="20"/>
                <w:color w:val="auto"/>
              </w:rPr>
            </w:pPr>
            <w:r>
              <w:rPr>
                <w:rFonts w:ascii="Arial" w:cs="Arial" w:eastAsia="Arial" w:hAnsi="Arial"/>
                <w:sz w:val="18"/>
                <w:szCs w:val="18"/>
                <w:color w:val="auto"/>
              </w:rPr>
              <w:t>American Scaffold</w:t>
            </w:r>
          </w:p>
        </w:tc>
        <w:tc>
          <w:tcPr>
            <w:tcW w:w="2300" w:type="dxa"/>
            <w:vAlign w:val="bottom"/>
          </w:tcPr>
          <w:p>
            <w:pPr>
              <w:jc w:val="center"/>
              <w:spacing w:after="0"/>
              <w:rPr>
                <w:sz w:val="20"/>
                <w:szCs w:val="20"/>
                <w:color w:val="auto"/>
              </w:rPr>
            </w:pPr>
            <w:r>
              <w:rPr>
                <w:rFonts w:ascii="Arial" w:cs="Arial" w:eastAsia="Arial" w:hAnsi="Arial"/>
                <w:sz w:val="18"/>
                <w:szCs w:val="18"/>
                <w:color w:val="auto"/>
                <w:w w:val="85"/>
              </w:rPr>
              <w:t>Aerospace and Defense</w:t>
            </w:r>
          </w:p>
        </w:tc>
        <w:tc>
          <w:tcPr>
            <w:tcW w:w="120" w:type="dxa"/>
            <w:vAlign w:val="bottom"/>
          </w:tcPr>
          <w:p>
            <w:pPr>
              <w:spacing w:after="0"/>
              <w:rPr>
                <w:sz w:val="23"/>
                <w:szCs w:val="23"/>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6"/>
              <w:spacing w:after="0"/>
              <w:rPr>
                <w:sz w:val="20"/>
                <w:szCs w:val="20"/>
                <w:color w:val="auto"/>
              </w:rPr>
            </w:pPr>
            <w:r>
              <w:rPr>
                <w:rFonts w:ascii="Arial" w:cs="Arial" w:eastAsia="Arial" w:hAnsi="Arial"/>
                <w:sz w:val="18"/>
                <w:szCs w:val="18"/>
                <w:color w:val="auto"/>
              </w:rPr>
              <w:t>4,888</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3210 Commercial Street</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L+650, 03/31/2022</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San Diego, CA 92113</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2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AMF Bowling Centers, Inc.</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Retail</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14,931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222 W. 44</w:t>
            </w:r>
            <w:r>
              <w:rPr>
                <w:rFonts w:ascii="Arial" w:cs="Arial" w:eastAsia="Arial" w:hAnsi="Arial"/>
                <w:sz w:val="11"/>
                <w:szCs w:val="11"/>
                <w:color w:val="auto"/>
              </w:rPr>
              <w:t>th</w:t>
            </w:r>
            <w:r>
              <w:rPr>
                <w:rFonts w:ascii="Arial" w:cs="Arial" w:eastAsia="Arial" w:hAnsi="Arial"/>
                <w:sz w:val="18"/>
                <w:szCs w:val="18"/>
                <w:color w:val="auto"/>
              </w:rPr>
              <w:t xml:space="preserve"> St.</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L+500, 09/19/2023</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10036</w:t>
            </w:r>
          </w:p>
        </w:tc>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220" w:type="dxa"/>
            <w:vAlign w:val="bottom"/>
            <w:gridSpan w:val="3"/>
          </w:tcPr>
          <w:p>
            <w:pPr>
              <w:spacing w:after="0"/>
              <w:rPr>
                <w:sz w:val="20"/>
                <w:szCs w:val="20"/>
                <w:color w:val="auto"/>
              </w:rPr>
            </w:pPr>
            <w:r>
              <w:rPr>
                <w:rFonts w:ascii="Arial" w:cs="Arial" w:eastAsia="Arial" w:hAnsi="Arial"/>
                <w:sz w:val="18"/>
                <w:szCs w:val="18"/>
                <w:color w:val="auto"/>
              </w:rPr>
              <w:t>AP Gaming I, LLC</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Hotel, Gaming and Leisure</w:t>
            </w:r>
          </w:p>
        </w:tc>
        <w:tc>
          <w:tcPr>
            <w:tcW w:w="120" w:type="dxa"/>
            <w:vAlign w:val="bottom"/>
          </w:tcPr>
          <w:p>
            <w:pPr>
              <w:spacing w:after="0"/>
              <w:rPr>
                <w:sz w:val="23"/>
                <w:szCs w:val="23"/>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w:t>
            </w:r>
          </w:p>
        </w:tc>
        <w:tc>
          <w:tcPr>
            <w:tcW w:w="1700" w:type="dxa"/>
            <w:vAlign w:val="bottom"/>
          </w:tcPr>
          <w:p>
            <w:pPr>
              <w:jc w:val="right"/>
              <w:ind w:right="436"/>
              <w:spacing w:after="0"/>
              <w:rPr>
                <w:sz w:val="20"/>
                <w:szCs w:val="20"/>
                <w:color w:val="auto"/>
              </w:rPr>
            </w:pPr>
            <w:r>
              <w:rPr>
                <w:rFonts w:ascii="Arial" w:cs="Arial" w:eastAsia="Arial" w:hAnsi="Arial"/>
                <w:sz w:val="18"/>
                <w:szCs w:val="18"/>
                <w:color w:val="auto"/>
              </w:rPr>
              <w:t>6,220</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6680 Amelia Earhart Court</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L+825, 12/21/2020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Las Vegas, NV 89119</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2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API Technologies Corp.</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Aerospace and Defense</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9,825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4705 S. Apopka Vineland Rd., Suite 210</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L+650, 04/22/2022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Orlando, FL 32819</w:t>
            </w:r>
          </w:p>
        </w:tc>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80" w:type="dxa"/>
            <w:vAlign w:val="bottom"/>
            <w:gridSpan w:val="2"/>
          </w:tcPr>
          <w:p>
            <w:pPr>
              <w:jc w:val="right"/>
              <w:ind w:right="1914"/>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Type of Investment,</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Voting Percentage</w:t>
            </w:r>
          </w:p>
        </w:tc>
        <w:tc>
          <w:tcPr>
            <w:tcW w:w="1700" w:type="dxa"/>
            <w:vAlign w:val="bottom"/>
          </w:tcPr>
          <w:p>
            <w:pPr>
              <w:jc w:val="right"/>
              <w:ind w:right="4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Nature of Business</w:t>
            </w: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5"/>
              </w:rPr>
              <w:t>Interest</w:t>
            </w:r>
            <w:r>
              <w:rPr>
                <w:rFonts w:ascii="Arial" w:cs="Arial" w:eastAsia="Arial" w:hAnsi="Arial"/>
                <w:sz w:val="20"/>
                <w:szCs w:val="20"/>
                <w:b w:val="1"/>
                <w:bCs w:val="1"/>
                <w:color w:val="auto"/>
                <w:w w:val="95"/>
                <w:vertAlign w:val="superscript"/>
              </w:rPr>
              <w:t>(1)</w:t>
            </w:r>
            <w:r>
              <w:rPr>
                <w:rFonts w:ascii="Arial" w:cs="Arial" w:eastAsia="Arial" w:hAnsi="Arial"/>
                <w:sz w:val="13"/>
                <w:szCs w:val="13"/>
                <w:b w:val="1"/>
                <w:bCs w:val="1"/>
                <w:color w:val="auto"/>
                <w:w w:val="95"/>
              </w:rPr>
              <w:t>, Maturity</w:t>
            </w:r>
          </w:p>
        </w:tc>
        <w:tc>
          <w:tcPr>
            <w:tcW w:w="182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 xml:space="preserve">Ownership </w:t>
            </w:r>
            <w:r>
              <w:rPr>
                <w:rFonts w:ascii="Arial" w:cs="Arial" w:eastAsia="Arial" w:hAnsi="Arial"/>
                <w:sz w:val="20"/>
                <w:szCs w:val="20"/>
                <w:b w:val="1"/>
                <w:bCs w:val="1"/>
                <w:color w:val="auto"/>
                <w:w w:val="91"/>
                <w:vertAlign w:val="superscript"/>
              </w:rPr>
              <w:t>(2)</w:t>
            </w:r>
          </w:p>
        </w:tc>
        <w:tc>
          <w:tcPr>
            <w:tcW w:w="1700" w:type="dxa"/>
            <w:vAlign w:val="bottom"/>
          </w:tcPr>
          <w:p>
            <w:pPr>
              <w:jc w:val="right"/>
              <w:ind w:right="35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520" w:type="dxa"/>
            <w:vAlign w:val="bottom"/>
            <w:tcBorders>
              <w:top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23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1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Azure Midstream Energy LLC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Energy: Oil and Gas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1250 Wood Bridge Branch Park Dr., Ste.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L+650, 11/15/2018</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jc w:val="right"/>
              <w:ind w:right="1972"/>
              <w:spacing w:after="0"/>
              <w:rPr>
                <w:sz w:val="20"/>
                <w:szCs w:val="20"/>
                <w:color w:val="auto"/>
              </w:rPr>
            </w:pPr>
            <w:r>
              <w:rPr>
                <w:rFonts w:ascii="Arial" w:cs="Arial" w:eastAsia="Arial" w:hAnsi="Arial"/>
                <w:sz w:val="18"/>
                <w:szCs w:val="18"/>
                <w:color w:val="auto"/>
              </w:rPr>
              <w:t>100</w:t>
            </w:r>
          </w:p>
        </w:tc>
        <w:tc>
          <w:tcPr>
            <w:tcW w:w="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TX 77079</w:t>
            </w:r>
          </w:p>
        </w:tc>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Blue Bird Body Company</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Automotive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402 Blue Bird Boulevard</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L+550, 06/29/2020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Fort Valley, GA 31030</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54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Broder Bros., Co.</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Consumer Goods: Non-Durable</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Six Neshaminy Interplex, 6</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Tranche A (L+575,</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Trevose, PA 19053</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06/03/2021), Tranche B</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(L+1,225, 06/03/2021)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Camin Cargo Control,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Transportation: Cargo</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230 Marion Avenue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L+475, 06/30/2021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Linden, NJ 07036</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CareCentrix,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 Church Street</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L+500, 07/08/2021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Hartford, CT 06103</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CBAC Borrower,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Hotel, Gaming and Leisure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4,851</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One Caesars Palace Drive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L+700, 07/02/2020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Las Vegas, NV 89109</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CD&amp;R TZ Purchaser,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Consumer Goods: Durable</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12,344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2200 Fletcher Avenue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L+600, 07/21/2023</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Fort Lee, NJ 07024</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Charming Charlie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Retail</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5999 Savoy Drive,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L+800, 12/24/2019</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Houston, TX 77036</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Chicken Soup for the Soul Publishing, LLC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Media: Advertising, Printing</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 Hedgerow Lane</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and Publishing</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L+625, 01/08/2019</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Greenwich, CT 06831</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Corfin Industries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Aerospace and Defense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2.7%</w:t>
            </w:r>
          </w:p>
        </w:tc>
        <w:tc>
          <w:tcPr>
            <w:tcW w:w="100" w:type="dxa"/>
            <w:vAlign w:val="bottom"/>
          </w:tcPr>
          <w:p>
            <w:pPr>
              <w:spacing w:after="0"/>
              <w:rPr>
                <w:sz w:val="18"/>
                <w:szCs w:val="18"/>
                <w:color w:val="auto"/>
              </w:rPr>
            </w:pP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6,894</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(Corfin InvestCo, L.P.)</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L+975, 11/25/2020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7B Raymond Avenue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Equity</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Salem, NH 03079</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Infonet,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High Tech Industries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Subordinated Debt, 13.00%</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4540 Honeywell Court</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(PIK 1.75%) fixed,</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Dayton, OH 45424</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10/26/2018</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CRGT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High Tech Industries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10,505</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11921 Freedom Drive, Ste. 1000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L+650, 12/21/2020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Reston, VA 20190</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Curo Health Services Holdings,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491 Williamson Road, Suite 204</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L+550, 02/07/2022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Mooresville, NC 28117</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DBI Holding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Business Services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100 North Conahan Drive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L+525, 08/02/2021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Hazleton, PA 18201</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DCS Business Services,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Business Services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333 North Canyon Parkway, Ste. 100</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L+725, 03/19/2018</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Livermore, CA 94551</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459" w:right="2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Type of Investment,</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Voting Percentage</w:t>
            </w:r>
          </w:p>
        </w:tc>
        <w:tc>
          <w:tcPr>
            <w:tcW w:w="1700" w:type="dxa"/>
            <w:vAlign w:val="bottom"/>
          </w:tcPr>
          <w:p>
            <w:pPr>
              <w:jc w:val="right"/>
              <w:ind w:right="4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83"/>
              </w:rPr>
              <w:t>Nature of Business</w:t>
            </w:r>
          </w:p>
        </w:tc>
        <w:tc>
          <w:tcPr>
            <w:tcW w:w="120" w:type="dxa"/>
            <w:vAlign w:val="bottom"/>
          </w:tcPr>
          <w:p>
            <w:pPr>
              <w:spacing w:after="0"/>
              <w:rPr>
                <w:sz w:val="17"/>
                <w:szCs w:val="17"/>
                <w:color w:val="auto"/>
              </w:rPr>
            </w:pP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5"/>
              </w:rPr>
              <w:t>Interest</w:t>
            </w:r>
            <w:r>
              <w:rPr>
                <w:rFonts w:ascii="Arial" w:cs="Arial" w:eastAsia="Arial" w:hAnsi="Arial"/>
                <w:sz w:val="20"/>
                <w:szCs w:val="20"/>
                <w:b w:val="1"/>
                <w:bCs w:val="1"/>
                <w:color w:val="auto"/>
                <w:w w:val="95"/>
                <w:vertAlign w:val="superscript"/>
              </w:rPr>
              <w:t>(1)</w:t>
            </w:r>
            <w:r>
              <w:rPr>
                <w:rFonts w:ascii="Arial" w:cs="Arial" w:eastAsia="Arial" w:hAnsi="Arial"/>
                <w:sz w:val="13"/>
                <w:szCs w:val="13"/>
                <w:b w:val="1"/>
                <w:bCs w:val="1"/>
                <w:color w:val="auto"/>
                <w:w w:val="95"/>
              </w:rPr>
              <w:t>, Maturity</w:t>
            </w:r>
          </w:p>
        </w:tc>
        <w:tc>
          <w:tcPr>
            <w:tcW w:w="182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 xml:space="preserve">Ownership </w:t>
            </w:r>
            <w:r>
              <w:rPr>
                <w:rFonts w:ascii="Arial" w:cs="Arial" w:eastAsia="Arial" w:hAnsi="Arial"/>
                <w:sz w:val="20"/>
                <w:szCs w:val="20"/>
                <w:b w:val="1"/>
                <w:bCs w:val="1"/>
                <w:color w:val="auto"/>
                <w:w w:val="91"/>
                <w:vertAlign w:val="superscript"/>
              </w:rPr>
              <w:t>(2)</w:t>
            </w:r>
          </w:p>
        </w:tc>
        <w:tc>
          <w:tcPr>
            <w:tcW w:w="1700" w:type="dxa"/>
            <w:vAlign w:val="bottom"/>
          </w:tcPr>
          <w:p>
            <w:pPr>
              <w:jc w:val="right"/>
              <w:ind w:right="35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DISA Global Solutions, Inc.</w:t>
            </w:r>
          </w:p>
        </w:tc>
        <w:tc>
          <w:tcPr>
            <w:tcW w:w="68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5"/>
              </w:rPr>
              <w:t>Business Services</w:t>
            </w:r>
          </w:p>
        </w:tc>
        <w:tc>
          <w:tcPr>
            <w:tcW w:w="12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First Lien Secured Debt,</w:t>
            </w:r>
          </w:p>
        </w:tc>
        <w:tc>
          <w:tcPr>
            <w:tcW w:w="10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ind w:left="720"/>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ind w:right="435"/>
              <w:spacing w:after="0" w:line="182" w:lineRule="exact"/>
              <w:rPr>
                <w:sz w:val="20"/>
                <w:szCs w:val="20"/>
                <w:color w:val="auto"/>
              </w:rPr>
            </w:pPr>
            <w:r>
              <w:rPr>
                <w:rFonts w:ascii="Arial" w:cs="Arial" w:eastAsia="Arial" w:hAnsi="Arial"/>
                <w:sz w:val="18"/>
                <w:szCs w:val="18"/>
                <w:color w:val="auto"/>
              </w:rPr>
              <w:t>4,876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12600 Northborough Drive, Ste. 300</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L+450, 12/09/2020</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TX 77067</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w w:val="91"/>
              </w:rPr>
              <w:t>Douglas Products and Packaging Company</w:t>
            </w:r>
          </w:p>
        </w:tc>
        <w:tc>
          <w:tcPr>
            <w:tcW w:w="2300" w:type="dxa"/>
            <w:vAlign w:val="bottom"/>
          </w:tcPr>
          <w:p>
            <w:pPr>
              <w:jc w:val="center"/>
              <w:spacing w:after="0"/>
              <w:rPr>
                <w:sz w:val="20"/>
                <w:szCs w:val="20"/>
                <w:color w:val="auto"/>
              </w:rPr>
            </w:pPr>
            <w:r>
              <w:rPr>
                <w:rFonts w:ascii="Arial" w:cs="Arial" w:eastAsia="Arial" w:hAnsi="Arial"/>
                <w:sz w:val="18"/>
                <w:szCs w:val="18"/>
                <w:color w:val="auto"/>
                <w:w w:val="87"/>
              </w:rPr>
              <w:t>Chemicals, Plastics and Rubber</w:t>
            </w: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6,708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ind w:left="200"/>
              <w:spacing w:after="0"/>
              <w:rPr>
                <w:sz w:val="20"/>
                <w:szCs w:val="20"/>
                <w:color w:val="auto"/>
              </w:rPr>
            </w:pPr>
            <w:r>
              <w:rPr>
                <w:rFonts w:ascii="Arial" w:cs="Arial" w:eastAsia="Arial" w:hAnsi="Arial"/>
                <w:sz w:val="18"/>
                <w:szCs w:val="18"/>
                <w:color w:val="auto"/>
              </w:rPr>
              <w:t>LLC</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L+475, 06/30/2020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1550 East Old 210 Highway</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Liberty, MO 64068</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L+1,050</w:t>
            </w:r>
            <w:r>
              <w:rPr>
                <w:rFonts w:ascii="Arial" w:cs="Arial" w:eastAsia="Arial" w:hAnsi="Arial"/>
                <w:sz w:val="11"/>
                <w:szCs w:val="11"/>
                <w:color w:val="auto"/>
                <w:w w:val="90"/>
              </w:rPr>
              <w:t>(5)</w:t>
            </w:r>
            <w:r>
              <w:rPr>
                <w:rFonts w:ascii="Arial" w:cs="Arial" w:eastAsia="Arial" w:hAnsi="Arial"/>
                <w:sz w:val="18"/>
                <w:szCs w:val="18"/>
                <w:color w:val="auto"/>
                <w:w w:val="90"/>
              </w:rPr>
              <w:t>, 12/31/2020</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Driven Performance Brands, Inc.</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Consumer Goods: Durable</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8,507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Stony Point Rd, Suite 125</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L+475, 09/10/2020</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Santa Rosa, CA 95401</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Education Networks of America, Inc.</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Telecommunications</w:t>
            </w: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9,033</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618 Grassmere Park Drive,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L+700, 05/06/2021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Suite 12</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Nashville, TN 37211</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Efficient Collaborative Retail Marketing</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Media: Diversified and</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 ,</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10,972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Company, LLC</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Production</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L+675, 06/15/2022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27070 Miles Road, Suite A</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Solon, OH 44139</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e.l.f. Beauty, Inc.</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Consumer Goods: Durable</w:t>
            </w: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Equity</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18"/>
                <w:szCs w:val="18"/>
                <w:color w:val="auto"/>
              </w:rPr>
            </w:pP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(f/k/a J. A. Cosmetics US, Inc.)</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345 California Street, Ste. 3300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San Francisco, CA 94104</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Emerging Markets Communications, LLC</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Telecommunications</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777 Brickell Avenue Suite 1150</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L+575, 07/01/2021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Miami, FL 33131</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FHC Health Systems, Inc.</w:t>
            </w:r>
          </w:p>
        </w:tc>
        <w:tc>
          <w:tcPr>
            <w:tcW w:w="2300" w:type="dxa"/>
            <w:vAlign w:val="bottom"/>
          </w:tcPr>
          <w:p>
            <w:pPr>
              <w:jc w:val="center"/>
              <w:spacing w:after="0"/>
              <w:rPr>
                <w:sz w:val="20"/>
                <w:szCs w:val="20"/>
                <w:color w:val="auto"/>
              </w:rPr>
            </w:pPr>
            <w:r>
              <w:rPr>
                <w:rFonts w:ascii="Arial" w:cs="Arial" w:eastAsia="Arial" w:hAnsi="Arial"/>
                <w:sz w:val="18"/>
                <w:szCs w:val="18"/>
                <w:color w:val="auto"/>
                <w:w w:val="86"/>
              </w:rPr>
              <w:t>Healthcare and Pharmaceuticals</w:t>
            </w: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4,799</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240 Corporate Boulevard</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L+400, 12/23/2021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Norfolk, VA 23502</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GlobalLogic Holdings, Inc.</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High Tech Industries</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1741 Technology Drive, 4th Floor</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L+525, 05/31/2019</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Jose, CA 95110</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Greenway Health, LLC</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High Tech Industries</w:t>
            </w: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6,620</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100 Greenway Blvd.</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L+500 , 11/04/2020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Carrollton, GA 30117</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GTCR Valor Companies, Inc.</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Media: Broadcasting and</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7,117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130 E Randolph St.</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Subscription</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L+600 , 06/16/2023</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Chicago, IL 60601</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Harbortouch Payments, LLC</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Banking, Finance, Insurance</w:t>
            </w: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7,026</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2202 N. Irving Street</w:t>
            </w:r>
          </w:p>
        </w:tc>
        <w:tc>
          <w:tcPr>
            <w:tcW w:w="2300" w:type="dxa"/>
            <w:vAlign w:val="bottom"/>
          </w:tcPr>
          <w:p>
            <w:pPr>
              <w:jc w:val="center"/>
              <w:spacing w:after="0"/>
              <w:rPr>
                <w:sz w:val="20"/>
                <w:szCs w:val="20"/>
                <w:color w:val="auto"/>
              </w:rPr>
            </w:pPr>
            <w:r>
              <w:rPr>
                <w:rFonts w:ascii="Arial" w:cs="Arial" w:eastAsia="Arial" w:hAnsi="Arial"/>
                <w:sz w:val="18"/>
                <w:szCs w:val="18"/>
                <w:color w:val="auto"/>
                <w:w w:val="85"/>
              </w:rPr>
              <w:t>and Real Estate</w:t>
            </w: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L+600 , 05/31/2022</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Allentown, PA 18109</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Highline Aftermarket Acquisition, LLC</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Wholesale</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7,276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(f/k/a DYK Prime Acquisition, LLC)</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L+475 , 04/01/2022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4635 Willow Drive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Medina, MN 55340</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80" w:type="dxa"/>
            <w:vAlign w:val="bottom"/>
            <w:gridSpan w:val="2"/>
          </w:tcPr>
          <w:p>
            <w:pPr>
              <w:jc w:val="right"/>
              <w:ind w:right="1914"/>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Type of Investment,</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Voting Percentage</w:t>
            </w:r>
          </w:p>
        </w:tc>
        <w:tc>
          <w:tcPr>
            <w:tcW w:w="1700" w:type="dxa"/>
            <w:vAlign w:val="bottom"/>
          </w:tcPr>
          <w:p>
            <w:pPr>
              <w:jc w:val="right"/>
              <w:ind w:right="4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Nature of Business</w:t>
            </w: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5"/>
              </w:rPr>
              <w:t>Interest</w:t>
            </w:r>
            <w:r>
              <w:rPr>
                <w:rFonts w:ascii="Arial" w:cs="Arial" w:eastAsia="Arial" w:hAnsi="Arial"/>
                <w:sz w:val="20"/>
                <w:szCs w:val="20"/>
                <w:b w:val="1"/>
                <w:bCs w:val="1"/>
                <w:color w:val="auto"/>
                <w:w w:val="95"/>
                <w:vertAlign w:val="superscript"/>
              </w:rPr>
              <w:t>(1)</w:t>
            </w:r>
            <w:r>
              <w:rPr>
                <w:rFonts w:ascii="Arial" w:cs="Arial" w:eastAsia="Arial" w:hAnsi="Arial"/>
                <w:sz w:val="13"/>
                <w:szCs w:val="13"/>
                <w:b w:val="1"/>
                <w:bCs w:val="1"/>
                <w:color w:val="auto"/>
                <w:w w:val="95"/>
              </w:rPr>
              <w:t>, Maturity</w:t>
            </w:r>
          </w:p>
        </w:tc>
        <w:tc>
          <w:tcPr>
            <w:tcW w:w="182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 xml:space="preserve">Ownership </w:t>
            </w:r>
            <w:r>
              <w:rPr>
                <w:rFonts w:ascii="Arial" w:cs="Arial" w:eastAsia="Arial" w:hAnsi="Arial"/>
                <w:sz w:val="20"/>
                <w:szCs w:val="20"/>
                <w:b w:val="1"/>
                <w:bCs w:val="1"/>
                <w:color w:val="auto"/>
                <w:w w:val="91"/>
                <w:vertAlign w:val="superscript"/>
              </w:rPr>
              <w:t>(2)</w:t>
            </w:r>
          </w:p>
        </w:tc>
        <w:tc>
          <w:tcPr>
            <w:tcW w:w="1700" w:type="dxa"/>
            <w:vAlign w:val="bottom"/>
          </w:tcPr>
          <w:p>
            <w:pPr>
              <w:jc w:val="right"/>
              <w:ind w:right="35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Hollander Sleep Products, LLC</w:t>
            </w:r>
          </w:p>
        </w:tc>
        <w:tc>
          <w:tcPr>
            <w:tcW w:w="68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Consumer Goods: Non-Durable</w:t>
            </w:r>
          </w:p>
        </w:tc>
        <w:tc>
          <w:tcPr>
            <w:tcW w:w="12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First Lien Secured Debt,</w:t>
            </w:r>
          </w:p>
        </w:tc>
        <w:tc>
          <w:tcPr>
            <w:tcW w:w="10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ind w:left="720"/>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ind w:right="435"/>
              <w:spacing w:after="0" w:line="182" w:lineRule="exact"/>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6501 Congress Avenue, Ste. 300</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L+800, 10/21/2020</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Boca Raton, FL 33487</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Hostway Corporation</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High Tech Industries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100 N Riverside, Ste. 800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L+475, 12/13/2019</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Chicago, IL 60606</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Howard Berger Co. LLC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Wholesale</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324 Half Acre Road #A</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L+1,000, 09/30/2020</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Cranbury, NJ 08512</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Hunter Defense Technologies,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Aerospace and Defense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5,506</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30500 Aurora Road, Ste. 100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L+600, 08/05/2019</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Solon, OH 44139</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Icynene U.S. Acquisition Corp.</w:t>
            </w:r>
            <w:r>
              <w:rPr>
                <w:rFonts w:ascii="Arial" w:cs="Arial" w:eastAsia="Arial" w:hAnsi="Arial"/>
                <w:sz w:val="11"/>
                <w:szCs w:val="11"/>
                <w:color w:val="auto"/>
              </w:rPr>
              <w:t>(3)</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Construction and Building</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6,226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6747 Campobello Road</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L+625, 11/04/2020</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Mississauga ON</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L5N2L7 Canada</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Idera,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High Tech Industries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7,684</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The America Tower Heliport</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L+550, 04/09/2021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w w:val="95"/>
              </w:rPr>
              <w:t>2950 North Loop Freeway West Suite 700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Houston, TX 77092</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iEnergizer Limited and Aptara, Inc.</w:t>
            </w:r>
            <w:r>
              <w:rPr>
                <w:rFonts w:ascii="Arial" w:cs="Arial" w:eastAsia="Arial" w:hAnsi="Arial"/>
                <w:sz w:val="11"/>
                <w:szCs w:val="11"/>
                <w:color w:val="auto"/>
              </w:rPr>
              <w:t>(3)</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Business Services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 Crevelt House, Bulwer Avenue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L+600, 05/01/2019</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Sampson, Guernsey GY2 4LH</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Imagine! Print Solutions,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Media: Advertising, Printing</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6,027</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1000 Valley Park Drive</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and Publishing</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L+600, 03/30/2022</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Minneapolis, MN 55379</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Instant Web, LLC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Media: Advertising, Printing</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First Lien Secured Debt, Term</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9,778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7951 Powers Boulevard</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and Publishing</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Loan A (L+450, 03/28/2019),</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Chanhassen, MN 55317</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Term Loan B (L+1,100,</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03/28/2019)</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Interior Specialists,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Construction and Building</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0.1%</w:t>
            </w:r>
          </w:p>
        </w:tc>
        <w:tc>
          <w:tcPr>
            <w:tcW w:w="100" w:type="dxa"/>
            <w:vAlign w:val="bottom"/>
          </w:tcPr>
          <w:p>
            <w:pPr>
              <w:spacing w:after="0"/>
              <w:rPr>
                <w:sz w:val="18"/>
                <w:szCs w:val="18"/>
                <w:color w:val="auto"/>
              </w:rPr>
            </w:pP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6,757</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(Faraday Holdings, LLC)</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L+800, 06/30/2020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1630 Faraday Avenue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Equity</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Carlsbad, CA 92008</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Inventus Power,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Consumer Goods: Durable</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(f/k/a ICC-Nexergy, Inc.)</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L+550, 04/30/2020</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1200 Internationale Parkway</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Woodridge, IL 60517</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Jackson Hewitt Inc.</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Consumer Services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4,753</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3 Sylvan Way</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L+700, 07/30/2020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Parsippany, NJ 07054</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K2 Pure Solutions NoCal, L.P.</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Chemicals, Plastics and Rubber</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3515 Massillion Road Ste. 290</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L+900, 02/19/2021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Uniontown, OH 44685</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Kendra Scott,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Retail</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2,822</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w w:val="92"/>
              </w:rPr>
              <w:t>1400 South Congress Avenue, Suite A-170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L+600, 07/17/2020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Austin, TX 78704</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459" w:right="23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Type of Investment,</w:t>
            </w:r>
          </w:p>
        </w:tc>
        <w:tc>
          <w:tcPr>
            <w:tcW w:w="1820" w:type="dxa"/>
            <w:vAlign w:val="bottom"/>
            <w:gridSpan w:val="2"/>
          </w:tcPr>
          <w:p>
            <w:pPr>
              <w:ind w:left="340"/>
              <w:spacing w:after="0"/>
              <w:rPr>
                <w:sz w:val="20"/>
                <w:szCs w:val="20"/>
                <w:color w:val="auto"/>
              </w:rPr>
            </w:pPr>
            <w:r>
              <w:rPr>
                <w:rFonts w:ascii="Arial" w:cs="Arial" w:eastAsia="Arial" w:hAnsi="Arial"/>
                <w:sz w:val="14"/>
                <w:szCs w:val="14"/>
                <w:b w:val="1"/>
                <w:bCs w:val="1"/>
                <w:color w:val="auto"/>
              </w:rPr>
              <w:t>Voting Percentage</w:t>
            </w:r>
          </w:p>
        </w:tc>
        <w:tc>
          <w:tcPr>
            <w:tcW w:w="1700" w:type="dxa"/>
            <w:vAlign w:val="bottom"/>
          </w:tcPr>
          <w:p>
            <w:pPr>
              <w:jc w:val="right"/>
              <w:ind w:right="4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Nature of Business</w:t>
            </w: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5"/>
              </w:rPr>
              <w:t>Interest</w:t>
            </w:r>
            <w:r>
              <w:rPr>
                <w:rFonts w:ascii="Arial" w:cs="Arial" w:eastAsia="Arial" w:hAnsi="Arial"/>
                <w:sz w:val="20"/>
                <w:szCs w:val="20"/>
                <w:b w:val="1"/>
                <w:bCs w:val="1"/>
                <w:color w:val="auto"/>
                <w:w w:val="95"/>
                <w:vertAlign w:val="superscript"/>
              </w:rPr>
              <w:t>(1)</w:t>
            </w:r>
            <w:r>
              <w:rPr>
                <w:rFonts w:ascii="Arial" w:cs="Arial" w:eastAsia="Arial" w:hAnsi="Arial"/>
                <w:sz w:val="13"/>
                <w:szCs w:val="13"/>
                <w:b w:val="1"/>
                <w:bCs w:val="1"/>
                <w:color w:val="auto"/>
                <w:w w:val="95"/>
              </w:rPr>
              <w:t>, Maturity</w:t>
            </w:r>
          </w:p>
        </w:tc>
        <w:tc>
          <w:tcPr>
            <w:tcW w:w="1820" w:type="dxa"/>
            <w:vAlign w:val="bottom"/>
            <w:gridSpan w:val="2"/>
          </w:tcPr>
          <w:p>
            <w:pPr>
              <w:ind w:left="460"/>
              <w:spacing w:after="0" w:line="176" w:lineRule="exact"/>
              <w:rPr>
                <w:sz w:val="20"/>
                <w:szCs w:val="20"/>
                <w:color w:val="auto"/>
              </w:rPr>
            </w:pPr>
            <w:r>
              <w:rPr>
                <w:rFonts w:ascii="Arial" w:cs="Arial" w:eastAsia="Arial" w:hAnsi="Arial"/>
                <w:sz w:val="13"/>
                <w:szCs w:val="13"/>
                <w:b w:val="1"/>
                <w:bCs w:val="1"/>
                <w:color w:val="auto"/>
              </w:rPr>
              <w:t xml:space="preserve">Ownership </w:t>
            </w:r>
            <w:r>
              <w:rPr>
                <w:rFonts w:ascii="Arial" w:cs="Arial" w:eastAsia="Arial" w:hAnsi="Arial"/>
                <w:sz w:val="20"/>
                <w:szCs w:val="20"/>
                <w:b w:val="1"/>
                <w:bCs w:val="1"/>
                <w:color w:val="auto"/>
                <w:vertAlign w:val="superscript"/>
              </w:rPr>
              <w:t>(2)</w:t>
            </w:r>
          </w:p>
        </w:tc>
        <w:tc>
          <w:tcPr>
            <w:tcW w:w="1700" w:type="dxa"/>
            <w:vAlign w:val="bottom"/>
          </w:tcPr>
          <w:p>
            <w:pPr>
              <w:jc w:val="right"/>
              <w:ind w:right="35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KHC Holdings, Inc.</w:t>
            </w:r>
          </w:p>
        </w:tc>
        <w:tc>
          <w:tcPr>
            <w:tcW w:w="68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Wholesale</w:t>
            </w:r>
          </w:p>
        </w:tc>
        <w:tc>
          <w:tcPr>
            <w:tcW w:w="12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ind w:left="720"/>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ind w:right="435"/>
              <w:spacing w:after="0" w:line="182" w:lineRule="exact"/>
              <w:rPr>
                <w:sz w:val="20"/>
                <w:szCs w:val="20"/>
                <w:color w:val="auto"/>
              </w:rPr>
            </w:pPr>
            <w:r>
              <w:rPr>
                <w:rFonts w:ascii="Arial" w:cs="Arial" w:eastAsia="Arial" w:hAnsi="Arial"/>
                <w:sz w:val="18"/>
                <w:szCs w:val="18"/>
                <w:color w:val="auto"/>
              </w:rPr>
              <w:t>12,344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3300 Brother Boulevard</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L+600, 10/31/2022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Memphis, TN 38133</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Lago Resort &amp; Casino,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Hotel, Gaming and Leisure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9,971</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1133 Ridge Road (Rt 414)</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L+950, 03/07/2022</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Waterloo, NY 13165</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Lanyon Solutions,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High Tech Industries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10182 Telesis Court</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L+450, 11/13/2020</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Diego, CA 92121</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LifeCare Holdings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5340 Legacy Drive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L+525, 11/30/2018</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Ste. 150, Building 4</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Plano, TX 75024</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Linblad Expeditions, Inc.</w:t>
            </w:r>
            <w:r>
              <w:rPr>
                <w:rFonts w:ascii="Arial" w:cs="Arial" w:eastAsia="Arial" w:hAnsi="Arial"/>
                <w:sz w:val="11"/>
                <w:szCs w:val="11"/>
                <w:color w:val="auto"/>
              </w:rPr>
              <w:t>(3)</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Hotel, Gaming and Leisure</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Linblad Maritime Enterprises, Ltd.</w:t>
            </w:r>
            <w:r>
              <w:rPr>
                <w:rFonts w:ascii="Arial" w:cs="Arial" w:eastAsia="Arial" w:hAnsi="Arial"/>
                <w:sz w:val="11"/>
                <w:szCs w:val="11"/>
                <w:color w:val="auto"/>
              </w:rPr>
              <w:t>(3)</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L+450, 05/10/2021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96 Morton Street, 9th Floor</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10014</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Lombart Brothers,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Capital Equipment</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6,192</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5358 Robin Hood Road,</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L+675, 04/13/2022</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Norfolk, VA 23513</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Long’s Drugs Incorporated</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111 Executive Center Drive, Suite 228</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L+525, 08/19/2021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Columbia, SC 29210</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LSF9 Atlantis Holdings,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Retail</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9,542</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775 Prairie Center Drive, Suite 420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L+900, 01/15/2021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Eden Prairie, MN 55344</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LTI Holdings,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Chemicals, Plastics and Rubber</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5,255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600 So McClure Road</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L+425, 04/18/2022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Modesto, CA 95357</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MailSouth,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Media: Advertising, Printing</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5901 Highway 52 East</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and Publishing</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L+1,050, 10/22/2021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Helena, AL 35080</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Marketplace Events LLC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Media: Diversified and</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15,510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31105 Bainbridge Road Suite 3</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Production</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USD (L+525, 01/27/2021),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Solon, OH 44139</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CAD (P+275, 01/27/2021),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Revolver (P+275, 01/27/2021)</w:t>
            </w: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Mission Critical Electronics,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Capital Equipment</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2911 W. Garry Ave.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L+500, 09/28/2022</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Santa Ana, CA 92704</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Trident HoldCorp,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8,289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930 Ridgebrook Road, 3rd Floor</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L+525, 07/31/2019</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Sparks, MD 21152</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Novitex Acquisition,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Business Services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 Elmcroft Road</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L+1,100, 07/07/2021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Stamford, CT 06926</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Pathway Partners Vet Management</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6,206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Company LLC</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L+500, 08/19/2022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3930 Bee Cave Rd. #9</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Austin, TX 78746</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459" w:right="23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Type of Investment,</w:t>
            </w:r>
          </w:p>
        </w:tc>
        <w:tc>
          <w:tcPr>
            <w:tcW w:w="1820" w:type="dxa"/>
            <w:vAlign w:val="bottom"/>
            <w:gridSpan w:val="2"/>
          </w:tcPr>
          <w:p>
            <w:pPr>
              <w:ind w:left="340"/>
              <w:spacing w:after="0"/>
              <w:rPr>
                <w:sz w:val="20"/>
                <w:szCs w:val="20"/>
                <w:color w:val="auto"/>
              </w:rPr>
            </w:pPr>
            <w:r>
              <w:rPr>
                <w:rFonts w:ascii="Arial" w:cs="Arial" w:eastAsia="Arial" w:hAnsi="Arial"/>
                <w:sz w:val="14"/>
                <w:szCs w:val="14"/>
                <w:b w:val="1"/>
                <w:bCs w:val="1"/>
                <w:color w:val="auto"/>
              </w:rPr>
              <w:t>Voting Percentage</w:t>
            </w:r>
          </w:p>
        </w:tc>
        <w:tc>
          <w:tcPr>
            <w:tcW w:w="1700" w:type="dxa"/>
            <w:vAlign w:val="bottom"/>
          </w:tcPr>
          <w:p>
            <w:pPr>
              <w:jc w:val="right"/>
              <w:ind w:right="4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Nature of Business</w:t>
            </w: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5"/>
              </w:rPr>
              <w:t>Interest</w:t>
            </w:r>
            <w:r>
              <w:rPr>
                <w:rFonts w:ascii="Arial" w:cs="Arial" w:eastAsia="Arial" w:hAnsi="Arial"/>
                <w:sz w:val="20"/>
                <w:szCs w:val="20"/>
                <w:b w:val="1"/>
                <w:bCs w:val="1"/>
                <w:color w:val="auto"/>
                <w:w w:val="95"/>
                <w:vertAlign w:val="superscript"/>
              </w:rPr>
              <w:t>(1)</w:t>
            </w:r>
            <w:r>
              <w:rPr>
                <w:rFonts w:ascii="Arial" w:cs="Arial" w:eastAsia="Arial" w:hAnsi="Arial"/>
                <w:sz w:val="13"/>
                <w:szCs w:val="13"/>
                <w:b w:val="1"/>
                <w:bCs w:val="1"/>
                <w:color w:val="auto"/>
                <w:w w:val="95"/>
              </w:rPr>
              <w:t>, Maturity</w:t>
            </w:r>
          </w:p>
        </w:tc>
        <w:tc>
          <w:tcPr>
            <w:tcW w:w="1820" w:type="dxa"/>
            <w:vAlign w:val="bottom"/>
            <w:gridSpan w:val="2"/>
          </w:tcPr>
          <w:p>
            <w:pPr>
              <w:ind w:left="460"/>
              <w:spacing w:after="0" w:line="176" w:lineRule="exact"/>
              <w:rPr>
                <w:sz w:val="20"/>
                <w:szCs w:val="20"/>
                <w:color w:val="auto"/>
              </w:rPr>
            </w:pPr>
            <w:r>
              <w:rPr>
                <w:rFonts w:ascii="Arial" w:cs="Arial" w:eastAsia="Arial" w:hAnsi="Arial"/>
                <w:sz w:val="13"/>
                <w:szCs w:val="13"/>
                <w:b w:val="1"/>
                <w:bCs w:val="1"/>
                <w:color w:val="auto"/>
              </w:rPr>
              <w:t xml:space="preserve">Ownership </w:t>
            </w:r>
            <w:r>
              <w:rPr>
                <w:rFonts w:ascii="Arial" w:cs="Arial" w:eastAsia="Arial" w:hAnsi="Arial"/>
                <w:sz w:val="20"/>
                <w:szCs w:val="20"/>
                <w:b w:val="1"/>
                <w:bCs w:val="1"/>
                <w:color w:val="auto"/>
                <w:vertAlign w:val="superscript"/>
              </w:rPr>
              <w:t>(2)</w:t>
            </w:r>
          </w:p>
        </w:tc>
        <w:tc>
          <w:tcPr>
            <w:tcW w:w="1700" w:type="dxa"/>
            <w:vAlign w:val="bottom"/>
          </w:tcPr>
          <w:p>
            <w:pPr>
              <w:jc w:val="right"/>
              <w:ind w:right="35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Patriot National, Inc.</w:t>
            </w:r>
          </w:p>
        </w:tc>
        <w:tc>
          <w:tcPr>
            <w:tcW w:w="68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Banking, Finance, Insurance</w:t>
            </w:r>
          </w:p>
        </w:tc>
        <w:tc>
          <w:tcPr>
            <w:tcW w:w="12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0"/>
              </w:rPr>
              <w:t>Common Equity</w:t>
            </w:r>
          </w:p>
        </w:tc>
        <w:tc>
          <w:tcPr>
            <w:tcW w:w="10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ind w:left="720"/>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ind w:right="435"/>
              <w:spacing w:after="0" w:line="18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401 E. Las Olas Blvd., Ste. 1650</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and Real Estate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Fort Lauderdale, FL 33301</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Penton Media,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Media: Diversified and</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4,854</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249 W. 17th Street, 4th Floor</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Production</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L+775, 10/02/2020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New York, NY 10011</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Polycom,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Telecommunications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5,775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6001 America Center Dr,</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L+650, 09/27/2023</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Jose, CA 95002</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Precyse Acquisition Corp.</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200 North Point Center East, Suite 600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L+550, 10/20/2022</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Alpharetta, GA 30022</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Premier Dental Services, Inc.</w:t>
            </w: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Consumer Services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7,491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530 S Main Street, 6th Floor</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L+650, 11/01/2018</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Orange, CA 92868</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Profile Products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Environmental Industries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7,282</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750 Lake Cook Road, Suite 440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L+475, 05/20/2021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Buffalo Grove, IL 60089</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Quick Weight Loss Centers, LLC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Beverage, Food and Tobacco</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3161 Mcnab Road</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L+475, 08/23/2021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Pompano Beach, FL 33069</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Research Now Group,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High Tech Industries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6,688</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5800 Tennyson Parkway, Ste. 600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L+450, 03/18/2021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Plano, TX 75024</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Robertshaw US Holding Corp.</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Consumer Goods: Durable</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191 East North Avenue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L+700, 06/18/2019</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Stream, IL 60188</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Ryan,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Business Services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4,163</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Three Galleria Tower</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L+575, 08/07/2020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13155 Noel Road, Suite 100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Dallas, TX 75240</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Sensus USA,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Utilities: Water</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8601 Six Forks Road, Suite 700</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L+550, 04/05/2023</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Raleigh, NC 27615</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Snak Club,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Beverage, Food and Tobacco</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4,919</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5560 E Slauson Ave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L+500, 07/19/2021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Commerce, CA 90040</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Software Paradigms International Group,</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High Tech Industries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9,826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LLC</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L+550, 05/21/2021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 Concourse Pkwy., Ste. 500</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Atlanta, GA 30328</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Sotera Defense Solutions,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Aerospace and Defense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5,640</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2121 Cooperative Way, Ste. 400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L+750, 04/21/2017</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Herndon, VA 20171</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Sundial Group Holdings LLC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Consumer Goods: Non-Durable</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7,313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 Ranick Drive South</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L+625, 10/19/2021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Amityville, NY 11701</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459" w:right="23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tcPr>
          <w:p>
            <w:pPr>
              <w:ind w:left="500"/>
              <w:spacing w:after="0"/>
              <w:rPr>
                <w:sz w:val="20"/>
                <w:szCs w:val="20"/>
                <w:color w:val="auto"/>
              </w:rPr>
            </w:pPr>
            <w:r>
              <w:rPr>
                <w:rFonts w:ascii="Arial" w:cs="Arial" w:eastAsia="Arial" w:hAnsi="Arial"/>
                <w:sz w:val="14"/>
                <w:szCs w:val="14"/>
                <w:b w:val="1"/>
                <w:bCs w:val="1"/>
                <w:color w:val="auto"/>
              </w:rPr>
              <w:t>Type of Investment,</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Voting Percentage</w:t>
            </w:r>
          </w:p>
        </w:tc>
        <w:tc>
          <w:tcPr>
            <w:tcW w:w="1700" w:type="dxa"/>
            <w:vAlign w:val="bottom"/>
          </w:tcPr>
          <w:p>
            <w:pPr>
              <w:jc w:val="right"/>
              <w:ind w:right="4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Nature of Business</w:t>
            </w: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5"/>
              </w:rPr>
              <w:t>Interest</w:t>
            </w:r>
            <w:r>
              <w:rPr>
                <w:rFonts w:ascii="Arial" w:cs="Arial" w:eastAsia="Arial" w:hAnsi="Arial"/>
                <w:sz w:val="20"/>
                <w:szCs w:val="20"/>
                <w:b w:val="1"/>
                <w:bCs w:val="1"/>
                <w:color w:val="auto"/>
                <w:w w:val="95"/>
                <w:vertAlign w:val="superscript"/>
              </w:rPr>
              <w:t>(1)</w:t>
            </w:r>
            <w:r>
              <w:rPr>
                <w:rFonts w:ascii="Arial" w:cs="Arial" w:eastAsia="Arial" w:hAnsi="Arial"/>
                <w:sz w:val="13"/>
                <w:szCs w:val="13"/>
                <w:b w:val="1"/>
                <w:bCs w:val="1"/>
                <w:color w:val="auto"/>
                <w:w w:val="95"/>
              </w:rPr>
              <w:t>, Maturity</w:t>
            </w:r>
          </w:p>
        </w:tc>
        <w:tc>
          <w:tcPr>
            <w:tcW w:w="182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 xml:space="preserve">Ownership </w:t>
            </w:r>
            <w:r>
              <w:rPr>
                <w:rFonts w:ascii="Arial" w:cs="Arial" w:eastAsia="Arial" w:hAnsi="Arial"/>
                <w:sz w:val="20"/>
                <w:szCs w:val="20"/>
                <w:b w:val="1"/>
                <w:bCs w:val="1"/>
                <w:color w:val="auto"/>
                <w:w w:val="91"/>
                <w:vertAlign w:val="superscript"/>
              </w:rPr>
              <w:t>(2)</w:t>
            </w:r>
          </w:p>
        </w:tc>
        <w:tc>
          <w:tcPr>
            <w:tcW w:w="1700" w:type="dxa"/>
            <w:vAlign w:val="bottom"/>
          </w:tcPr>
          <w:p>
            <w:pPr>
              <w:jc w:val="right"/>
              <w:ind w:right="35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Sunshine Oilsands Ltd.</w:t>
            </w:r>
            <w:r>
              <w:rPr>
                <w:rFonts w:ascii="Arial" w:cs="Arial" w:eastAsia="Arial" w:hAnsi="Arial"/>
                <w:sz w:val="11"/>
                <w:szCs w:val="11"/>
                <w:color w:val="auto"/>
              </w:rPr>
              <w:t>(3)</w:t>
            </w:r>
          </w:p>
        </w:tc>
        <w:tc>
          <w:tcPr>
            <w:tcW w:w="68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7"/>
              </w:rPr>
              <w:t>Energy: Oil and Gas</w:t>
            </w:r>
          </w:p>
        </w:tc>
        <w:tc>
          <w:tcPr>
            <w:tcW w:w="12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7"/>
              </w:rPr>
              <w:t>Second Lien Secured Debt,</w:t>
            </w:r>
          </w:p>
        </w:tc>
        <w:tc>
          <w:tcPr>
            <w:tcW w:w="10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ind w:left="720"/>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ind w:right="435"/>
              <w:spacing w:after="0" w:line="182" w:lineRule="exact"/>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1020, 903 - 8 Avenue S.W.</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12.50% fixed, 08/01/2017</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Calgary, Alberta, Canada T2P 0P7</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Survey Sampling International,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Business Services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7,409</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6 Research Drive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L+500, 12/16/2020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Shelton, CT 06484</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Systems Maintenance Services Holding,</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High Tech Industries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5,733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L+400, 10/18/2019</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10420 Harris Oaks Blvd, Ste. C</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Charlotte, NC 28269</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Tensar Corporation</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Construction and Buildings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2500 Northwinds Parkway, Ste. 500</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L+475, 07/09/2021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Alpharetta, GA 30009</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54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The Original Cakerie, Co. </w:t>
            </w:r>
            <w:r>
              <w:rPr>
                <w:rFonts w:ascii="Arial" w:cs="Arial" w:eastAsia="Arial" w:hAnsi="Arial"/>
                <w:sz w:val="11"/>
                <w:szCs w:val="11"/>
                <w:color w:val="auto"/>
              </w:rPr>
              <w:t>(3)</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Consumer Goods: Non-Durable</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8,980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The Original Cakerie Ltd. </w:t>
            </w:r>
            <w:r>
              <w:rPr>
                <w:rFonts w:ascii="Arial" w:cs="Arial" w:eastAsia="Arial" w:hAnsi="Arial"/>
                <w:sz w:val="11"/>
                <w:szCs w:val="11"/>
                <w:color w:val="auto"/>
              </w:rPr>
              <w:t>(3)</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The Original Cakerie, Co.</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1345 Cliveden Ave</w:t>
            </w:r>
          </w:p>
        </w:tc>
        <w:tc>
          <w:tcPr>
            <w:tcW w:w="2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jc w:val="center"/>
              <w:ind w:right="100"/>
              <w:spacing w:after="0" w:line="195" w:lineRule="exact"/>
              <w:rPr>
                <w:sz w:val="20"/>
                <w:szCs w:val="20"/>
                <w:color w:val="auto"/>
              </w:rPr>
            </w:pPr>
            <w:r>
              <w:rPr>
                <w:rFonts w:ascii="Arial" w:cs="Arial" w:eastAsia="Arial" w:hAnsi="Arial"/>
                <w:sz w:val="18"/>
                <w:szCs w:val="18"/>
                <w:color w:val="auto"/>
                <w:w w:val="90"/>
              </w:rPr>
              <w:t>(L+550, 07/20/2021),</w:t>
            </w: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0" w:type="dxa"/>
            <w:vAlign w:val="bottom"/>
            <w:gridSpan w:val="2"/>
            <w:vMerge w:val="continue"/>
            <w:shd w:val="clear" w:color="auto" w:fill="CCEEFF"/>
          </w:tcPr>
          <w:p>
            <w:pPr>
              <w:spacing w:after="0"/>
              <w:rPr>
                <w:sz w:val="5"/>
                <w:szCs w:val="5"/>
                <w:color w:val="auto"/>
              </w:rPr>
            </w:pPr>
          </w:p>
        </w:tc>
        <w:tc>
          <w:tcPr>
            <w:tcW w:w="2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1"/>
              </w:rPr>
              <w:t>The Original Cakerie, Ltd.</w:t>
            </w:r>
          </w:p>
        </w:tc>
        <w:tc>
          <w:tcPr>
            <w:tcW w:w="1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7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Delta, BC V3M 6C7, Canada</w:t>
            </w:r>
          </w:p>
        </w:tc>
        <w:tc>
          <w:tcPr>
            <w:tcW w:w="2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60" w:type="dxa"/>
            <w:vAlign w:val="bottom"/>
            <w:gridSpan w:val="2"/>
            <w:vMerge w:val="continue"/>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200" w:type="dxa"/>
            <w:vAlign w:val="bottom"/>
            <w:gridSpan w:val="2"/>
            <w:vMerge w:val="continue"/>
            <w:shd w:val="clear" w:color="auto" w:fill="CCEEFF"/>
          </w:tcPr>
          <w:p>
            <w:pPr>
              <w:spacing w:after="0"/>
              <w:rPr>
                <w:sz w:val="6"/>
                <w:szCs w:val="6"/>
                <w:color w:val="auto"/>
              </w:rPr>
            </w:pPr>
          </w:p>
        </w:tc>
        <w:tc>
          <w:tcPr>
            <w:tcW w:w="2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0"/>
              </w:rPr>
              <w:t>(L+500, 07/20/2021)</w:t>
            </w:r>
          </w:p>
        </w:tc>
        <w:tc>
          <w:tcPr>
            <w:tcW w:w="1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60" w:type="dxa"/>
            <w:vAlign w:val="bottom"/>
            <w:gridSpan w:val="2"/>
            <w:vMerge w:val="continue"/>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TOMS Shoes, LLC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Consumer Goods: Non-</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5404 Jandy Place</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Durable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L+550, 11/02/2020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Los Angeles, CA 90066</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Triad Manufacturing,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Capital Equipment</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10,307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4321 Semple Avenue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L+1,075</w:t>
            </w:r>
            <w:r>
              <w:rPr>
                <w:rFonts w:ascii="Arial" w:cs="Arial" w:eastAsia="Arial" w:hAnsi="Arial"/>
                <w:sz w:val="11"/>
                <w:szCs w:val="11"/>
                <w:color w:val="auto"/>
                <w:w w:val="90"/>
              </w:rPr>
              <w:t>(5)</w:t>
            </w:r>
            <w:r>
              <w:rPr>
                <w:rFonts w:ascii="Arial" w:cs="Arial" w:eastAsia="Arial" w:hAnsi="Arial"/>
                <w:sz w:val="18"/>
                <w:szCs w:val="18"/>
                <w:color w:val="auto"/>
                <w:w w:val="90"/>
              </w:rPr>
              <w:t>, 12/28/2020</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Louis, MO 63120</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UniTek Global Services,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Telecommunications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1.5%</w:t>
            </w:r>
          </w:p>
        </w:tc>
        <w:tc>
          <w:tcPr>
            <w:tcW w:w="100" w:type="dxa"/>
            <w:vAlign w:val="bottom"/>
          </w:tcPr>
          <w:p>
            <w:pPr>
              <w:spacing w:after="0"/>
              <w:rPr>
                <w:sz w:val="18"/>
                <w:szCs w:val="18"/>
                <w:color w:val="auto"/>
              </w:rPr>
            </w:pP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1777 Sentry Parkway West</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(L+850 (PIK 100),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Gwynedd Hall, Ste. 202</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01/14/2019), (L+750,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Blue Bell, PA 19422</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01/14/2019)</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Subordinated Debt,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15.00% (PIK 15.00%) fixed,</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07/15/2019</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Preferred Equity</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Equity</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Universal Fiber Systems, LLC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Chemicals, Plastics and Rubber</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14401 Industrial Park Road</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L+550, 10/04/2021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Bristol, VA 24202</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U.S. Anesthesia Partners,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9,851</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2475 Eagle Run</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L+500,12/31/2019</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Weston, FL 33327</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Med Acquisition,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Healthcare and Pharmaceuticals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8260 NW 27th Street, Suite 401</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L+900, 08/13/2021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Doral, FL 33122</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Vestcom Parent Holdings, Inc.</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Media: Advertising, Printing</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Equity</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18"/>
                <w:szCs w:val="18"/>
                <w:color w:val="auto"/>
              </w:rPr>
            </w:pP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7302 Kanis Road</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and Publishing</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Little Rock, AR 72204</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Vistage Worldwide, Inc.</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Media: Broadcasting and</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11452 El Camino Real, Suite 400</w:t>
            </w: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Subscription</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L+550, 08/19/2021</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Diego, CA 92130</w:t>
            </w: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VT Buyer Acquisition Corp.</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Business Services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Second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5"/>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w w:val="99"/>
              </w:rPr>
              <w:t>290 West Mount Pleasant Avenue, Suite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L+975, 01/30/2023</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220"/>
              <w:spacing w:after="0"/>
              <w:rPr>
                <w:sz w:val="20"/>
                <w:szCs w:val="20"/>
                <w:color w:val="auto"/>
              </w:rPr>
            </w:pPr>
            <w:r>
              <w:rPr>
                <w:rFonts w:ascii="Arial" w:cs="Arial" w:eastAsia="Arial" w:hAnsi="Arial"/>
                <w:sz w:val="18"/>
                <w:szCs w:val="18"/>
                <w:color w:val="auto"/>
              </w:rPr>
              <w:t>3200</w:t>
            </w:r>
          </w:p>
        </w:tc>
        <w:tc>
          <w:tcPr>
            <w:tcW w:w="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Livingston, NJ 07039</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459" w:right="23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Type of Investment,</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Voting Percentage</w:t>
            </w:r>
          </w:p>
        </w:tc>
        <w:tc>
          <w:tcPr>
            <w:tcW w:w="1700" w:type="dxa"/>
            <w:vAlign w:val="bottom"/>
          </w:tcPr>
          <w:p>
            <w:pPr>
              <w:jc w:val="right"/>
              <w:ind w:right="4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2540" w:type="dxa"/>
            <w:vAlign w:val="bottom"/>
            <w:gridSpan w:val="3"/>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680" w:type="dxa"/>
            <w:vAlign w:val="bottom"/>
          </w:tcPr>
          <w:p>
            <w:pPr>
              <w:spacing w:after="0"/>
              <w:rPr>
                <w:sz w:val="17"/>
                <w:szCs w:val="17"/>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Nature of Business</w:t>
            </w: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6"/>
              </w:rPr>
              <w:t xml:space="preserve">Interest </w:t>
            </w:r>
            <w:r>
              <w:rPr>
                <w:rFonts w:ascii="Arial" w:cs="Arial" w:eastAsia="Arial" w:hAnsi="Arial"/>
                <w:sz w:val="20"/>
                <w:szCs w:val="20"/>
                <w:b w:val="1"/>
                <w:bCs w:val="1"/>
                <w:color w:val="auto"/>
                <w:w w:val="96"/>
                <w:vertAlign w:val="superscript"/>
              </w:rPr>
              <w:t>(1)</w:t>
            </w:r>
            <w:r>
              <w:rPr>
                <w:rFonts w:ascii="Arial" w:cs="Arial" w:eastAsia="Arial" w:hAnsi="Arial"/>
                <w:sz w:val="13"/>
                <w:szCs w:val="13"/>
                <w:b w:val="1"/>
                <w:bCs w:val="1"/>
                <w:color w:val="auto"/>
                <w:w w:val="96"/>
              </w:rPr>
              <w:t>, Maturity</w:t>
            </w:r>
          </w:p>
        </w:tc>
        <w:tc>
          <w:tcPr>
            <w:tcW w:w="182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 xml:space="preserve">Ownership </w:t>
            </w:r>
            <w:r>
              <w:rPr>
                <w:rFonts w:ascii="Arial" w:cs="Arial" w:eastAsia="Arial" w:hAnsi="Arial"/>
                <w:sz w:val="20"/>
                <w:szCs w:val="20"/>
                <w:b w:val="1"/>
                <w:bCs w:val="1"/>
                <w:color w:val="auto"/>
                <w:w w:val="91"/>
                <w:vertAlign w:val="superscript"/>
              </w:rPr>
              <w:t>(2)</w:t>
            </w:r>
          </w:p>
        </w:tc>
        <w:tc>
          <w:tcPr>
            <w:tcW w:w="1700" w:type="dxa"/>
            <w:vAlign w:val="bottom"/>
          </w:tcPr>
          <w:p>
            <w:pPr>
              <w:jc w:val="right"/>
              <w:ind w:right="3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tcBorders>
              <w:top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88"/>
              </w:rPr>
              <w:t>Winchester Electronics Corporation</w:t>
            </w:r>
          </w:p>
        </w:tc>
        <w:tc>
          <w:tcPr>
            <w:tcW w:w="68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Capital Equipment</w:t>
            </w:r>
          </w:p>
        </w:tc>
        <w:tc>
          <w:tcPr>
            <w:tcW w:w="12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First Lien Secured Debt</w:t>
            </w:r>
            <w:r>
              <w:rPr>
                <w:rFonts w:ascii="Arial" w:cs="Arial" w:eastAsia="Arial" w:hAnsi="Arial"/>
                <w:sz w:val="11"/>
                <w:szCs w:val="11"/>
                <w:color w:val="auto"/>
                <w:w w:val="88"/>
              </w:rPr>
              <w:t>(4)</w:t>
            </w: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ind w:left="720"/>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ind w:right="440"/>
              <w:spacing w:after="0" w:line="182" w:lineRule="exact"/>
              <w:rPr>
                <w:sz w:val="20"/>
                <w:szCs w:val="20"/>
                <w:color w:val="auto"/>
              </w:rPr>
            </w:pPr>
            <w:r>
              <w:rPr>
                <w:rFonts w:ascii="Arial" w:cs="Arial" w:eastAsia="Arial" w:hAnsi="Arial"/>
                <w:sz w:val="18"/>
                <w:szCs w:val="18"/>
                <w:color w:val="auto"/>
              </w:rPr>
              <w:t>7,659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68 Water Street</w:t>
            </w:r>
          </w:p>
        </w:tc>
        <w:tc>
          <w:tcPr>
            <w:tcW w:w="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L+650, 06/30/2022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Norwalk, CT 06854</w:t>
            </w:r>
          </w:p>
        </w:tc>
        <w:tc>
          <w:tcPr>
            <w:tcW w:w="6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Worley Claims Services, LLC</w:t>
            </w:r>
          </w:p>
        </w:tc>
        <w:tc>
          <w:tcPr>
            <w:tcW w:w="680" w:type="dxa"/>
            <w:vAlign w:val="bottom"/>
          </w:tcPr>
          <w:p>
            <w:pPr>
              <w:spacing w:after="0"/>
              <w:rPr>
                <w:sz w:val="18"/>
                <w:szCs w:val="18"/>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Banking, Finance, Insurance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First Lien Secured Debt,</w:t>
            </w: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40"/>
              <w:spacing w:after="0"/>
              <w:rPr>
                <w:sz w:val="20"/>
                <w:szCs w:val="20"/>
                <w:color w:val="auto"/>
              </w:rPr>
            </w:pPr>
            <w:r>
              <w:rPr>
                <w:rFonts w:ascii="Arial" w:cs="Arial" w:eastAsia="Arial" w:hAnsi="Arial"/>
                <w:sz w:val="18"/>
                <w:szCs w:val="18"/>
                <w:color w:val="auto"/>
              </w:rPr>
              <w:t>7,316</w:t>
            </w:r>
          </w:p>
        </w:tc>
        <w:tc>
          <w:tcPr>
            <w:tcW w:w="0" w:type="dxa"/>
            <w:vAlign w:val="bottom"/>
          </w:tcPr>
          <w:p>
            <w:pPr>
              <w:spacing w:after="0"/>
              <w:rPr>
                <w:sz w:val="1"/>
                <w:szCs w:val="1"/>
                <w:color w:val="auto"/>
              </w:rPr>
            </w:pP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303 Timber Creek</w:t>
            </w:r>
          </w:p>
        </w:tc>
        <w:tc>
          <w:tcPr>
            <w:tcW w:w="680" w:type="dxa"/>
            <w:vAlign w:val="bottom"/>
          </w:tcPr>
          <w:p>
            <w:pPr>
              <w:spacing w:after="0"/>
              <w:rPr>
                <w:sz w:val="18"/>
                <w:szCs w:val="18"/>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and Real Estate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L+800, 10/30/2020</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40" w:type="dxa"/>
            <w:vAlign w:val="bottom"/>
            <w:gridSpan w:val="3"/>
          </w:tcPr>
          <w:p>
            <w:pPr>
              <w:spacing w:after="0"/>
              <w:rPr>
                <w:sz w:val="20"/>
                <w:szCs w:val="20"/>
                <w:color w:val="auto"/>
              </w:rPr>
            </w:pPr>
            <w:r>
              <w:rPr>
                <w:rFonts w:ascii="Arial" w:cs="Arial" w:eastAsia="Arial" w:hAnsi="Arial"/>
                <w:sz w:val="18"/>
                <w:szCs w:val="18"/>
                <w:color w:val="auto"/>
              </w:rPr>
              <w:t>Hammond, LA 70403</w:t>
            </w:r>
          </w:p>
        </w:tc>
        <w:tc>
          <w:tcPr>
            <w:tcW w:w="6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8"/>
                <w:szCs w:val="18"/>
                <w:color w:val="auto"/>
              </w:rPr>
              <w:t>$598,888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jc w:val="both"/>
        <w:ind w:left="220" w:right="180" w:hanging="212"/>
        <w:spacing w:after="0" w:line="227" w:lineRule="auto"/>
        <w:tabs>
          <w:tab w:leader="none" w:pos="2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basis point spread above index for floating rate instruments, or fixed rate for instruments if no index is indicated, that accrue interest at a predetermined spread relative to an index, typically the applicable London Interbank Offered Rate, or LIBOR or “L,” or Prime rate, or “P.” All securities are subject to a LIBOR or Prime rate floor where a spread is provided, unless noted. The spread provided includes payment-in-kind, or PIK, interest and other fee rates, if any.</w:t>
      </w:r>
    </w:p>
    <w:p>
      <w:pPr>
        <w:ind w:left="220" w:hanging="212"/>
        <w:spacing w:after="0" w:line="221" w:lineRule="auto"/>
        <w:tabs>
          <w:tab w:leader="none" w:pos="2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were we to have voting rights.</w:t>
      </w:r>
    </w:p>
    <w:p>
      <w:pPr>
        <w:ind w:left="220" w:right="540" w:hanging="212"/>
        <w:spacing w:after="0" w:line="221" w:lineRule="auto"/>
        <w:tabs>
          <w:tab w:leader="none" w:pos="2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ind w:left="220" w:hanging="212"/>
        <w:spacing w:after="0"/>
        <w:tabs>
          <w:tab w:leader="none" w:pos="2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Includes the purchase of a security with delayed settlement or a revolving line of credit that is currently an unfunded investment, that does not earn a basis point spread above an index while it is unfunded.</w:t>
      </w:r>
    </w:p>
    <w:p>
      <w:pPr>
        <w:spacing w:after="0" w:line="10" w:lineRule="exact"/>
        <w:rPr>
          <w:rFonts w:ascii="Arial" w:cs="Arial" w:eastAsia="Arial" w:hAnsi="Arial"/>
          <w:sz w:val="12"/>
          <w:szCs w:val="12"/>
          <w:color w:val="auto"/>
        </w:rPr>
      </w:pPr>
    </w:p>
    <w:p>
      <w:pPr>
        <w:ind w:left="220" w:hanging="212"/>
        <w:spacing w:after="0"/>
        <w:tabs>
          <w:tab w:leader="none" w:pos="2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140" w:lineRule="exact"/>
        <w:rPr>
          <w:sz w:val="20"/>
          <w:szCs w:val="20"/>
          <w:color w:val="auto"/>
        </w:rPr>
      </w:pPr>
    </w:p>
    <w:p>
      <w:pPr>
        <w:ind w:right="40" w:firstLine="571"/>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4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4380" w:type="dxa"/>
            <w:vAlign w:val="bottom"/>
            <w:tcBorders>
              <w:bottom w:val="single" w:sz="8" w:color="auto"/>
            </w:tcBorders>
            <w:vMerge w:val="continue"/>
          </w:tcPr>
          <w:p>
            <w:pPr>
              <w:spacing w:after="0"/>
              <w:rPr>
                <w:sz w:val="12"/>
                <w:szCs w:val="12"/>
                <w:color w:val="auto"/>
              </w:rPr>
            </w:pPr>
          </w:p>
        </w:tc>
        <w:tc>
          <w:tcPr>
            <w:tcW w:w="4680" w:type="dxa"/>
            <w:vAlign w:val="bottom"/>
            <w:tcBorders>
              <w:bottom w:val="single" w:sz="8" w:color="auto"/>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78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4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High Tech Industries</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10</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64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8</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Consumer Goods: Durable</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7</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64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6</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Telecommunications</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6</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64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Capital Equipment</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5</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Media: Diversified and Production</w:t>
            </w:r>
          </w:p>
        </w:tc>
        <w:tc>
          <w:tcPr>
            <w:tcW w:w="64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Retail</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5</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Wholesale</w:t>
            </w:r>
          </w:p>
        </w:tc>
        <w:tc>
          <w:tcPr>
            <w:tcW w:w="64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Consumer Goods: Non-Durable</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4</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64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4</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Chemicals, Plastics and Rubber</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3</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64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3</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Banking, Finance, Insurance and Real Estate</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2</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64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2</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Consumer Services</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2</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Media: Broadcasting and Subscription</w:t>
            </w:r>
          </w:p>
        </w:tc>
        <w:tc>
          <w:tcPr>
            <w:tcW w:w="64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2</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Automotive</w:t>
            </w:r>
          </w:p>
        </w:tc>
        <w:tc>
          <w:tcPr>
            <w:tcW w:w="6400" w:type="dxa"/>
            <w:vAlign w:val="bottom"/>
            <w:gridSpan w:val="4"/>
          </w:tcPr>
          <w:p>
            <w:pPr>
              <w:jc w:val="right"/>
              <w:ind w:right="780"/>
              <w:spacing w:after="0"/>
              <w:rPr>
                <w:sz w:val="20"/>
                <w:szCs w:val="20"/>
                <w:color w:val="auto"/>
              </w:rPr>
            </w:pPr>
            <w:r>
              <w:rPr>
                <w:rFonts w:ascii="Arial" w:cs="Arial" w:eastAsia="Arial" w:hAnsi="Arial"/>
                <w:sz w:val="18"/>
                <w:szCs w:val="18"/>
                <w:color w:val="auto"/>
              </w:rPr>
              <w:t>1</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5200" w:type="dxa"/>
            <w:vAlign w:val="bottom"/>
            <w:gridSpan w:val="2"/>
            <w:shd w:val="clear" w:color="auto" w:fill="CCEEFF"/>
          </w:tcPr>
          <w:p>
            <w:pPr>
              <w:spacing w:after="0"/>
              <w:rPr>
                <w:sz w:val="18"/>
                <w:szCs w:val="18"/>
                <w:color w:val="auto"/>
              </w:rPr>
            </w:pPr>
          </w:p>
        </w:tc>
        <w:tc>
          <w:tcPr>
            <w:tcW w:w="12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80" w:type="dxa"/>
            <w:vAlign w:val="bottom"/>
            <w:vMerge w:val="continue"/>
          </w:tcPr>
          <w:p>
            <w:pPr>
              <w:spacing w:after="0"/>
              <w:rPr>
                <w:sz w:val="19"/>
                <w:szCs w:val="19"/>
                <w:color w:val="auto"/>
              </w:rPr>
            </w:pPr>
          </w:p>
        </w:tc>
        <w:tc>
          <w:tcPr>
            <w:tcW w:w="5200" w:type="dxa"/>
            <w:vAlign w:val="bottom"/>
            <w:gridSpan w:val="2"/>
          </w:tcPr>
          <w:p>
            <w:pPr>
              <w:spacing w:after="0"/>
              <w:rPr>
                <w:sz w:val="19"/>
                <w:szCs w:val="19"/>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100%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4680" w:type="dxa"/>
            <w:vAlign w:val="bottom"/>
            <w:vMerge w:val="restart"/>
          </w:tcPr>
          <w:p>
            <w:pPr>
              <w:jc w:val="right"/>
              <w:ind w:right="3172"/>
              <w:spacing w:after="0"/>
              <w:rPr>
                <w:sz w:val="20"/>
                <w:szCs w:val="20"/>
                <w:color w:val="auto"/>
              </w:rPr>
            </w:pPr>
            <w:r>
              <w:rPr>
                <w:rFonts w:ascii="Arial" w:cs="Arial" w:eastAsia="Arial" w:hAnsi="Arial"/>
                <w:sz w:val="18"/>
                <w:szCs w:val="18"/>
                <w:color w:val="auto"/>
              </w:rPr>
              <w:t>73</w:t>
            </w: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8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96"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or directors, four of whom are not “interested persons” of the Company as defined in Section 2(a)(19) of the 1940 Act. We refer to these individuals as our Independent Directors. Our board of directors elects our officers, who serve at the discretion of the board of directors.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Under our charter, our directors are divided into three classes and are elected for staggered terms of three years each, with a term of office of one of the three classes of directors expiring each year. Each director holds office for the term to which he or she is elected and until his or her successor is duly elected and qualifies.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Director</w:t>
            </w:r>
          </w:p>
        </w:tc>
        <w:tc>
          <w:tcPr>
            <w:tcW w:w="840" w:type="dxa"/>
            <w:vAlign w:val="bottom"/>
          </w:tcPr>
          <w:p>
            <w:pPr>
              <w:jc w:val="right"/>
              <w:ind w:right="118"/>
              <w:spacing w:after="0"/>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74"/>
        </w:trPr>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4440" w:type="dxa"/>
            <w:vAlign w:val="bottom"/>
            <w:gridSpan w:val="3"/>
          </w:tcPr>
          <w:p>
            <w:pPr>
              <w:ind w:left="100"/>
              <w:spacing w:after="0"/>
              <w:rPr>
                <w:sz w:val="20"/>
                <w:szCs w:val="20"/>
                <w:color w:val="auto"/>
              </w:rPr>
            </w:pPr>
            <w:r>
              <w:rPr>
                <w:rFonts w:ascii="Arial" w:cs="Arial" w:eastAsia="Arial" w:hAnsi="Arial"/>
                <w:sz w:val="14"/>
                <w:szCs w:val="14"/>
                <w:b w:val="1"/>
                <w:bCs w:val="1"/>
                <w:color w:val="auto"/>
              </w:rPr>
              <w:t>Position</w:t>
            </w: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0"/>
              </w:rPr>
              <w:t>Since</w:t>
            </w:r>
          </w:p>
        </w:tc>
        <w:tc>
          <w:tcPr>
            <w:tcW w:w="840" w:type="dxa"/>
            <w:vAlign w:val="bottom"/>
          </w:tcPr>
          <w:p>
            <w:pPr>
              <w:jc w:val="right"/>
              <w:ind w:right="218"/>
              <w:spacing w:after="0"/>
              <w:rPr>
                <w:sz w:val="20"/>
                <w:szCs w:val="20"/>
                <w:color w:val="auto"/>
              </w:rPr>
            </w:pPr>
            <w:r>
              <w:rPr>
                <w:rFonts w:ascii="Arial" w:cs="Arial" w:eastAsia="Arial" w:hAnsi="Arial"/>
                <w:sz w:val="14"/>
                <w:szCs w:val="14"/>
                <w:b w:val="1"/>
                <w:bCs w:val="1"/>
                <w:color w:val="auto"/>
              </w:rPr>
              <w:t>of Term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44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100" w:type="dxa"/>
            <w:vAlign w:val="bottom"/>
          </w:tcPr>
          <w:p>
            <w:pPr>
              <w:jc w:val="right"/>
              <w:ind w:right="298"/>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840" w:type="dxa"/>
            <w:vAlign w:val="bottom"/>
          </w:tcPr>
          <w:p>
            <w:pPr>
              <w:jc w:val="right"/>
              <w:ind w:right="158"/>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44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110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44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100" w:type="dxa"/>
            <w:vAlign w:val="bottom"/>
          </w:tcPr>
          <w:p>
            <w:pPr>
              <w:jc w:val="right"/>
              <w:ind w:right="298"/>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840" w:type="dxa"/>
            <w:vAlign w:val="bottom"/>
          </w:tcPr>
          <w:p>
            <w:pPr>
              <w:jc w:val="right"/>
              <w:ind w:right="158"/>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44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110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4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44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Chairman of the Board and Chief Executive Officer</w:t>
            </w:r>
          </w:p>
        </w:tc>
        <w:tc>
          <w:tcPr>
            <w:tcW w:w="110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information pertains to our executive officer who is not a director of PennantPark Floating Rate Capital Ltd.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5360" w:type="dxa"/>
            <w:vAlign w:val="bottom"/>
            <w:gridSpan w:val="2"/>
          </w:tcPr>
          <w:p>
            <w:pPr>
              <w:ind w:left="100"/>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Aviv Efrat</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tcBorders>
            <w:shd w:val="clear" w:color="auto" w:fill="CCEEFF"/>
          </w:tcPr>
          <w:p>
            <w:pPr>
              <w:spacing w:after="0"/>
              <w:rPr>
                <w:sz w:val="18"/>
                <w:szCs w:val="18"/>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Financial Officer and Treasurer</w:t>
            </w:r>
          </w:p>
        </w:tc>
      </w:tr>
      <w:tr>
        <w:trPr>
          <w:trHeight w:val="156"/>
        </w:trPr>
        <w:tc>
          <w:tcPr>
            <w:tcW w:w="5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60" w:type="dxa"/>
            <w:vAlign w:val="bottom"/>
            <w:shd w:val="clear" w:color="auto" w:fill="CCEEFF"/>
          </w:tcPr>
          <w:p>
            <w:pPr>
              <w:spacing w:after="0"/>
              <w:rPr>
                <w:sz w:val="13"/>
                <w:szCs w:val="13"/>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information pertains to our officer who is not a director of PennantPark Floating Rate Capital Ltd.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52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Guy F. Talarico</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CEEFF"/>
            </w:tcBorders>
            <w:shd w:val="clear" w:color="auto" w:fill="CCEEFF"/>
          </w:tcPr>
          <w:p>
            <w:pPr>
              <w:spacing w:after="0"/>
              <w:rPr>
                <w:sz w:val="18"/>
                <w:szCs w:val="18"/>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Compliance Officer</w:t>
            </w:r>
          </w:p>
        </w:tc>
      </w:tr>
      <w:tr>
        <w:trPr>
          <w:trHeight w:val="156"/>
        </w:trPr>
        <w:tc>
          <w:tcPr>
            <w:tcW w:w="5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60" w:type="dxa"/>
            <w:vAlign w:val="bottom"/>
            <w:shd w:val="clear" w:color="auto" w:fill="CCEEFF"/>
          </w:tcPr>
          <w:p>
            <w:pPr>
              <w:spacing w:after="0"/>
              <w:rPr>
                <w:sz w:val="13"/>
                <w:szCs w:val="13"/>
                <w:color w:val="auto"/>
              </w:rPr>
            </w:pPr>
          </w:p>
        </w:tc>
      </w:tr>
    </w:tbl>
    <w:p>
      <w:pPr>
        <w:spacing w:after="0" w:line="15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address for each director and executive officer is c/o PennantPark Floating Rate Capital Ltd., 590 Madison Avenue, 15th Floor, New York, New York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10022.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90" w:lineRule="exact"/>
        <w:rPr>
          <w:sz w:val="20"/>
          <w:szCs w:val="20"/>
          <w:color w:val="auto"/>
        </w:rPr>
      </w:pPr>
    </w:p>
    <w:p>
      <w:pPr>
        <w:ind w:right="100" w:firstLine="571"/>
        <w:spacing w:after="0" w:line="289" w:lineRule="auto"/>
        <w:rPr>
          <w:sz w:val="20"/>
          <w:szCs w:val="20"/>
          <w:color w:val="auto"/>
        </w:rPr>
      </w:pPr>
      <w:r>
        <w:rPr>
          <w:rFonts w:ascii="Arial" w:cs="Arial" w:eastAsia="Arial" w:hAnsi="Arial"/>
          <w:sz w:val="16"/>
          <w:szCs w:val="16"/>
          <w:color w:val="auto"/>
        </w:rPr>
        <w:t>The 1940 Act requires that at least a majority of our directors not be “interested persons” (as defined in the 1940 Act) of the Company. Currently, four of our five directors are Independent Directors. The Chairman of our board of directors is our Chief Executive Officer and therefore an interested person of us. The Independent Directors believe that the combined position of Chief Executive Officer and Chairman of the board of directors results in greater efficiencies in managing us by eliminating the need to transfer substantial information quickly and repeatedly between the Chief Executive Officer and the Chairman and by offering the 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the Administrator, is appropriate in light of the services that the Investment Adviser and the Administrator provide us and the potential conflicts of interest that could arise from these relationships.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Risk Oversight Role</w:t>
      </w:r>
    </w:p>
    <w:p>
      <w:pPr>
        <w:spacing w:after="0" w:line="90"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The board of directors performs its risk oversight function primarily through (1) its three standing committees, described more fully below, which report to the board of directors and are comprised solely of Independent Directors and (2) monitoring by our Chief Compliance Officer in accordance with our compliance policies and procedures.</w:t>
      </w:r>
    </w:p>
    <w:p>
      <w:pPr>
        <w:spacing w:after="0" w:line="59"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As described below in more detail under “Audit Committee,” “Nominating and Corporate Governance Committee” and “Compensation Committee,” the board of directors’ Audit Committee, Nominating and Corporate Governance Committee and Compensation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our management. The Compensation Committee’s risk oversight responsibilities include determining, or recommending to the board of directors for determining, the compensation of the Company’s chief executive officer and all other executive officers, paid directly by the Company, if any, and assisting the board of directors with matters related to compensation, as directed by the board of directors. The Audit Committee, Nominating and Corporate Governance Committee and Compensation Committee consist solely of Independent Directors.</w:t>
      </w:r>
    </w:p>
    <w:p>
      <w:pPr>
        <w:spacing w:after="0" w:line="46"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The board of directors also performs its risk oversight responsibilities with the assistance of the Chief Compliance Officer. Our Chief Compliance Officer prepares a written report annually discussing the adequacy and effectiveness of our compliance policies and procedures and certain of our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37" w:lineRule="exact"/>
        <w:rPr>
          <w:sz w:val="20"/>
          <w:szCs w:val="20"/>
          <w:color w:val="auto"/>
        </w:rPr>
      </w:pPr>
    </w:p>
    <w:p>
      <w:pPr>
        <w:ind w:right="160" w:firstLine="571"/>
        <w:spacing w:after="0" w:line="294" w:lineRule="auto"/>
        <w:rPr>
          <w:sz w:val="20"/>
          <w:szCs w:val="20"/>
          <w:color w:val="auto"/>
        </w:rPr>
      </w:pPr>
      <w:r>
        <w:rPr>
          <w:rFonts w:ascii="Arial" w:cs="Arial" w:eastAsia="Arial" w:hAnsi="Arial"/>
          <w:sz w:val="16"/>
          <w:szCs w:val="16"/>
          <w:color w:val="auto"/>
        </w:rPr>
        <w:t>We believe that the board of directors’ role in risk oversight is effective and appropriate given the extensive regulation to which it is already subject as a BDC. Specifically, as a BDC, we must comply with certain regulatory requirements that controls the levels of risk in our business and operations. For example, our ability to incur indebtedness is limited by the asset coverage ratio set forth in the 1940 Act (including any relief thereto provided by the SEC),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35"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We believe that the extent of the board of directors’ and its committees’ roles in risk oversight complements the board of directors’ leadership structure. Because they are comprised solely of Independent Directors, the Audit Committee, the Nominating and Corporate Governance Committee and the Compensation Committee are able to exercise their oversight responsibilities without any conflict of interest that might discourage critical questioning and review. Through regular executive session meetings with our independent public accounting firm,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63"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believe that the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 their respective risk oversight functions, including through formal annual assessments of performance, to ensure that they meet our needs.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specific experiences, qualifications, attributes and/or skills that each director possesses and, which the board of directors considered to be an effective director. Our directors have been divided into two groups-interested directors and Independent Directors. Interested directors are “interested persons” as defined in the 1940 Act.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140" w:firstLine="571"/>
        <w:spacing w:after="0" w:line="294" w:lineRule="auto"/>
        <w:rPr>
          <w:sz w:val="20"/>
          <w:szCs w:val="20"/>
          <w:color w:val="auto"/>
        </w:rPr>
      </w:pPr>
      <w:r>
        <w:rPr>
          <w:rFonts w:ascii="Arial" w:cs="Arial" w:eastAsia="Arial" w:hAnsi="Arial"/>
          <w:sz w:val="16"/>
          <w:szCs w:val="16"/>
          <w:color w:val="auto"/>
        </w:rPr>
        <w:t>Adam K. Bernstein (53), Director. Mr. Bernstein became a Director of PennantPark Floating Rate Capital Ltd. and PennantPark Investment Corporation in October 2010 and February 2007, respectively. 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spacing w:after="0" w:line="35" w:lineRule="exact"/>
        <w:rPr>
          <w:sz w:val="20"/>
          <w:szCs w:val="20"/>
          <w:color w:val="auto"/>
        </w:rPr>
      </w:pPr>
    </w:p>
    <w:p>
      <w:pPr>
        <w:ind w:right="140" w:firstLine="571"/>
        <w:spacing w:after="0" w:line="294" w:lineRule="auto"/>
        <w:rPr>
          <w:sz w:val="20"/>
          <w:szCs w:val="20"/>
          <w:color w:val="auto"/>
        </w:rPr>
      </w:pPr>
      <w:r>
        <w:rPr>
          <w:rFonts w:ascii="Arial" w:cs="Arial" w:eastAsia="Arial" w:hAnsi="Arial"/>
          <w:sz w:val="16"/>
          <w:szCs w:val="16"/>
          <w:color w:val="auto"/>
        </w:rPr>
        <w:t>Marshall Brozost (49), Director. Mr. Brozost became a Director of PennantPark Floating Rate Capital Ltd. and PennantPark Investment Corporation in October 2010 and February 2007, respectively. Since July 2016, Mr. Brozost has been a Partner at Orrick, Herrington &amp; Sutcliffe LLP, where he practices in the real estate and private equity groups. Prior to Orrick, Herrington &amp; Sutcliffe LLP, Mr. Brozost practiced law at O’Melveny &amp; Myers LLP from 2001 to 2004; Solomon &amp; Weinberg LLP from 2004 to 2005; Dewey &amp; LeBoeuf LLP from 2005 to 2012; Schulte Roth &amp; Zabel, LLP from 2012 to 2016. Mr. Brozost also served as a Vice President of Nomura Asset Capital Corporation from 1997 through 2000.</w:t>
      </w:r>
    </w:p>
    <w:p>
      <w:pPr>
        <w:spacing w:after="0" w:line="35"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Jeffrey Flug (54), Director. Mr. Flug became a Director of PennantPark Floating Rate Capital Ltd. and PennantPark Investment Corporation in October 2010 and February 2007, respectively. From 2009 to June 2015, Mr. Flug held a variety of senior positions, including, most recently, President, with Union Square Hospitality Group, an exclusive chain of restaurants. Since September 2014, Mr. Flug has served as a director of Shake Shack, Inc. From October 2012 to September 2015, Mr. Flug was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37" w:lineRule="exact"/>
        <w:rPr>
          <w:sz w:val="20"/>
          <w:szCs w:val="20"/>
          <w:color w:val="auto"/>
        </w:rPr>
      </w:pPr>
    </w:p>
    <w:p>
      <w:pPr>
        <w:ind w:right="120" w:firstLine="571"/>
        <w:spacing w:after="0" w:line="289" w:lineRule="auto"/>
        <w:rPr>
          <w:sz w:val="20"/>
          <w:szCs w:val="20"/>
          <w:color w:val="auto"/>
        </w:rPr>
      </w:pPr>
      <w:r>
        <w:rPr>
          <w:rFonts w:ascii="Arial" w:cs="Arial" w:eastAsia="Arial" w:hAnsi="Arial"/>
          <w:sz w:val="16"/>
          <w:szCs w:val="16"/>
          <w:color w:val="auto"/>
        </w:rPr>
        <w:t>Samuel L. Katz (51), Director. Mr. Katz became a Director of PennantPark Floating Rate Capital Ltd. and PennantPark Investment Corporation in October 2010 and February 2007, respectively. Mr. Katz is the Managing Partner of 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90"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Arthur H. Penn (53), Founder, Chief Executive Officer and Chairman of the board of directors. Mr. Penn became the Chief Executive Officer and a Director of PennantPark Floating Rate Capital Ltd. and PennantPark Investment Corporation at their inception in 2010 and 2007, respectively.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90"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Aviv Efrat (52), Chief Financial Officer and Treasurer. Mr. Efrat became the Chief Financial Officer and Treasurer of PennantPark Floating Rate Capital Ltd. and PennantPark Investment Corporation in October 2010 and February 2007,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63" w:lineRule="exact"/>
        <w:rPr>
          <w:sz w:val="20"/>
          <w:szCs w:val="20"/>
          <w:color w:val="auto"/>
        </w:rPr>
      </w:pPr>
    </w:p>
    <w:p>
      <w:pPr>
        <w:ind w:right="80" w:firstLine="571"/>
        <w:spacing w:after="0" w:line="306" w:lineRule="auto"/>
        <w:rPr>
          <w:sz w:val="20"/>
          <w:szCs w:val="20"/>
          <w:color w:val="auto"/>
        </w:rPr>
      </w:pPr>
      <w:r>
        <w:rPr>
          <w:rFonts w:ascii="Arial" w:cs="Arial" w:eastAsia="Arial" w:hAnsi="Arial"/>
          <w:sz w:val="16"/>
          <w:szCs w:val="16"/>
          <w:color w:val="auto"/>
        </w:rPr>
        <w:t>Guy F. Talarico (61), Chief Compliance Officer. Mr. Talarico became the Chief Compliance Officer of PennantPark Floating Rate Capital Ltd. and PennantPark Investment Corporation in March 2011 and May 2008, respectively. Mr. Talarico has held the position of Chief Compliance Officer for a number of investment advisers, private funds and investment companies from 2004 when he founded Alaric Compliance Services, LLC.</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right="200" w:firstLine="439"/>
        <w:spacing w:after="0" w:line="255" w:lineRule="auto"/>
        <w:rPr>
          <w:sz w:val="20"/>
          <w:szCs w:val="20"/>
          <w:color w:val="auto"/>
        </w:rPr>
      </w:pPr>
      <w:r>
        <w:rPr>
          <w:rFonts w:ascii="Arial" w:cs="Arial" w:eastAsia="Arial" w:hAnsi="Arial"/>
          <w:sz w:val="18"/>
          <w:szCs w:val="18"/>
          <w:color w:val="auto"/>
        </w:rPr>
        <w:t>For the fiscal year ended September 30, 2016, we held five board of directors’ meetings, four Audit Committee meetings, one Nominating and Corporate Governance Committee Meeting and one Compensation Committee meeting. All directors attended at least 75% of the aggregate number of meetings of the board of directors and of the respective committees on which they served. We require each director to make a diligent effort to attend all board of directors and committee meetings, and encourage directors to attend the annual stockholders’ meeting. For the fiscal year ended September 30, 2016, four of the directors attended the annual stockholders’ meeting.</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 xml:space="preserve">The members of the Audit Committee are Messrs. Bernstein, Brozost, Flug and Katz, each of whom is independent for purposes of the 1940 Act and the NASDAQ corporate governance rules. Messrs. Flug and Katz serve as Co-Chairmen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reviewing and approving all related party transactions; and evaluating the qualifications, performance and independence of the auditors. The Audit Committee is also responsible for aiding our board of directors in fair valuing our portfolio securities that are not publicly traded or for which current market values are not readily available.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96" w:lineRule="exact"/>
        <w:rPr>
          <w:sz w:val="20"/>
          <w:szCs w:val="20"/>
          <w:color w:val="auto"/>
        </w:rPr>
      </w:pPr>
    </w:p>
    <w:p>
      <w:pPr>
        <w:ind w:right="60" w:firstLine="571"/>
        <w:spacing w:after="0" w:line="253" w:lineRule="auto"/>
        <w:rPr>
          <w:sz w:val="20"/>
          <w:szCs w:val="20"/>
          <w:color w:val="auto"/>
        </w:rPr>
      </w:pPr>
      <w:r>
        <w:rPr>
          <w:rFonts w:ascii="Arial" w:cs="Arial" w:eastAsia="Arial" w:hAnsi="Arial"/>
          <w:sz w:val="18"/>
          <w:szCs w:val="18"/>
          <w:color w:val="auto"/>
        </w:rPr>
        <w:t xml:space="preserve">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8"/>
          <w:szCs w:val="18"/>
          <w:i w:val="1"/>
          <w:iCs w:val="1"/>
          <w:u w:val="single" w:color="auto"/>
          <w:color w:val="auto"/>
        </w:rPr>
        <w:t>www.pennantpark.com</w:t>
      </w:r>
      <w:r>
        <w:rPr>
          <w:rFonts w:ascii="Arial" w:cs="Arial" w:eastAsia="Arial" w:hAnsi="Arial"/>
          <w:sz w:val="18"/>
          <w:szCs w:val="18"/>
          <w:i w:val="1"/>
          <w:iCs w:val="1"/>
          <w:color w:val="auto"/>
        </w:rPr>
        <w:t>.</w:t>
      </w:r>
    </w:p>
    <w:p>
      <w:pPr>
        <w:spacing w:after="0" w:line="147" w:lineRule="exact"/>
        <w:rPr>
          <w:sz w:val="20"/>
          <w:szCs w:val="20"/>
          <w:color w:val="auto"/>
        </w:rPr>
      </w:pPr>
    </w:p>
    <w:p>
      <w:pPr>
        <w:ind w:right="100" w:firstLine="571"/>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J. Friedmann, Secretary, c/o PennantPark Floating Rate Capital Ltd., 590 Madison Avenue, 15th Floor, New York, New York 10022. When submitting a nomination to the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18" w:lineRule="exact"/>
        <w:rPr>
          <w:sz w:val="20"/>
          <w:szCs w:val="20"/>
          <w:color w:val="auto"/>
        </w:rPr>
      </w:pPr>
    </w:p>
    <w:p>
      <w:pPr>
        <w:ind w:right="80" w:firstLine="571"/>
        <w:spacing w:after="0" w:line="288"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 and the ability to contribute to our effective management of the Company,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the board of directors, but the Nominating and Corporate Governance Committee will consider such factors as it may deem are in the best interests of us and our stockholders. Those factors may include a person’s differences of viewpoint, professional experience, education and skills, as well as his or her race, gender and national origin. In addition, as part of the board of directors’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annual-self assessment, the members of the Nominating and Corporate Governance Committee evaluate the membership of the board of directors and whether the board of directors maintains satisfactory policies regarding membership selection.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 xml:space="preserve">The Compensation Committee is responsible for determining, or recommending to the board of directors for determining, the compensation of the Company’s Chief Executive Officer and all other executive officers, paid directly by the Company, if any. The Compensation Committee also assists the board of directors with all matters related to compensation, as directed by the board of directors. The current members of the Compensation Committee are Messrs. Bernstein, Brozost, Flug and Katz, each of whom is independent for purposes of the 1940 Act and the NASDAQ corporate governance rules. As discussed below, none of our executive officers is directly compensated by the Company and, as a result, the Compensation Committee does not produce and/or review and report on executive compensation practices. The Compensation Committee Charter is available on the Company’s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 and Executive Officer</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2016. No compensation is paid directly by us to any interested director or executive officer of the Company.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w w:val="92"/>
              </w:rPr>
              <w:t>PennantPark Floating Rate Capital Ltd.</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w w:val="91"/>
              </w:rPr>
              <w:t>PennantPark Investment Corporation</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Pension or</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0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85"/>
              </w:rPr>
              <w:t>Pension or</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Aggregate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retirement</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Aggregate</w:t>
            </w:r>
          </w:p>
        </w:tc>
        <w:tc>
          <w:tcPr>
            <w:tcW w:w="15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retirement</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benefits</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5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benefits</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600"/>
              <w:spacing w:after="0" w:line="135" w:lineRule="exact"/>
              <w:rPr>
                <w:sz w:val="20"/>
                <w:szCs w:val="20"/>
                <w:color w:val="auto"/>
              </w:rPr>
            </w:pPr>
            <w:r>
              <w:rPr>
                <w:rFonts w:ascii="Arial" w:cs="Arial" w:eastAsia="Arial" w:hAnsi="Arial"/>
                <w:sz w:val="14"/>
                <w:szCs w:val="14"/>
                <w:b w:val="1"/>
                <w:bCs w:val="1"/>
                <w:color w:val="auto"/>
                <w:w w:val="89"/>
              </w:rPr>
              <w:t>from the</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accrued as part</w:t>
            </w:r>
          </w:p>
        </w:tc>
        <w:tc>
          <w:tcPr>
            <w:tcW w:w="500" w:type="dxa"/>
            <w:vAlign w:val="bottom"/>
          </w:tcPr>
          <w:p>
            <w:pPr>
              <w:spacing w:after="0"/>
              <w:rPr>
                <w:sz w:val="11"/>
                <w:szCs w:val="11"/>
                <w:color w:val="auto"/>
              </w:rPr>
            </w:pPr>
          </w:p>
        </w:tc>
        <w:tc>
          <w:tcPr>
            <w:tcW w:w="1140" w:type="dxa"/>
            <w:vAlign w:val="bottom"/>
            <w:gridSpan w:val="3"/>
          </w:tcPr>
          <w:p>
            <w:pPr>
              <w:jc w:val="right"/>
              <w:ind w:right="320"/>
              <w:spacing w:after="0" w:line="135" w:lineRule="exact"/>
              <w:rPr>
                <w:sz w:val="20"/>
                <w:szCs w:val="20"/>
                <w:color w:val="auto"/>
              </w:rPr>
            </w:pPr>
            <w:r>
              <w:rPr>
                <w:rFonts w:ascii="Arial" w:cs="Arial" w:eastAsia="Arial" w:hAnsi="Arial"/>
                <w:sz w:val="14"/>
                <w:szCs w:val="14"/>
                <w:b w:val="1"/>
                <w:bCs w:val="1"/>
                <w:color w:val="auto"/>
                <w:w w:val="96"/>
              </w:rPr>
              <w:t>Total paid to</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89"/>
              </w:rPr>
              <w:t>from the</w:t>
            </w:r>
          </w:p>
        </w:tc>
        <w:tc>
          <w:tcPr>
            <w:tcW w:w="150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86"/>
              </w:rPr>
              <w:t>accrued as part</w:t>
            </w:r>
          </w:p>
        </w:tc>
        <w:tc>
          <w:tcPr>
            <w:tcW w:w="98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Total paid to</w:t>
            </w:r>
          </w:p>
        </w:tc>
      </w:tr>
      <w:tr>
        <w:trPr>
          <w:trHeight w:val="176"/>
        </w:trPr>
        <w:tc>
          <w:tcPr>
            <w:tcW w:w="30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Company</w:t>
            </w:r>
          </w:p>
        </w:tc>
        <w:tc>
          <w:tcPr>
            <w:tcW w:w="980" w:type="dxa"/>
            <w:vAlign w:val="bottom"/>
          </w:tcPr>
          <w:p>
            <w:pPr>
              <w:jc w:val="right"/>
              <w:spacing w:after="0" w:line="176" w:lineRule="exact"/>
              <w:rPr>
                <w:sz w:val="20"/>
                <w:szCs w:val="20"/>
                <w:color w:val="auto"/>
              </w:rPr>
            </w:pPr>
            <w:r>
              <w:rPr>
                <w:rFonts w:ascii="Arial" w:cs="Arial" w:eastAsia="Arial" w:hAnsi="Arial"/>
                <w:sz w:val="13"/>
                <w:szCs w:val="13"/>
                <w:b w:val="1"/>
                <w:bCs w:val="1"/>
                <w:color w:val="auto"/>
                <w:w w:val="86"/>
              </w:rPr>
              <w:t>of our expense</w:t>
            </w:r>
            <w:r>
              <w:rPr>
                <w:rFonts w:ascii="Arial" w:cs="Arial" w:eastAsia="Arial" w:hAnsi="Arial"/>
                <w:sz w:val="20"/>
                <w:szCs w:val="20"/>
                <w:b w:val="1"/>
                <w:bCs w:val="1"/>
                <w:color w:val="auto"/>
                <w:w w:val="86"/>
                <w:vertAlign w:val="superscript"/>
              </w:rPr>
              <w:t>(1)</w:t>
            </w:r>
          </w:p>
        </w:tc>
        <w:tc>
          <w:tcPr>
            <w:tcW w:w="50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director/officer</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Company</w:t>
            </w:r>
          </w:p>
        </w:tc>
        <w:tc>
          <w:tcPr>
            <w:tcW w:w="1500" w:type="dxa"/>
            <w:vAlign w:val="bottom"/>
            <w:gridSpan w:val="2"/>
          </w:tcPr>
          <w:p>
            <w:pPr>
              <w:jc w:val="right"/>
              <w:ind w:right="520"/>
              <w:spacing w:after="0" w:line="176" w:lineRule="exact"/>
              <w:rPr>
                <w:sz w:val="20"/>
                <w:szCs w:val="20"/>
                <w:color w:val="auto"/>
              </w:rPr>
            </w:pPr>
            <w:r>
              <w:rPr>
                <w:rFonts w:ascii="Arial" w:cs="Arial" w:eastAsia="Arial" w:hAnsi="Arial"/>
                <w:sz w:val="13"/>
                <w:szCs w:val="13"/>
                <w:b w:val="1"/>
                <w:bCs w:val="1"/>
                <w:color w:val="auto"/>
                <w:w w:val="88"/>
              </w:rPr>
              <w:t>of our expense</w:t>
            </w:r>
            <w:r>
              <w:rPr>
                <w:rFonts w:ascii="Arial" w:cs="Arial" w:eastAsia="Arial" w:hAnsi="Arial"/>
                <w:sz w:val="20"/>
                <w:szCs w:val="20"/>
                <w:b w:val="1"/>
                <w:bCs w:val="1"/>
                <w:color w:val="auto"/>
                <w:w w:val="88"/>
                <w:vertAlign w:val="superscript"/>
              </w:rPr>
              <w:t>(1)</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7"/>
              </w:rPr>
              <w:t>director/officer</w:t>
            </w:r>
          </w:p>
        </w:tc>
      </w:tr>
      <w:tr>
        <w:trPr>
          <w:trHeight w:val="210"/>
        </w:trPr>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40" w:type="dxa"/>
            <w:vAlign w:val="bottom"/>
          </w:tcPr>
          <w:p>
            <w:pPr>
              <w:ind w:left="440"/>
              <w:spacing w:after="0"/>
              <w:rPr>
                <w:sz w:val="20"/>
                <w:szCs w:val="20"/>
                <w:color w:val="auto"/>
              </w:rPr>
            </w:pPr>
            <w:r>
              <w:rPr>
                <w:rFonts w:ascii="Arial" w:cs="Arial" w:eastAsia="Arial" w:hAnsi="Arial"/>
                <w:sz w:val="18"/>
                <w:szCs w:val="18"/>
                <w:color w:val="auto"/>
              </w:rPr>
              <w:t>Adam K. Bernstein</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61,250</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None</w:t>
            </w:r>
          </w:p>
        </w:tc>
        <w:tc>
          <w:tcPr>
            <w:tcW w:w="8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61,250</w:t>
            </w:r>
          </w:p>
        </w:tc>
        <w:tc>
          <w:tcPr>
            <w:tcW w:w="26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122,500</w:t>
            </w: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None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122,500</w:t>
            </w: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61,250</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61,250</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122,500</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122,500</w:t>
            </w:r>
          </w:p>
        </w:tc>
        <w:tc>
          <w:tcPr>
            <w:tcW w:w="100" w:type="dxa"/>
            <w:vAlign w:val="bottom"/>
            <w:shd w:val="clear" w:color="auto" w:fill="CCEEFF"/>
          </w:tcPr>
          <w:p>
            <w:pPr>
              <w:spacing w:after="0"/>
              <w:rPr>
                <w:sz w:val="18"/>
                <w:szCs w:val="18"/>
                <w:color w:val="auto"/>
              </w:rPr>
            </w:pPr>
          </w:p>
        </w:tc>
      </w:tr>
      <w:tr>
        <w:trPr>
          <w:trHeight w:val="216"/>
        </w:trPr>
        <w:tc>
          <w:tcPr>
            <w:tcW w:w="3040" w:type="dxa"/>
            <w:vAlign w:val="bottom"/>
          </w:tcPr>
          <w:p>
            <w:pPr>
              <w:ind w:left="440"/>
              <w:spacing w:after="0"/>
              <w:rPr>
                <w:sz w:val="20"/>
                <w:szCs w:val="20"/>
                <w:color w:val="auto"/>
              </w:rPr>
            </w:pPr>
            <w:r>
              <w:rPr>
                <w:rFonts w:ascii="Arial" w:cs="Arial" w:eastAsia="Arial" w:hAnsi="Arial"/>
                <w:sz w:val="18"/>
                <w:szCs w:val="18"/>
                <w:color w:val="auto"/>
              </w:rPr>
              <w:t>Jeffrey Flug</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63,750</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None</w:t>
            </w:r>
          </w:p>
        </w:tc>
        <w:tc>
          <w:tcPr>
            <w:tcW w:w="8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63,750</w:t>
            </w:r>
          </w:p>
        </w:tc>
        <w:tc>
          <w:tcPr>
            <w:tcW w:w="26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132,500</w:t>
            </w: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None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132,500</w:t>
            </w: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63,750</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63,750</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132,500</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132,500</w:t>
            </w:r>
          </w:p>
        </w:tc>
        <w:tc>
          <w:tcPr>
            <w:tcW w:w="100" w:type="dxa"/>
            <w:vAlign w:val="bottom"/>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b w:val="1"/>
                <w:bCs w:val="1"/>
                <w:color w:val="auto"/>
              </w:rPr>
              <w:t>Interested director</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Arthur H. Penn</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None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None</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r>
      <w:tr>
        <w:trPr>
          <w:trHeight w:val="216"/>
        </w:trPr>
        <w:tc>
          <w:tcPr>
            <w:tcW w:w="3040" w:type="dxa"/>
            <w:vAlign w:val="bottom"/>
          </w:tcPr>
          <w:p>
            <w:pPr>
              <w:spacing w:after="0"/>
              <w:rPr>
                <w:sz w:val="20"/>
                <w:szCs w:val="20"/>
                <w:color w:val="auto"/>
              </w:rPr>
            </w:pPr>
            <w:r>
              <w:rPr>
                <w:rFonts w:ascii="Arial" w:cs="Arial" w:eastAsia="Arial" w:hAnsi="Arial"/>
                <w:sz w:val="18"/>
                <w:szCs w:val="18"/>
                <w:b w:val="1"/>
                <w:bCs w:val="1"/>
                <w:color w:val="auto"/>
              </w:rPr>
              <w:t>Executive officer</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Aviv Efrat</w:t>
            </w:r>
            <w:r>
              <w:rPr>
                <w:rFonts w:ascii="Arial" w:cs="Arial" w:eastAsia="Arial" w:hAnsi="Arial"/>
                <w:sz w:val="11"/>
                <w:szCs w:val="11"/>
                <w:color w:val="auto"/>
              </w:rPr>
              <w:t>(2)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None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None</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7527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17" w:lineRule="exact"/>
        <w:rPr>
          <w:sz w:val="20"/>
          <w:szCs w:val="20"/>
          <w:color w:val="auto"/>
        </w:rPr>
      </w:pPr>
    </w:p>
    <w:p>
      <w:pPr>
        <w:ind w:left="220" w:hanging="212"/>
        <w:spacing w:after="0"/>
        <w:tabs>
          <w:tab w:leader="none" w:pos="2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We do not have a profit sharing or retirement plan, and directors do not receive any pension or retirement benefits from us.</w:t>
      </w:r>
    </w:p>
    <w:p>
      <w:pPr>
        <w:ind w:left="220" w:hanging="212"/>
        <w:spacing w:after="0"/>
        <w:tabs>
          <w:tab w:leader="none" w:pos="2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Mr. Efrat is an employee of the Administrator.</w:t>
      </w:r>
    </w:p>
    <w:p>
      <w:pPr>
        <w:spacing w:after="0" w:line="140"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Each Independent Director receives an annual payment of $50,000 for services performed on behalf of us as a director. The Independent Directors also receive $2,500 plus reimbursement of reasonable out-of-pocket expenses incurred in connection with attending each board of directors meeting and receive $500 plus reimbursement of reasonable out-of-pocket expenses incurred in connection with attending each committee meeting (unless combined with a board of directors meeting). In addition, each Co-Chairman of the Audit Committee receives an annual fee of $3,750 and each Co-Chairman of any other committee receives an annual fee of $1,250 for his additional services in these capacities. Also, we have purchased directors’ and officers’ liability insurance on behalf of our directors and officers and indemnify such persons against certain losses. Independent Directors have the option to receive their directors’ fees paid in shares of our common stock issued at a price per share equal to the greater of NAV or the market price at the time of payment. No compensation is expected to be paid to directors who are “interested persons” (as defined in the 1940 Act).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90" w:lineRule="exact"/>
        <w:rPr>
          <w:sz w:val="20"/>
          <w:szCs w:val="20"/>
          <w:color w:val="auto"/>
        </w:rPr>
      </w:pPr>
    </w:p>
    <w:p>
      <w:pPr>
        <w:ind w:right="80" w:firstLine="571"/>
        <w:spacing w:after="0" w:line="289" w:lineRule="auto"/>
        <w:rPr>
          <w:sz w:val="20"/>
          <w:szCs w:val="20"/>
          <w:color w:val="auto"/>
        </w:rPr>
      </w:pPr>
      <w:r>
        <w:rPr>
          <w:rFonts w:ascii="Arial" w:cs="Arial" w:eastAsia="Arial" w:hAnsi="Arial"/>
          <w:sz w:val="16"/>
          <w:szCs w:val="16"/>
          <w:color w:val="auto"/>
        </w:rPr>
        <w:t>Our Investment Adviser has three experienced senior investment professionals in addition to Mr. Penn.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298" w:lineRule="auto"/>
        <w:rPr>
          <w:sz w:val="20"/>
          <w:szCs w:val="20"/>
          <w:color w:val="auto"/>
        </w:rPr>
      </w:pPr>
      <w:r>
        <w:rPr>
          <w:rFonts w:ascii="Arial" w:cs="Arial" w:eastAsia="Arial" w:hAnsi="Arial"/>
          <w:sz w:val="16"/>
          <w:szCs w:val="16"/>
          <w:color w:val="auto"/>
        </w:rPr>
        <w:t>Jose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13"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43" w:lineRule="exact"/>
        <w:rPr>
          <w:sz w:val="20"/>
          <w:szCs w:val="20"/>
          <w:color w:val="auto"/>
        </w:rPr>
      </w:pPr>
    </w:p>
    <w:p>
      <w:pPr>
        <w:jc w:val="both"/>
        <w:ind w:right="200" w:firstLine="571"/>
        <w:spacing w:after="0" w:line="306" w:lineRule="auto"/>
        <w:rPr>
          <w:sz w:val="20"/>
          <w:szCs w:val="20"/>
          <w:color w:val="auto"/>
        </w:rPr>
      </w:pPr>
      <w:r>
        <w:rPr>
          <w:rFonts w:ascii="Arial" w:cs="Arial" w:eastAsia="Arial" w:hAnsi="Arial"/>
          <w:sz w:val="16"/>
          <w:szCs w:val="16"/>
          <w:color w:val="auto"/>
        </w:rPr>
        <w:t>P. Whitridge Williams, Jr. joined PennantPark Investment Advisers in March 2007. Previously, Mr. Williams was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managing our investments, as of September 30, 2016 our portfolio managers also managed investments on behalf of the following entities:</w:t>
      </w:r>
    </w:p>
    <w:p>
      <w:pPr>
        <w:sectPr>
          <w:pgSz w:w="11900" w:h="16838" w:orient="portrait"/>
          <w:cols w:equalWidth="0" w:num="1">
            <w:col w:w="11380"/>
          </w:cols>
          <w:pgMar w:left="240" w:top="459" w:right="279" w:bottom="1440" w:gutter="0" w:footer="0" w:header="0"/>
        </w:sect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6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1620" w:type="dxa"/>
            <w:vAlign w:val="bottom"/>
          </w:tcPr>
          <w:p>
            <w:pPr>
              <w:ind w:left="40"/>
              <w:spacing w:after="0"/>
              <w:rPr>
                <w:sz w:val="20"/>
                <w:szCs w:val="20"/>
                <w:color w:val="auto"/>
              </w:rPr>
            </w:pPr>
            <w:r>
              <w:rPr>
                <w:rFonts w:ascii="Arial" w:cs="Arial" w:eastAsia="Arial" w:hAnsi="Arial"/>
                <w:sz w:val="14"/>
                <w:szCs w:val="14"/>
                <w:b w:val="1"/>
                <w:bCs w:val="1"/>
                <w:color w:val="auto"/>
              </w:rPr>
              <w:t>Entity</w:t>
            </w:r>
          </w:p>
        </w:tc>
        <w:tc>
          <w:tcPr>
            <w:tcW w:w="100" w:type="dxa"/>
            <w:vAlign w:val="bottom"/>
          </w:tcPr>
          <w:p>
            <w:pPr>
              <w:spacing w:after="0"/>
              <w:rPr>
                <w:sz w:val="15"/>
                <w:szCs w:val="15"/>
                <w:color w:val="auto"/>
              </w:rPr>
            </w:pPr>
          </w:p>
        </w:tc>
        <w:tc>
          <w:tcPr>
            <w:tcW w:w="5600" w:type="dxa"/>
            <w:vAlign w:val="bottom"/>
          </w:tcPr>
          <w:p>
            <w:pPr>
              <w:ind w:left="40"/>
              <w:spacing w:after="0"/>
              <w:rPr>
                <w:sz w:val="20"/>
                <w:szCs w:val="20"/>
                <w:color w:val="auto"/>
              </w:rPr>
            </w:pPr>
            <w:r>
              <w:rPr>
                <w:rFonts w:ascii="Arial" w:cs="Arial" w:eastAsia="Arial" w:hAnsi="Arial"/>
                <w:sz w:val="14"/>
                <w:szCs w:val="14"/>
                <w:b w:val="1"/>
                <w:bCs w:val="1"/>
                <w:color w:val="auto"/>
              </w:rPr>
              <w:t>Investment Focus</w:t>
            </w:r>
          </w:p>
        </w:tc>
      </w:tr>
      <w:tr>
        <w:trPr>
          <w:trHeight w:val="28"/>
        </w:trPr>
        <w:tc>
          <w:tcPr>
            <w:tcW w:w="2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01"/>
        </w:trPr>
        <w:tc>
          <w:tcPr>
            <w:tcW w:w="2960" w:type="dxa"/>
            <w:vAlign w:val="bottom"/>
          </w:tcPr>
          <w:p>
            <w:pPr>
              <w:ind w:left="60"/>
              <w:spacing w:after="0" w:line="201" w:lineRule="exact"/>
              <w:rPr>
                <w:sz w:val="20"/>
                <w:szCs w:val="20"/>
                <w:color w:val="auto"/>
              </w:rPr>
            </w:pPr>
            <w:r>
              <w:rPr>
                <w:rFonts w:ascii="Arial" w:cs="Arial" w:eastAsia="Arial" w:hAnsi="Arial"/>
                <w:sz w:val="18"/>
                <w:szCs w:val="18"/>
                <w:color w:val="auto"/>
                <w:w w:val="97"/>
              </w:rPr>
              <w:t>PennantPark Investment Corporation</w:t>
            </w:r>
          </w:p>
        </w:tc>
        <w:tc>
          <w:tcPr>
            <w:tcW w:w="100" w:type="dxa"/>
            <w:vAlign w:val="bottom"/>
          </w:tcPr>
          <w:p>
            <w:pPr>
              <w:spacing w:after="0"/>
              <w:rPr>
                <w:sz w:val="17"/>
                <w:szCs w:val="17"/>
                <w:color w:val="auto"/>
              </w:rPr>
            </w:pPr>
          </w:p>
        </w:tc>
        <w:tc>
          <w:tcPr>
            <w:tcW w:w="1620" w:type="dxa"/>
            <w:vAlign w:val="bottom"/>
          </w:tcPr>
          <w:p>
            <w:pPr>
              <w:ind w:left="40"/>
              <w:spacing w:after="0" w:line="201" w:lineRule="exact"/>
              <w:rPr>
                <w:sz w:val="20"/>
                <w:szCs w:val="20"/>
                <w:color w:val="auto"/>
              </w:rPr>
            </w:pPr>
            <w:r>
              <w:rPr>
                <w:rFonts w:ascii="Arial" w:cs="Arial" w:eastAsia="Arial" w:hAnsi="Arial"/>
                <w:sz w:val="18"/>
                <w:szCs w:val="18"/>
                <w:color w:val="auto"/>
                <w:w w:val="86"/>
              </w:rPr>
              <w:t>Business development</w:t>
            </w:r>
          </w:p>
        </w:tc>
        <w:tc>
          <w:tcPr>
            <w:tcW w:w="100" w:type="dxa"/>
            <w:vAlign w:val="bottom"/>
          </w:tcPr>
          <w:p>
            <w:pPr>
              <w:spacing w:after="0"/>
              <w:rPr>
                <w:sz w:val="17"/>
                <w:szCs w:val="17"/>
                <w:color w:val="auto"/>
              </w:rPr>
            </w:pPr>
          </w:p>
        </w:tc>
        <w:tc>
          <w:tcPr>
            <w:tcW w:w="5600" w:type="dxa"/>
            <w:vAlign w:val="bottom"/>
          </w:tcPr>
          <w:p>
            <w:pPr>
              <w:ind w:left="60"/>
              <w:spacing w:after="0" w:line="201" w:lineRule="exact"/>
              <w:rPr>
                <w:sz w:val="20"/>
                <w:szCs w:val="20"/>
                <w:color w:val="auto"/>
              </w:rPr>
            </w:pPr>
            <w:r>
              <w:rPr>
                <w:rFonts w:ascii="Arial" w:cs="Arial" w:eastAsia="Arial" w:hAnsi="Arial"/>
                <w:sz w:val="18"/>
                <w:szCs w:val="18"/>
                <w:color w:val="auto"/>
                <w:w w:val="96"/>
              </w:rPr>
              <w:t>Primarily in U.S. middle-market companies in the form of senior secured</w:t>
            </w:r>
          </w:p>
        </w:tc>
      </w:tr>
      <w:tr>
        <w:trPr>
          <w:trHeight w:val="216"/>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ind w:left="40"/>
              <w:spacing w:after="0"/>
              <w:rPr>
                <w:sz w:val="20"/>
                <w:szCs w:val="20"/>
                <w:color w:val="auto"/>
              </w:rPr>
            </w:pPr>
            <w:r>
              <w:rPr>
                <w:rFonts w:ascii="Arial" w:cs="Arial" w:eastAsia="Arial" w:hAnsi="Arial"/>
                <w:sz w:val="18"/>
                <w:szCs w:val="18"/>
                <w:color w:val="auto"/>
              </w:rPr>
              <w:t>company</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loans, mezzanine debt and equity investments</w:t>
            </w:r>
          </w:p>
        </w:tc>
      </w:tr>
      <w:tr>
        <w:trPr>
          <w:trHeight w:val="236"/>
        </w:trPr>
        <w:tc>
          <w:tcPr>
            <w:tcW w:w="3060" w:type="dxa"/>
            <w:vAlign w:val="bottom"/>
            <w:gridSpan w:val="2"/>
          </w:tcPr>
          <w:p>
            <w:pPr>
              <w:ind w:left="60"/>
              <w:spacing w:after="0"/>
              <w:rPr>
                <w:sz w:val="20"/>
                <w:szCs w:val="20"/>
                <w:color w:val="auto"/>
              </w:rPr>
            </w:pPr>
            <w:r>
              <w:rPr>
                <w:rFonts w:ascii="Arial" w:cs="Arial" w:eastAsia="Arial" w:hAnsi="Arial"/>
                <w:sz w:val="18"/>
                <w:szCs w:val="18"/>
                <w:color w:val="auto"/>
              </w:rPr>
              <w:t>Other Managed Fund</w:t>
            </w:r>
          </w:p>
        </w:tc>
        <w:tc>
          <w:tcPr>
            <w:tcW w:w="1620" w:type="dxa"/>
            <w:vAlign w:val="bottom"/>
          </w:tcPr>
          <w:p>
            <w:pPr>
              <w:ind w:left="40"/>
              <w:spacing w:after="0"/>
              <w:rPr>
                <w:sz w:val="20"/>
                <w:szCs w:val="20"/>
                <w:color w:val="auto"/>
              </w:rPr>
            </w:pPr>
            <w:r>
              <w:rPr>
                <w:rFonts w:ascii="Arial" w:cs="Arial" w:eastAsia="Arial" w:hAnsi="Arial"/>
                <w:sz w:val="18"/>
                <w:szCs w:val="18"/>
                <w:color w:val="auto"/>
                <w:w w:val="96"/>
              </w:rPr>
              <w:t>Direct Lending Fund</w:t>
            </w:r>
          </w:p>
        </w:tc>
        <w:tc>
          <w:tcPr>
            <w:tcW w:w="100" w:type="dxa"/>
            <w:vAlign w:val="bottom"/>
          </w:tcPr>
          <w:p>
            <w:pPr>
              <w:spacing w:after="0"/>
              <w:rPr>
                <w:sz w:val="20"/>
                <w:szCs w:val="20"/>
                <w:color w:val="auto"/>
              </w:rPr>
            </w:pPr>
          </w:p>
        </w:tc>
        <w:tc>
          <w:tcPr>
            <w:tcW w:w="5600" w:type="dxa"/>
            <w:vAlign w:val="bottom"/>
          </w:tcPr>
          <w:p>
            <w:pPr>
              <w:ind w:left="60"/>
              <w:spacing w:after="0"/>
              <w:rPr>
                <w:sz w:val="20"/>
                <w:szCs w:val="20"/>
                <w:color w:val="auto"/>
              </w:rPr>
            </w:pPr>
            <w:r>
              <w:rPr>
                <w:rFonts w:ascii="Arial" w:cs="Arial" w:eastAsia="Arial" w:hAnsi="Arial"/>
                <w:sz w:val="18"/>
                <w:szCs w:val="18"/>
                <w:color w:val="auto"/>
              </w:rPr>
              <w:t>Other credit opportunities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2832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both"/>
        <w:ind w:left="32" w:right="60" w:firstLine="37"/>
        <w:spacing w:after="0" w:line="372" w:lineRule="auto"/>
        <w:rPr>
          <w:sz w:val="20"/>
          <w:szCs w:val="20"/>
          <w:color w:val="auto"/>
        </w:rPr>
      </w:pPr>
      <w:r>
        <w:rPr>
          <w:rFonts w:ascii="Arial" w:cs="Arial" w:eastAsia="Arial" w:hAnsi="Arial"/>
          <w:sz w:val="11"/>
          <w:szCs w:val="11"/>
          <w:b w:val="1"/>
          <w:bCs w:val="1"/>
          <w:color w:val="auto"/>
        </w:rPr>
        <w:t>Gross Assets ($ in millions)</w:t>
      </w:r>
    </w:p>
    <w:p>
      <w:pPr>
        <w:spacing w:after="0" w:line="139" w:lineRule="exact"/>
        <w:rPr>
          <w:sz w:val="20"/>
          <w:szCs w:val="20"/>
          <w:color w:val="auto"/>
        </w:rPr>
      </w:pPr>
    </w:p>
    <w:p>
      <w:pPr>
        <w:ind w:left="452" w:hanging="452"/>
        <w:spacing w:after="0"/>
        <w:tabs>
          <w:tab w:leader="none" w:pos="452" w:val="left"/>
        </w:tabs>
        <w:numPr>
          <w:ilvl w:val="0"/>
          <w:numId w:val="41"/>
        </w:numPr>
        <w:rPr>
          <w:rFonts w:ascii="Arial" w:cs="Arial" w:eastAsia="Arial" w:hAnsi="Arial"/>
          <w:sz w:val="15"/>
          <w:szCs w:val="15"/>
          <w:color w:val="auto"/>
        </w:rPr>
      </w:pPr>
      <w:r>
        <w:rPr>
          <w:rFonts w:ascii="Arial" w:cs="Arial" w:eastAsia="Arial" w:hAnsi="Arial"/>
          <w:sz w:val="15"/>
          <w:szCs w:val="15"/>
          <w:color w:val="auto"/>
        </w:rPr>
        <w:t>1,239</w:t>
      </w:r>
    </w:p>
    <w:p>
      <w:pPr>
        <w:spacing w:after="0" w:line="49" w:lineRule="exact"/>
        <w:rPr>
          <w:rFonts w:ascii="Arial" w:cs="Arial" w:eastAsia="Arial" w:hAnsi="Arial"/>
          <w:sz w:val="15"/>
          <w:szCs w:val="15"/>
          <w:color w:val="auto"/>
        </w:rPr>
      </w:pPr>
    </w:p>
    <w:p>
      <w:pPr>
        <w:ind w:left="652" w:hanging="652"/>
        <w:spacing w:after="0"/>
        <w:tabs>
          <w:tab w:leader="none" w:pos="652" w:val="left"/>
        </w:tabs>
        <w:numPr>
          <w:ilvl w:val="0"/>
          <w:numId w:val="41"/>
        </w:numPr>
        <w:rPr>
          <w:rFonts w:ascii="Arial" w:cs="Arial" w:eastAsia="Arial" w:hAnsi="Arial"/>
          <w:sz w:val="16"/>
          <w:szCs w:val="16"/>
          <w:color w:val="auto"/>
        </w:rPr>
      </w:pPr>
      <w:r>
        <w:rPr>
          <w:rFonts w:ascii="Arial" w:cs="Arial" w:eastAsia="Arial" w:hAnsi="Arial"/>
          <w:sz w:val="16"/>
          <w:szCs w:val="16"/>
          <w:color w:val="auto"/>
        </w:rPr>
        <w:t>70</w:t>
      </w:r>
    </w:p>
    <w:p>
      <w:pPr>
        <w:spacing w:after="0" w:line="201" w:lineRule="exact"/>
        <w:rPr>
          <w:sz w:val="20"/>
          <w:szCs w:val="20"/>
          <w:color w:val="auto"/>
        </w:rPr>
      </w:pPr>
    </w:p>
    <w:p>
      <w:pPr>
        <w:sectPr>
          <w:pgSz w:w="11900" w:h="16838" w:orient="portrait"/>
          <w:cols w:equalWidth="0" w:num="2">
            <w:col w:w="10380" w:space="108"/>
            <w:col w:w="892"/>
          </w:cols>
          <w:pgMar w:left="240" w:top="459" w:right="279" w:bottom="1440" w:gutter="0" w:footer="0" w:header="0"/>
          <w:type w:val="continuous"/>
        </w:sectPr>
      </w:pPr>
    </w:p>
    <w:p>
      <w:pPr>
        <w:ind w:right="420" w:firstLine="571"/>
        <w:spacing w:after="0" w:line="268" w:lineRule="auto"/>
        <w:rPr>
          <w:sz w:val="20"/>
          <w:szCs w:val="20"/>
          <w:color w:val="auto"/>
        </w:rPr>
      </w:pPr>
      <w:r>
        <w:rPr>
          <w:rFonts w:ascii="Arial" w:cs="Arial" w:eastAsia="Arial" w:hAnsi="Arial"/>
          <w:sz w:val="18"/>
          <w:szCs w:val="18"/>
          <w:color w:val="auto"/>
        </w:rPr>
        <w:t>The management and incentive fees payable by PennantPark Investment Corporation are based on the gross assets and performance of PennantPark Investment Corporation, respectively.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right="280" w:firstLine="571"/>
        <w:spacing w:after="0" w:line="268" w:lineRule="auto"/>
        <w:rPr>
          <w:sz w:val="20"/>
          <w:szCs w:val="20"/>
          <w:color w:val="auto"/>
        </w:rPr>
      </w:pPr>
      <w:r>
        <w:rPr>
          <w:rFonts w:ascii="Arial" w:cs="Arial" w:eastAsia="Arial" w:hAnsi="Arial"/>
          <w:sz w:val="18"/>
          <w:szCs w:val="18"/>
          <w:color w:val="auto"/>
        </w:rPr>
        <w:t>As of January 13, 2017, to our knowledge, no person would be deemed to “control” us, as such term is defined in the 1940 Act. Our board of directors consist of an interested director and Independent Directors.</w:t>
      </w:r>
    </w:p>
    <w:p>
      <w:pPr>
        <w:spacing w:after="0" w:line="132"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The following table sets forth, as of January 13, 2017,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5"/>
              </w:rPr>
              <w:t>Percentage of</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7"/>
              </w:rPr>
              <w:t>Common</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jc w:val="right"/>
              <w:ind w:right="812"/>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r>
      <w:tr>
        <w:trPr>
          <w:trHeight w:val="237"/>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Name and address</w:t>
            </w:r>
            <w:r>
              <w:rPr>
                <w:rFonts w:ascii="Arial" w:cs="Arial" w:eastAsia="Arial" w:hAnsi="Arial"/>
                <w:sz w:val="11"/>
                <w:szCs w:val="11"/>
                <w:b w:val="1"/>
                <w:bCs w:val="1"/>
                <w:color w:val="auto"/>
              </w:rPr>
              <w:t>(1)</w:t>
            </w:r>
          </w:p>
        </w:tc>
        <w:tc>
          <w:tcPr>
            <w:tcW w:w="2500" w:type="dxa"/>
            <w:vAlign w:val="bottom"/>
            <w:gridSpan w:val="2"/>
          </w:tcPr>
          <w:p>
            <w:pPr>
              <w:ind w:left="440"/>
              <w:spacing w:after="0"/>
              <w:rPr>
                <w:sz w:val="20"/>
                <w:szCs w:val="20"/>
                <w:color w:val="auto"/>
              </w:rPr>
            </w:pPr>
            <w:r>
              <w:rPr>
                <w:rFonts w:ascii="Arial" w:cs="Arial" w:eastAsia="Arial" w:hAnsi="Arial"/>
                <w:sz w:val="18"/>
                <w:szCs w:val="18"/>
                <w:b w:val="1"/>
                <w:bCs w:val="1"/>
                <w:color w:val="auto"/>
              </w:rPr>
              <w:t>Type of ownership</w:t>
            </w:r>
            <w:r>
              <w:rPr>
                <w:rFonts w:ascii="Arial" w:cs="Arial" w:eastAsia="Arial" w:hAnsi="Arial"/>
                <w:sz w:val="11"/>
                <w:szCs w:val="11"/>
                <w:b w:val="1"/>
                <w:bCs w:val="1"/>
                <w:color w:val="auto"/>
              </w:rPr>
              <w:t>(2)</w:t>
            </w:r>
          </w:p>
        </w:tc>
        <w:tc>
          <w:tcPr>
            <w:tcW w:w="2280" w:type="dxa"/>
            <w:vAlign w:val="bottom"/>
          </w:tcPr>
          <w:p>
            <w:pPr>
              <w:jc w:val="right"/>
              <w:ind w:right="792"/>
              <w:spacing w:after="0"/>
              <w:rPr>
                <w:sz w:val="20"/>
                <w:szCs w:val="20"/>
                <w:color w:val="auto"/>
              </w:rPr>
            </w:pPr>
            <w:r>
              <w:rPr>
                <w:rFonts w:ascii="Arial" w:cs="Arial" w:eastAsia="Arial" w:hAnsi="Arial"/>
                <w:sz w:val="18"/>
                <w:szCs w:val="18"/>
                <w:b w:val="1"/>
                <w:bCs w:val="1"/>
                <w:color w:val="auto"/>
              </w:rPr>
              <w:t>owned</w:t>
            </w:r>
          </w:p>
        </w:tc>
        <w:tc>
          <w:tcPr>
            <w:tcW w:w="1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6"/>
              </w:rPr>
              <w:t>Outstanding</w:t>
            </w:r>
          </w:p>
        </w:tc>
      </w:tr>
      <w:tr>
        <w:trPr>
          <w:trHeight w:val="23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2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spacing w:after="0"/>
              <w:rPr>
                <w:sz w:val="19"/>
                <w:szCs w:val="19"/>
                <w:color w:val="auto"/>
              </w:rPr>
            </w:pPr>
          </w:p>
        </w:tc>
      </w:tr>
      <w:tr>
        <w:trPr>
          <w:trHeight w:val="229"/>
        </w:trPr>
        <w:tc>
          <w:tcPr>
            <w:tcW w:w="4240" w:type="dxa"/>
            <w:vAlign w:val="bottom"/>
            <w:gridSpan w:val="2"/>
          </w:tcPr>
          <w:p>
            <w:pPr>
              <w:ind w:left="440"/>
              <w:spacing w:after="0"/>
              <w:rPr>
                <w:sz w:val="20"/>
                <w:szCs w:val="20"/>
                <w:color w:val="auto"/>
              </w:rPr>
            </w:pPr>
            <w:r>
              <w:rPr>
                <w:rFonts w:ascii="Arial" w:cs="Arial" w:eastAsia="Arial" w:hAnsi="Arial"/>
                <w:sz w:val="18"/>
                <w:szCs w:val="18"/>
                <w:color w:val="auto"/>
              </w:rPr>
              <w:t>Adam K. Bernstein</w:t>
            </w:r>
          </w:p>
        </w:tc>
        <w:tc>
          <w:tcPr>
            <w:tcW w:w="2500" w:type="dxa"/>
            <w:vAlign w:val="bottom"/>
            <w:gridSpan w:val="2"/>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tcPr>
          <w:p>
            <w:pPr>
              <w:jc w:val="right"/>
              <w:spacing w:after="0"/>
              <w:rPr>
                <w:sz w:val="20"/>
                <w:szCs w:val="20"/>
                <w:color w:val="auto"/>
              </w:rPr>
            </w:pPr>
            <w:r>
              <w:rPr>
                <w:rFonts w:ascii="Arial" w:cs="Arial" w:eastAsia="Arial" w:hAnsi="Arial"/>
                <w:sz w:val="18"/>
                <w:szCs w:val="18"/>
                <w:color w:val="auto"/>
              </w:rPr>
              <w:t>5,000</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1"/>
        </w:trPr>
        <w:tc>
          <w:tcPr>
            <w:tcW w:w="4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25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r>
      <w:tr>
        <w:trPr>
          <w:trHeight w:val="229"/>
        </w:trPr>
        <w:tc>
          <w:tcPr>
            <w:tcW w:w="4240" w:type="dxa"/>
            <w:vAlign w:val="bottom"/>
            <w:gridSpan w:val="2"/>
          </w:tcPr>
          <w:p>
            <w:pPr>
              <w:ind w:left="440"/>
              <w:spacing w:after="0"/>
              <w:rPr>
                <w:sz w:val="20"/>
                <w:szCs w:val="20"/>
                <w:color w:val="auto"/>
              </w:rPr>
            </w:pPr>
            <w:r>
              <w:rPr>
                <w:rFonts w:ascii="Arial" w:cs="Arial" w:eastAsia="Arial" w:hAnsi="Arial"/>
                <w:sz w:val="18"/>
                <w:szCs w:val="18"/>
                <w:color w:val="auto"/>
              </w:rPr>
              <w:t>Jeffrey Flug</w:t>
            </w:r>
          </w:p>
        </w:tc>
        <w:tc>
          <w:tcPr>
            <w:tcW w:w="2500" w:type="dxa"/>
            <w:vAlign w:val="bottom"/>
            <w:gridSpan w:val="2"/>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tcPr>
          <w:p>
            <w:pPr>
              <w:jc w:val="right"/>
              <w:spacing w:after="0"/>
              <w:rPr>
                <w:sz w:val="20"/>
                <w:szCs w:val="20"/>
                <w:color w:val="auto"/>
              </w:rPr>
            </w:pPr>
            <w:r>
              <w:rPr>
                <w:rFonts w:ascii="Arial" w:cs="Arial" w:eastAsia="Arial" w:hAnsi="Arial"/>
                <w:sz w:val="18"/>
                <w:szCs w:val="18"/>
                <w:color w:val="auto"/>
              </w:rPr>
              <w:t>15,500</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1"/>
        </w:trPr>
        <w:tc>
          <w:tcPr>
            <w:tcW w:w="4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25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120,100</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30"/>
        </w:trPr>
        <w:tc>
          <w:tcPr>
            <w:tcW w:w="4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25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149,209</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30"/>
        </w:trPr>
        <w:tc>
          <w:tcPr>
            <w:tcW w:w="4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Aviv Efrat</w:t>
            </w:r>
          </w:p>
        </w:tc>
        <w:tc>
          <w:tcPr>
            <w:tcW w:w="25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28,750</w:t>
            </w:r>
          </w:p>
        </w:tc>
        <w:tc>
          <w:tcPr>
            <w:tcW w:w="120" w:type="dxa"/>
            <w:vAlign w:val="bottom"/>
            <w:shd w:val="clear" w:color="auto" w:fill="CCEEFF"/>
          </w:tcPr>
          <w:p>
            <w:pPr>
              <w:spacing w:after="0"/>
              <w:rPr>
                <w:sz w:val="20"/>
                <w:szCs w:val="20"/>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4240" w:type="dxa"/>
            <w:vAlign w:val="bottom"/>
            <w:gridSpan w:val="2"/>
          </w:tcPr>
          <w:p>
            <w:pPr>
              <w:spacing w:after="0"/>
              <w:rPr>
                <w:sz w:val="20"/>
                <w:szCs w:val="20"/>
                <w:color w:val="auto"/>
              </w:rPr>
            </w:pPr>
            <w:r>
              <w:rPr>
                <w:rFonts w:ascii="Arial" w:cs="Arial" w:eastAsia="Arial" w:hAnsi="Arial"/>
                <w:sz w:val="18"/>
                <w:szCs w:val="18"/>
                <w:color w:val="auto"/>
                <w:w w:val="93"/>
              </w:rPr>
              <w:t>All directors and executive officer as a group (6 persons)</w:t>
            </w:r>
          </w:p>
        </w:tc>
        <w:tc>
          <w:tcPr>
            <w:tcW w:w="2500" w:type="dxa"/>
            <w:vAlign w:val="bottom"/>
            <w:gridSpan w:val="2"/>
          </w:tcPr>
          <w:p>
            <w:pPr>
              <w:ind w:left="1040"/>
              <w:spacing w:after="0"/>
              <w:rPr>
                <w:sz w:val="20"/>
                <w:szCs w:val="20"/>
                <w:color w:val="auto"/>
              </w:rPr>
            </w:pPr>
            <w:r>
              <w:rPr>
                <w:rFonts w:ascii="Arial" w:cs="Arial" w:eastAsia="Arial" w:hAnsi="Arial"/>
                <w:sz w:val="18"/>
                <w:szCs w:val="18"/>
                <w:color w:val="auto"/>
              </w:rPr>
              <w:t>Record/Beneficial</w:t>
            </w:r>
          </w:p>
        </w:tc>
        <w:tc>
          <w:tcPr>
            <w:tcW w:w="2280" w:type="dxa"/>
            <w:vAlign w:val="bottom"/>
          </w:tcPr>
          <w:p>
            <w:pPr>
              <w:jc w:val="right"/>
              <w:spacing w:after="0"/>
              <w:rPr>
                <w:sz w:val="20"/>
                <w:szCs w:val="20"/>
                <w:color w:val="auto"/>
              </w:rPr>
            </w:pPr>
            <w:r>
              <w:rPr>
                <w:rFonts w:ascii="Arial" w:cs="Arial" w:eastAsia="Arial" w:hAnsi="Arial"/>
                <w:sz w:val="18"/>
                <w:szCs w:val="18"/>
                <w:color w:val="auto"/>
              </w:rPr>
              <w:t>318,559</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51765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ind w:left="420" w:hanging="412"/>
        <w:spacing w:after="0"/>
        <w:tabs>
          <w:tab w:leader="none" w:pos="4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address for each officer and director is c/o PennantPark Floating Rate Capital Ltd., 590 Madison Avenue, 15th Floor, New York, New York 10022.</w:t>
      </w:r>
    </w:p>
    <w:p>
      <w:pPr>
        <w:ind w:left="420" w:hanging="412"/>
        <w:spacing w:after="0" w:line="221" w:lineRule="auto"/>
        <w:tabs>
          <w:tab w:leader="none" w:pos="4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Sole voting power.</w:t>
      </w:r>
    </w:p>
    <w:p>
      <w:pPr>
        <w:ind w:left="420" w:hanging="412"/>
        <w:spacing w:after="0"/>
        <w:tabs>
          <w:tab w:leader="none" w:pos="4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Mr. Penn is the Managing Member of PennantPark Investment Advisers, LLC and may therefore be deemed to own beneficially the 149,209 shares held by PennantPark Investment Advisers, LLC.</w:t>
      </w:r>
    </w:p>
    <w:p>
      <w:pPr>
        <w:spacing w:after="0" w:line="66" w:lineRule="exact"/>
        <w:rPr>
          <w:sz w:val="20"/>
          <w:szCs w:val="20"/>
          <w:color w:val="auto"/>
        </w:rPr>
      </w:pPr>
    </w:p>
    <w:p>
      <w:pPr>
        <w:ind w:left="260" w:hanging="252"/>
        <w:spacing w:after="0"/>
        <w:tabs>
          <w:tab w:leader="none" w:pos="2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Less than 1 percent.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Officers and Senior Investment Professionals</w:t>
      </w:r>
    </w:p>
    <w:p>
      <w:pPr>
        <w:spacing w:after="0" w:line="171"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and senior investment professionals as of December 31, 2016. Information as to the beneficial ownerships is based on information furnished to us by such persons. We are not part of a “family of investment companies,” as that term is defined in the 1940 Act.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Directors</w:t>
            </w:r>
          </w:p>
        </w:tc>
        <w:tc>
          <w:tcPr>
            <w:tcW w:w="70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7"/>
              </w:rPr>
              <w:t>Dollar Range of the Common Stock of the Companies</w:t>
            </w:r>
            <w:r>
              <w:rPr>
                <w:rFonts w:ascii="Arial" w:cs="Arial" w:eastAsia="Arial" w:hAnsi="Arial"/>
                <w:sz w:val="11"/>
                <w:szCs w:val="11"/>
                <w:b w:val="1"/>
                <w:bCs w:val="1"/>
                <w:color w:val="auto"/>
                <w:w w:val="87"/>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640" w:type="dxa"/>
            <w:vAlign w:val="bottom"/>
          </w:tcPr>
          <w:p>
            <w:pPr>
              <w:spacing w:after="0"/>
              <w:rPr>
                <w:sz w:val="17"/>
                <w:szCs w:val="17"/>
                <w:color w:val="auto"/>
              </w:rPr>
            </w:pPr>
          </w:p>
        </w:tc>
        <w:tc>
          <w:tcPr>
            <w:tcW w:w="2380" w:type="dxa"/>
            <w:vAlign w:val="bottom"/>
            <w:tcBorders>
              <w:top w:val="single" w:sz="8" w:color="auto"/>
            </w:tcBorders>
            <w:gridSpan w:val="2"/>
          </w:tcPr>
          <w:p>
            <w:pPr>
              <w:jc w:val="center"/>
              <w:ind w:right="120"/>
              <w:spacing w:after="0" w:line="201" w:lineRule="exact"/>
              <w:rPr>
                <w:sz w:val="20"/>
                <w:szCs w:val="20"/>
                <w:color w:val="auto"/>
              </w:rPr>
            </w:pPr>
            <w:r>
              <w:rPr>
                <w:rFonts w:ascii="Arial" w:cs="Arial" w:eastAsia="Arial" w:hAnsi="Arial"/>
                <w:sz w:val="18"/>
                <w:szCs w:val="18"/>
                <w:b w:val="1"/>
                <w:bCs w:val="1"/>
                <w:color w:val="auto"/>
                <w:w w:val="89"/>
              </w:rPr>
              <w:t>PennantPark Floating</w:t>
            </w:r>
          </w:p>
        </w:tc>
        <w:tc>
          <w:tcPr>
            <w:tcW w:w="2400" w:type="dxa"/>
            <w:vAlign w:val="bottom"/>
            <w:tcBorders>
              <w:top w:val="single" w:sz="8" w:color="auto"/>
            </w:tcBorders>
            <w:gridSpan w:val="2"/>
          </w:tcPr>
          <w:p>
            <w:pPr>
              <w:jc w:val="center"/>
              <w:ind w:right="120"/>
              <w:spacing w:after="0" w:line="201" w:lineRule="exact"/>
              <w:rPr>
                <w:sz w:val="20"/>
                <w:szCs w:val="20"/>
                <w:color w:val="auto"/>
              </w:rPr>
            </w:pPr>
            <w:r>
              <w:rPr>
                <w:rFonts w:ascii="Arial" w:cs="Arial" w:eastAsia="Arial" w:hAnsi="Arial"/>
                <w:sz w:val="18"/>
                <w:szCs w:val="18"/>
                <w:b w:val="1"/>
                <w:bCs w:val="1"/>
                <w:color w:val="auto"/>
                <w:w w:val="89"/>
              </w:rPr>
              <w:t>PennantPark Investment</w:t>
            </w:r>
          </w:p>
        </w:tc>
        <w:tc>
          <w:tcPr>
            <w:tcW w:w="2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Rate Capital Ltd.</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Corporation</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tcBorders>
              <w:top w:val="single" w:sz="8" w:color="CCEEFF"/>
            </w:tcBorders>
            <w:gridSpan w:val="2"/>
            <w:shd w:val="clear" w:color="auto" w:fill="CCEEFF"/>
          </w:tcPr>
          <w:p>
            <w:pPr>
              <w:ind w:left="420"/>
              <w:spacing w:after="0" w:line="203" w:lineRule="exact"/>
              <w:rPr>
                <w:sz w:val="20"/>
                <w:szCs w:val="20"/>
                <w:color w:val="auto"/>
              </w:rPr>
            </w:pPr>
            <w:r>
              <w:rPr>
                <w:rFonts w:ascii="Arial" w:cs="Arial" w:eastAsia="Arial" w:hAnsi="Arial"/>
                <w:sz w:val="18"/>
                <w:szCs w:val="18"/>
                <w:color w:val="auto"/>
              </w:rPr>
              <w:t>Adam K. Bernstein</w:t>
            </w: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$ 50,001 - $100,000</w:t>
            </w:r>
          </w:p>
        </w:tc>
        <w:tc>
          <w:tcPr>
            <w:tcW w:w="1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$100,001 - $500,000</w:t>
            </w:r>
          </w:p>
        </w:tc>
        <w:tc>
          <w:tcPr>
            <w:tcW w:w="1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$100,001 - $500,000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Marshall Brozost</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None</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$100,001 - $  500,000</w:t>
            </w: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Jeffrey Flug</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$100,001 - $500,000</w:t>
            </w:r>
          </w:p>
        </w:tc>
        <w:tc>
          <w:tcPr>
            <w:tcW w:w="1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Over $1,000,000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Samuel L. Katz</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Over $1,000,000</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Over $1,000,000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(2)</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Over $1,000,000</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Over $1,000,000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 Investment Professionals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Jose A. Briones</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Over $1,000,000</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$500,001 - $1,000,000</w:t>
            </w:r>
          </w:p>
        </w:tc>
        <w:tc>
          <w:tcPr>
            <w:tcW w:w="120" w:type="dxa"/>
            <w:vAlign w:val="bottom"/>
          </w:tcPr>
          <w:p>
            <w:pPr>
              <w:spacing w:after="0"/>
              <w:rPr>
                <w:sz w:val="19"/>
                <w:szCs w:val="19"/>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Over $1,000,000</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Salvatore Giannetti III</w:t>
            </w: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Over $1,000,000</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$100,001 - $500,000</w:t>
            </w: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Over $1,000,000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P. Whitridge Williams, Jr.</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Over $1,000,000</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$500,001 - $1,000,000</w:t>
            </w:r>
          </w:p>
        </w:tc>
        <w:tc>
          <w:tcPr>
            <w:tcW w:w="120" w:type="dxa"/>
            <w:vAlign w:val="bottom"/>
          </w:tcPr>
          <w:p>
            <w:pPr>
              <w:spacing w:after="0"/>
              <w:rPr>
                <w:sz w:val="19"/>
                <w:szCs w:val="19"/>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Over $1,000,000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31521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33" w:lineRule="exact"/>
        <w:rPr>
          <w:sz w:val="20"/>
          <w:szCs w:val="20"/>
          <w:color w:val="auto"/>
        </w:rPr>
      </w:pPr>
    </w:p>
    <w:p>
      <w:pPr>
        <w:ind w:left="220" w:hanging="212"/>
        <w:spacing w:after="0"/>
        <w:tabs>
          <w:tab w:leader="none" w:pos="2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Dollar ranges are as follows: None; $1-$10,000; $10,001-$50,000; $50,001-$100,000; $100,001-$500,000; $500,001-$1,000,000; or over $1,000,000.</w:t>
      </w:r>
    </w:p>
    <w:p>
      <w:pPr>
        <w:ind w:left="220" w:hanging="212"/>
        <w:spacing w:after="0"/>
        <w:tabs>
          <w:tab w:leader="none" w:pos="2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Also reflects holdings of PennantPark Investment Advisers, LLC.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right="60" w:firstLine="571"/>
        <w:spacing w:after="0" w:line="305" w:lineRule="auto"/>
        <w:rPr>
          <w:sz w:val="20"/>
          <w:szCs w:val="20"/>
          <w:color w:val="auto"/>
        </w:rPr>
      </w:pPr>
      <w:r>
        <w:rPr>
          <w:rFonts w:ascii="Arial" w:cs="Arial" w:eastAsia="Arial" w:hAnsi="Arial"/>
          <w:sz w:val="15"/>
          <w:szCs w:val="15"/>
          <w:color w:val="auto"/>
        </w:rPr>
        <w:t>PennantPark Floating Rate Capital Ltd. has entered into an Investment Management Agreement with the Investment Adviser under which the Investment Adviser, subject to the overall supervision of our board of directors, manages the day-to-day operations of, and provides investment advisory services to, us.</w:t>
      </w:r>
    </w:p>
    <w:p>
      <w:pPr>
        <w:spacing w:after="0" w:line="295" w:lineRule="auto"/>
        <w:rPr>
          <w:sz w:val="20"/>
          <w:szCs w:val="20"/>
          <w:color w:val="auto"/>
        </w:rPr>
      </w:pPr>
      <w:r>
        <w:rPr>
          <w:rFonts w:ascii="Arial" w:cs="Arial" w:eastAsia="Arial" w:hAnsi="Arial"/>
          <w:sz w:val="16"/>
          <w:szCs w:val="16"/>
          <w:color w:val="auto"/>
        </w:rPr>
        <w:t>Mr. Penn, our Chairman and Chief Executive Officer, is the managing member and a senior investment professional of, and has a financial and controlling interest in PennantPark Investment Advisers. The Company, through the Investment Adviser, provides similar services to Funding I under its collateral management agreement. Funding I’s collateral management agreement does not affect the management or incentive fees that we pay to the Investment Adviser on a consolidated basis. Under the terms of our Investment Management Agreement, PennantPark Investment Advisers:</w:t>
      </w:r>
    </w:p>
    <w:p>
      <w:pPr>
        <w:spacing w:after="0" w:line="34"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99" w:lineRule="exact"/>
        <w:rPr>
          <w:rFonts w:ascii="Arial" w:cs="Arial" w:eastAsia="Arial" w:hAnsi="Arial"/>
          <w:sz w:val="16"/>
          <w:szCs w:val="16"/>
          <w:color w:val="auto"/>
        </w:rPr>
      </w:pPr>
    </w:p>
    <w:p>
      <w:pPr>
        <w:ind w:left="900" w:right="56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provides us with such other investment advisory, research and related services, as we may need from time to time.</w:t>
      </w:r>
    </w:p>
    <w:p>
      <w:pPr>
        <w:spacing w:after="0" w:line="171" w:lineRule="exact"/>
        <w:rPr>
          <w:sz w:val="20"/>
          <w:szCs w:val="20"/>
          <w:color w:val="auto"/>
        </w:rPr>
      </w:pPr>
    </w:p>
    <w:p>
      <w:pPr>
        <w:ind w:right="360" w:firstLine="571"/>
        <w:spacing w:after="0" w:line="298"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us, consisting of two components—a base management fee and an incentive fee, or collectively, Management Fees.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right="120" w:firstLine="571"/>
        <w:spacing w:after="0" w:line="310" w:lineRule="auto"/>
        <w:rPr>
          <w:sz w:val="20"/>
          <w:szCs w:val="20"/>
          <w:color w:val="auto"/>
        </w:rPr>
      </w:pPr>
      <w:r>
        <w:rPr>
          <w:rFonts w:ascii="Arial" w:cs="Arial" w:eastAsia="Arial" w:hAnsi="Arial"/>
          <w:sz w:val="15"/>
          <w:szCs w:val="15"/>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2016, 2015 and 2014, the Investment Adviser earned a base management fee of $5.0 million, $3.6 million and $3.7 million, respectively, from us.</w:t>
      </w:r>
    </w:p>
    <w:p>
      <w:pPr>
        <w:spacing w:after="0" w:line="1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is a hypothetical example of the calculation of average adjusted gross assets:</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Gross assets as of December 31, 20XX = $160 million</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 Treasury bills and temporary draws on credit facilities as of December 31, 20XX = $10 million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Adjusted gross assets as of December 31, 20XX = $150 million</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Gross assets as of March 31, 20XX = $200 million</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 Treasury bills and temporary draws on credit facilities as of March 31, 20XX = $20 million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Adjusted gross assets as of March 31, 20XX = $180 million</w:t>
      </w:r>
    </w:p>
    <w:p>
      <w:pPr>
        <w:spacing w:after="0" w:line="165" w:lineRule="exact"/>
        <w:rPr>
          <w:sz w:val="20"/>
          <w:szCs w:val="20"/>
          <w:color w:val="auto"/>
        </w:rPr>
      </w:pPr>
    </w:p>
    <w:p>
      <w:pPr>
        <w:ind w:right="220" w:firstLine="571"/>
        <w:spacing w:after="0" w:line="332" w:lineRule="auto"/>
        <w:rPr>
          <w:sz w:val="20"/>
          <w:szCs w:val="20"/>
          <w:color w:val="auto"/>
        </w:rPr>
      </w:pPr>
      <w:r>
        <w:rPr>
          <w:rFonts w:ascii="Arial" w:cs="Arial" w:eastAsia="Arial" w:hAnsi="Arial"/>
          <w:sz w:val="16"/>
          <w:szCs w:val="16"/>
          <w:color w:val="auto"/>
        </w:rPr>
        <w:t>Average value of adjusted gross assets of March 31, 20XX and December 31, 20XX, which are the two most recently completed calendar quarters, and appropriately adjusted for any share issuances or repurchases during the current calendar quarter = ($150 million + $180 million) / 2 = $165 million.</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years ended September 30, 2016, 2015 and 2014, the Investment Adviser earned $3.7 million, $2.2 million and $2.6 million, respectively, in incentive fees on net investment income from 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graphical representation of the calculation of quarterly incentive fee based on Pre-Incentive Fee Net Investment Income: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3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120015</wp:posOffset>
            </wp:positionV>
            <wp:extent cx="2186940" cy="3860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8694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3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140" w:lineRule="exact"/>
        <w:rPr>
          <w:sz w:val="20"/>
          <w:szCs w:val="20"/>
          <w:color w:val="auto"/>
        </w:rPr>
      </w:pPr>
    </w:p>
    <w:p>
      <w:pPr>
        <w:ind w:right="100" w:firstLine="571"/>
        <w:spacing w:after="0" w:line="254"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2016, 2015 and 2014 the Investment Adviser accrued an incentive fee on capital gains of approximately zero, $(0.4) million and $0.8 million, respectively, as calculated under the Investment Management Agreement (as described above).</w:t>
      </w:r>
    </w:p>
    <w:p>
      <w:pPr>
        <w:spacing w:after="0" w:line="144" w:lineRule="exact"/>
        <w:rPr>
          <w:sz w:val="20"/>
          <w:szCs w:val="20"/>
          <w:color w:val="auto"/>
        </w:rPr>
      </w:pPr>
    </w:p>
    <w:p>
      <w:pPr>
        <w:ind w:right="20" w:firstLine="571"/>
        <w:spacing w:after="0" w:line="288"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or accrued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2016, 2015 and 2014 was $1.1 million, $(0.7) million and $0.1 million,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dividends, fees, etc.) = 1.25%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5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580" w:right="3720"/>
        <w:spacing w:after="0" w:line="331" w:lineRule="auto"/>
        <w:rPr>
          <w:sz w:val="20"/>
          <w:szCs w:val="20"/>
          <w:color w:val="auto"/>
        </w:rPr>
      </w:pPr>
      <w:r>
        <w:rPr>
          <w:rFonts w:ascii="Arial" w:cs="Arial" w:eastAsia="Arial" w:hAnsi="Arial"/>
          <w:sz w:val="18"/>
          <w:szCs w:val="18"/>
          <w:color w:val="auto"/>
        </w:rPr>
        <w:t>(investment income—(base management fee + other expenses)) = 0.80% Pre-Incentive Fee Net Investment Income does not exceed hurdle; therefore there is no incentive fee.</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dividends, fees, etc.) = 2.70%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income—(base management fee + other expenses)) = 2.25%</w:t>
      </w:r>
    </w:p>
    <w:p>
      <w:pPr>
        <w:spacing w:after="0" w:line="212" w:lineRule="exact"/>
        <w:rPr>
          <w:sz w:val="20"/>
          <w:szCs w:val="20"/>
          <w:color w:val="auto"/>
        </w:rPr>
      </w:pPr>
    </w:p>
    <w:p>
      <w:pPr>
        <w:jc w:val="right"/>
        <w:ind w:right="3480"/>
        <w:spacing w:after="0"/>
        <w:tabs>
          <w:tab w:leader="none" w:pos="514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50% x Pre-Incentive Fee Net Investment Income, subject to “catch-up”</w:t>
      </w:r>
    </w:p>
    <w:p>
      <w:pPr>
        <w:spacing w:after="0" w:line="36" w:lineRule="exact"/>
        <w:rPr>
          <w:sz w:val="20"/>
          <w:szCs w:val="20"/>
          <w:color w:val="auto"/>
        </w:rPr>
      </w:pPr>
    </w:p>
    <w:p>
      <w:pPr>
        <w:ind w:left="2880" w:hanging="151"/>
        <w:spacing w:after="0"/>
        <w:tabs>
          <w:tab w:leader="none" w:pos="2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50% x (2.25% - 1.75%)</w:t>
      </w:r>
    </w:p>
    <w:p>
      <w:pPr>
        <w:spacing w:after="0" w:line="49" w:lineRule="exact"/>
        <w:rPr>
          <w:rFonts w:ascii="Arial" w:cs="Arial" w:eastAsia="Arial" w:hAnsi="Arial"/>
          <w:sz w:val="18"/>
          <w:szCs w:val="18"/>
          <w:color w:val="auto"/>
        </w:rPr>
      </w:pPr>
    </w:p>
    <w:p>
      <w:pPr>
        <w:ind w:left="2880" w:hanging="151"/>
        <w:spacing w:after="0"/>
        <w:tabs>
          <w:tab w:leader="none" w:pos="2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0.25%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dividends, fees, etc.) = 4.00%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income—(base management fee + other expenses)) = 3.55%</w:t>
      </w:r>
    </w:p>
    <w:p>
      <w:pPr>
        <w:sectPr>
          <w:pgSz w:w="11900" w:h="16838" w:orient="portrait"/>
          <w:cols w:equalWidth="0" w:num="1">
            <w:col w:w="11360"/>
          </w:cols>
          <w:pgMar w:left="240" w:top="459" w:right="299" w:bottom="1440" w:gutter="0" w:footer="0" w:header="0"/>
        </w:sectPr>
      </w:pPr>
    </w:p>
    <w:p>
      <w:pPr>
        <w:spacing w:after="0" w:line="29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Incentive fee</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Incentive fee</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Catch-up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1049020</wp:posOffset>
            </wp:positionV>
            <wp:extent cx="29146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160" w:hanging="151"/>
        <w:spacing w:after="0"/>
        <w:tabs>
          <w:tab w:leader="none" w:pos="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20% x Pre-Incentive Fee Net Investment Income, subject to “catch-up”</w:t>
      </w:r>
      <w:r>
        <w:rPr>
          <w:rFonts w:ascii="Arial" w:cs="Arial" w:eastAsia="Arial" w:hAnsi="Arial"/>
          <w:sz w:val="11"/>
          <w:szCs w:val="11"/>
          <w:color w:val="auto"/>
        </w:rPr>
        <w:t>(3)</w:t>
      </w:r>
    </w:p>
    <w:p>
      <w:pPr>
        <w:spacing w:after="0" w:line="36" w:lineRule="exact"/>
        <w:rPr>
          <w:rFonts w:ascii="Arial" w:cs="Arial" w:eastAsia="Arial" w:hAnsi="Arial"/>
          <w:sz w:val="18"/>
          <w:szCs w:val="18"/>
          <w:color w:val="auto"/>
        </w:rPr>
      </w:pPr>
    </w:p>
    <w:p>
      <w:pPr>
        <w:ind w:right="2600" w:firstLine="9"/>
        <w:spacing w:after="0" w:line="328" w:lineRule="auto"/>
        <w:tabs>
          <w:tab w:leader="none" w:pos="143" w:val="left"/>
        </w:tabs>
        <w:numPr>
          <w:ilvl w:val="0"/>
          <w:numId w:val="47"/>
        </w:numPr>
        <w:rPr>
          <w:rFonts w:ascii="Arial" w:cs="Arial" w:eastAsia="Arial" w:hAnsi="Arial"/>
          <w:sz w:val="18"/>
          <w:szCs w:val="18"/>
          <w:color w:val="auto"/>
        </w:rPr>
      </w:pPr>
      <w:r>
        <w:rPr>
          <w:rFonts w:ascii="Arial" w:cs="Arial" w:eastAsia="Arial" w:hAnsi="Arial"/>
          <w:sz w:val="18"/>
          <w:szCs w:val="18"/>
          <w:color w:val="auto"/>
        </w:rPr>
        <w:t>50% x “catch-up” + (20% x (Pre-Incentive Fee Net Investment Income - 2.9167%)) =2.9167%-1.75% =1.1667%</w:t>
      </w:r>
    </w:p>
    <w:p>
      <w:pPr>
        <w:spacing w:after="0" w:line="204" w:lineRule="exact"/>
        <w:rPr>
          <w:rFonts w:ascii="Arial" w:cs="Arial" w:eastAsia="Arial" w:hAnsi="Arial"/>
          <w:sz w:val="18"/>
          <w:szCs w:val="18"/>
          <w:color w:val="auto"/>
        </w:rPr>
      </w:pPr>
    </w:p>
    <w:p>
      <w:pPr>
        <w:ind w:right="5180"/>
        <w:spacing w:after="0" w:line="297" w:lineRule="auto"/>
        <w:rPr>
          <w:rFonts w:ascii="Arial" w:cs="Arial" w:eastAsia="Arial" w:hAnsi="Arial"/>
          <w:sz w:val="18"/>
          <w:szCs w:val="18"/>
          <w:color w:val="auto"/>
        </w:rPr>
      </w:pPr>
      <w:r>
        <w:rPr>
          <w:rFonts w:ascii="Arial" w:cs="Arial" w:eastAsia="Arial" w:hAnsi="Arial"/>
          <w:sz w:val="18"/>
          <w:szCs w:val="18"/>
          <w:color w:val="auto"/>
        </w:rPr>
        <w:t>=(50% x 1.1667%) + (20% x (3.55% -2.9167%)) =0.5833% + (20% x 0.6333%)</w:t>
      </w:r>
    </w:p>
    <w:p>
      <w:pPr>
        <w:ind w:right="7080"/>
        <w:spacing w:after="0" w:line="315" w:lineRule="auto"/>
        <w:rPr>
          <w:rFonts w:ascii="Arial" w:cs="Arial" w:eastAsia="Arial" w:hAnsi="Arial"/>
          <w:sz w:val="18"/>
          <w:szCs w:val="18"/>
          <w:color w:val="auto"/>
        </w:rPr>
      </w:pPr>
      <w:r>
        <w:rPr>
          <w:rFonts w:ascii="Arial" w:cs="Arial" w:eastAsia="Arial" w:hAnsi="Arial"/>
          <w:sz w:val="18"/>
          <w:szCs w:val="18"/>
          <w:color w:val="auto"/>
        </w:rPr>
        <w:t>=0.5833% + 0.1267% =0.71%</w:t>
      </w:r>
    </w:p>
    <w:p>
      <w:pPr>
        <w:spacing w:after="0" w:line="200" w:lineRule="exact"/>
        <w:rPr>
          <w:sz w:val="20"/>
          <w:szCs w:val="20"/>
          <w:color w:val="auto"/>
        </w:rPr>
      </w:pPr>
    </w:p>
    <w:p>
      <w:pPr>
        <w:sectPr>
          <w:pgSz w:w="11900" w:h="16838" w:orient="portrait"/>
          <w:cols w:equalWidth="0" w:num="2">
            <w:col w:w="2000" w:space="720"/>
            <w:col w:w="8640"/>
          </w:cols>
          <w:pgMar w:left="240" w:top="459" w:right="299" w:bottom="1440" w:gutter="0" w:footer="0" w:header="0"/>
          <w:type w:val="continuous"/>
        </w:sectPr>
      </w:pPr>
    </w:p>
    <w:p>
      <w:pPr>
        <w:spacing w:after="0" w:line="92" w:lineRule="exact"/>
        <w:rPr>
          <w:sz w:val="20"/>
          <w:szCs w:val="20"/>
          <w:color w:val="auto"/>
        </w:rPr>
      </w:pPr>
    </w:p>
    <w:p>
      <w:pPr>
        <w:ind w:left="380" w:hanging="325"/>
        <w:spacing w:after="0"/>
        <w:tabs>
          <w:tab w:leader="none" w:pos="3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hypothetical amount of Pre-Incentive Fee Net Investment Income shown is based on a percentage of total net assets.</w:t>
      </w:r>
    </w:p>
    <w:p>
      <w:pPr>
        <w:spacing w:after="0" w:line="95" w:lineRule="exact"/>
        <w:rPr>
          <w:sz w:val="20"/>
          <w:szCs w:val="20"/>
          <w:color w:val="auto"/>
        </w:rPr>
      </w:pPr>
    </w:p>
    <w:p>
      <w:pPr>
        <w:ind w:left="380" w:hanging="372"/>
        <w:spacing w:after="0"/>
        <w:tabs>
          <w:tab w:leader="none" w:pos="3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Represents 7.0% annualized hurdle.</w:t>
      </w:r>
    </w:p>
    <w:p>
      <w:pPr>
        <w:ind w:left="380" w:hanging="372"/>
        <w:spacing w:after="0" w:line="221" w:lineRule="auto"/>
        <w:tabs>
          <w:tab w:leader="none" w:pos="3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Represents 1.0% annualized base management fee.</w:t>
      </w:r>
    </w:p>
    <w:p>
      <w:pPr>
        <w:ind w:left="380" w:hanging="372"/>
        <w:spacing w:after="0" w:line="230" w:lineRule="auto"/>
        <w:tabs>
          <w:tab w:leader="none" w:pos="3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1: $20 million investment made in Company A (“Investment A”), and $30 million investment made in Company B (“Investment B”)</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2: Investment A sold for $50 million and fair market value (“FMV”) of Investment B determined to be $32 million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3: FMV of Investment B determined to be $25 million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4: Investment B sold for $31 million</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60"/>
          </w:cols>
          <w:pgMar w:left="240" w:top="459" w:right="29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1: None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2: $6 million capital gains incentive fee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$30 million realized capital gains on sale of Investment A multiplied by 20%</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3: None</w:t>
      </w:r>
    </w:p>
    <w:p>
      <w:pPr>
        <w:spacing w:after="0" w:line="90"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$5 million cumulative fee (20% multiplied by $25 million ($30 million cumulative capital gains less $5 million cumulative capital depreciation)) less $6 million (previous capital gains fee paid in Year 2)</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4: $200,000 capital gains incentive fee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$6.2 million cumulative fee ($31 million cumulative realized capital gains multiplied by 20%) less $6 million (previous capital gains fee paid in Year 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580" w:right="160"/>
        <w:spacing w:after="0" w:line="268" w:lineRule="auto"/>
        <w:rPr>
          <w:sz w:val="20"/>
          <w:szCs w:val="20"/>
          <w:color w:val="auto"/>
        </w:rPr>
      </w:pPr>
      <w:r>
        <w:rPr>
          <w:rFonts w:ascii="Arial" w:cs="Arial" w:eastAsia="Arial" w:hAnsi="Arial"/>
          <w:sz w:val="18"/>
          <w:szCs w:val="18"/>
          <w:color w:val="auto"/>
        </w:rPr>
        <w:t>Year 1: $20 million investment made in Company A (“Investment A”), $30 million investment made in Company B (“Investment B”) and $25 million investment made in Company C (“Investment C”)</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Year 2: Investment A sold for $50 million, FMV of Investment B determined to be $25 million and FMV of Investment C determined to be $25 million</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3: FMV of Investment B determined to be $27 million and Investment C sold for $30 million</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4: FMV of Investment B determined to be $35 million</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5: Investment B sold for $20 million</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1: None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2: $5 million capital gains incentive fee</w:t>
      </w:r>
    </w:p>
    <w:p>
      <w:pPr>
        <w:spacing w:after="0" w:line="90" w:lineRule="exact"/>
        <w:rPr>
          <w:sz w:val="20"/>
          <w:szCs w:val="20"/>
          <w:color w:val="auto"/>
        </w:rPr>
      </w:pPr>
    </w:p>
    <w:p>
      <w:pPr>
        <w:ind w:left="580" w:right="80"/>
        <w:spacing w:after="0" w:line="268" w:lineRule="auto"/>
        <w:rPr>
          <w:sz w:val="20"/>
          <w:szCs w:val="20"/>
          <w:color w:val="auto"/>
        </w:rPr>
      </w:pPr>
      <w:r>
        <w:rPr>
          <w:rFonts w:ascii="Arial" w:cs="Arial" w:eastAsia="Arial" w:hAnsi="Arial"/>
          <w:sz w:val="18"/>
          <w:szCs w:val="18"/>
          <w:color w:val="auto"/>
        </w:rPr>
        <w:t>20% multiplied by $25 million ($30 million realized capital gains on sale of Investment A less $5 million unrealized capital depreciation on Investment B)</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3: $1.4 million capital gains incentive fee</w:t>
      </w:r>
      <w:r>
        <w:rPr>
          <w:rFonts w:ascii="Arial" w:cs="Arial" w:eastAsia="Arial" w:hAnsi="Arial"/>
          <w:sz w:val="11"/>
          <w:szCs w:val="11"/>
          <w:color w:val="auto"/>
        </w:rPr>
        <w:t>(1)</w:t>
      </w:r>
    </w:p>
    <w:p>
      <w:pPr>
        <w:spacing w:after="0" w:line="90" w:lineRule="exact"/>
        <w:rPr>
          <w:sz w:val="20"/>
          <w:szCs w:val="20"/>
          <w:color w:val="auto"/>
        </w:rPr>
      </w:pPr>
    </w:p>
    <w:p>
      <w:pPr>
        <w:ind w:left="580" w:right="880"/>
        <w:spacing w:after="0" w:line="268" w:lineRule="auto"/>
        <w:rPr>
          <w:sz w:val="20"/>
          <w:szCs w:val="20"/>
          <w:color w:val="auto"/>
        </w:rPr>
      </w:pPr>
      <w:r>
        <w:rPr>
          <w:rFonts w:ascii="Arial" w:cs="Arial" w:eastAsia="Arial" w:hAnsi="Arial"/>
          <w:sz w:val="18"/>
          <w:szCs w:val="18"/>
          <w:color w:val="auto"/>
        </w:rPr>
        <w:t>$6.4 million cumulative fee (20% multiplied by $32 million ($35 million cumulative realized capital gains less $3 million unrealized capital depreciation)) less $5 million (previous capital gains fee paid in Year 2)</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4: $0.6 million capital gains incentive fee</w:t>
      </w:r>
    </w:p>
    <w:p>
      <w:pPr>
        <w:spacing w:after="0" w:line="90" w:lineRule="exact"/>
        <w:rPr>
          <w:sz w:val="20"/>
          <w:szCs w:val="20"/>
          <w:color w:val="auto"/>
        </w:rPr>
      </w:pPr>
    </w:p>
    <w:p>
      <w:pPr>
        <w:ind w:left="580" w:right="380"/>
        <w:spacing w:after="0" w:line="332" w:lineRule="auto"/>
        <w:rPr>
          <w:sz w:val="20"/>
          <w:szCs w:val="20"/>
          <w:color w:val="auto"/>
        </w:rPr>
      </w:pPr>
      <w:r>
        <w:rPr>
          <w:rFonts w:ascii="Arial" w:cs="Arial" w:eastAsia="Arial" w:hAnsi="Arial"/>
          <w:sz w:val="16"/>
          <w:szCs w:val="16"/>
          <w:color w:val="auto"/>
        </w:rPr>
        <w:t>$7 million cumulative fee (20% multiplied by $35 million ($35 million cumulative realized capital gains without regard to $5 million of unrealized appreciation)) less $6.4 million (previous cumulative capital gains fee paid in Year 2 of $5.0 million and Year 3 of $1.4 million)</w:t>
      </w:r>
    </w:p>
    <w:p>
      <w:pPr>
        <w:spacing w:after="0" w:line="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5: None</w:t>
      </w:r>
    </w:p>
    <w:p>
      <w:pPr>
        <w:spacing w:after="0" w:line="90" w:lineRule="exact"/>
        <w:rPr>
          <w:sz w:val="20"/>
          <w:szCs w:val="20"/>
          <w:color w:val="auto"/>
        </w:rPr>
      </w:pPr>
    </w:p>
    <w:p>
      <w:pPr>
        <w:ind w:left="580" w:right="160"/>
        <w:spacing w:after="0" w:line="268" w:lineRule="auto"/>
        <w:rPr>
          <w:sz w:val="20"/>
          <w:szCs w:val="20"/>
          <w:color w:val="auto"/>
        </w:rPr>
      </w:pPr>
      <w:r>
        <w:rPr>
          <w:rFonts w:ascii="Arial" w:cs="Arial" w:eastAsia="Arial" w:hAnsi="Arial"/>
          <w:sz w:val="18"/>
          <w:szCs w:val="18"/>
          <w:color w:val="auto"/>
        </w:rPr>
        <w:t>$7 million cumulative fee (20% multiplied by $35 million ($35 million cumulative realized capital gains without regard to $10 million realized capital losses in subsequent year)) less $7 million (previous cumulative capital gains fee paid in Years 2, 3 and Year 4)</w:t>
      </w:r>
    </w:p>
    <w:p>
      <w:pPr>
        <w:spacing w:after="0" w:line="197" w:lineRule="exact"/>
        <w:rPr>
          <w:sz w:val="20"/>
          <w:szCs w:val="20"/>
          <w:color w:val="auto"/>
        </w:rPr>
      </w:pPr>
    </w:p>
    <w:p>
      <w:pPr>
        <w:ind w:left="580" w:right="80" w:hanging="572"/>
        <w:spacing w:after="0" w:line="195" w:lineRule="auto"/>
        <w:tabs>
          <w:tab w:leader="none" w:pos="580" w:val="left"/>
        </w:tabs>
        <w:numPr>
          <w:ilvl w:val="0"/>
          <w:numId w:val="50"/>
        </w:numPr>
        <w:rPr>
          <w:rFonts w:ascii="Arial" w:cs="Arial" w:eastAsia="Arial" w:hAnsi="Arial"/>
          <w:sz w:val="22"/>
          <w:szCs w:val="22"/>
          <w:color w:val="auto"/>
          <w:vertAlign w:val="superscript"/>
        </w:rPr>
      </w:pPr>
      <w:r>
        <w:rPr>
          <w:rFonts w:ascii="Arial" w:cs="Arial" w:eastAsia="Arial" w:hAnsi="Arial"/>
          <w:sz w:val="14"/>
          <w:szCs w:val="14"/>
          <w:color w:val="auto"/>
        </w:rPr>
        <w:t>As illustrated in Year 3 of Alternative 2 above, if PennantPark Floating Rate Capital Ltd. were to be wound up on a date other than December 31 of any year after year 3, PennantPark Floating Rate Capital Ltd. may have paid aggregate capital gain incentive fees that are more than the amount of such fees that would be payable if PennantPark Floating Rate Capital Ltd. had been wound up on December 31 of such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8661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00"/>
          </w:cols>
          <w:pgMar w:left="240" w:top="459" w:right="3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540" w:firstLine="571"/>
        <w:spacing w:after="0" w:line="332" w:lineRule="auto"/>
        <w:rPr>
          <w:sz w:val="20"/>
          <w:szCs w:val="20"/>
          <w:color w:val="auto"/>
        </w:rPr>
      </w:pPr>
      <w:r>
        <w:rPr>
          <w:rFonts w:ascii="Arial" w:cs="Arial" w:eastAsia="Arial" w:hAnsi="Arial"/>
          <w:sz w:val="16"/>
          <w:szCs w:val="16"/>
          <w:color w:val="auto"/>
        </w:rPr>
        <w:t>PennantPark Investment Advisers is a registered investment adviser under the Investment Advisers Act of 1940, as amended, or Advisers Act. The principal executive office of PennantPark Investment Advisers is located at 590 Madison Avenue, 15th Floor, New York, NY 10022.</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 of Investment Management Agreement</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us or the Investment Adviser, in February 2016. Unless terminated earlier as described below, the Investment Management Agreement will continue in effect for a period of one year through February 2017.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our ability to manage conflicts of interest effectively, our short and long-term performance, our costs, including as compared to comparable externally and internally managed publicly traded BDCs that engage in similar investing activities, our profitability and any economies of scale.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127"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We have entered into an agreement, or the Administration Agreement, with the Administrator, under which the Administrator furnishes us with office facilities, equipment and clerical, bookkeeping and record keeping services. Under our Administration Agreement, the Administrator performs, or oversees the performance of, our required administrative services, which include, among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generally oversees the payment of our expenses and the performance of administrative and professional services rendered to us by others. For providing these services, facilities and personnel, we have agreed to reimburse the Administrator for its allocable portion of overhead and other expenses incurred by the Administrator in performing its obligations under the Administration Agreement, including rent, technology systems, insurance and our allocable portion of the cost of compensation and related expenses of our Chief Compliance Officer, Chief Financial Officer and their respective staffs. The Administrator also offers on our behalf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 of Operations. For the years ended September 30, 2016, 2015 and 2014, the Investment Adviser was reimbursed approximately $0.8 million, $0.5 million and $0.5 million, respectively, from us, including expenses the Investment Adviser incurred on behalf of the Administrator, for services described above.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 of Administration Agreement</w:t>
      </w:r>
    </w:p>
    <w:p>
      <w:pPr>
        <w:spacing w:after="0" w:line="90" w:lineRule="exact"/>
        <w:rPr>
          <w:sz w:val="20"/>
          <w:szCs w:val="20"/>
          <w:color w:val="auto"/>
        </w:rPr>
      </w:pPr>
    </w:p>
    <w:p>
      <w:pPr>
        <w:ind w:right="160" w:firstLine="571"/>
        <w:spacing w:after="0" w:line="254" w:lineRule="auto"/>
        <w:rPr>
          <w:sz w:val="20"/>
          <w:szCs w:val="20"/>
          <w:color w:val="auto"/>
        </w:rPr>
      </w:pPr>
      <w:r>
        <w:rPr>
          <w:rFonts w:ascii="Arial" w:cs="Arial" w:eastAsia="Arial" w:hAnsi="Arial"/>
          <w:sz w:val="18"/>
          <w:szCs w:val="18"/>
          <w:color w:val="auto"/>
        </w:rPr>
        <w:t>The Administration Agreement was reapproved by our board of directors, including a majority of our directors who are not interested persons of us, in February 2016. Unless terminated earlier as described below, our Administration Agreement will continue in effect for a period of one year through February 2017.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160" w:firstLine="571"/>
        <w:spacing w:after="0" w:line="291" w:lineRule="auto"/>
        <w:rPr>
          <w:sz w:val="20"/>
          <w:szCs w:val="20"/>
          <w:color w:val="auto"/>
        </w:rPr>
      </w:pPr>
      <w:r>
        <w:rPr>
          <w:rFonts w:ascii="Arial" w:cs="Arial" w:eastAsia="Arial" w:hAnsi="Arial"/>
          <w:sz w:val="16"/>
          <w:szCs w:val="16"/>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96"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a BDC, we generally invest in illiquid securities including debt and equity investments of middle-market companies.</w:t>
      </w:r>
    </w:p>
    <w:p>
      <w:pPr>
        <w:spacing w:after="0" w:line="90" w:lineRule="exact"/>
        <w:rPr>
          <w:sz w:val="20"/>
          <w:szCs w:val="20"/>
          <w:color w:val="auto"/>
        </w:rPr>
      </w:pPr>
    </w:p>
    <w:p>
      <w:pPr>
        <w:ind w:firstLine="571"/>
        <w:spacing w:after="0" w:line="285" w:lineRule="auto"/>
        <w:rPr>
          <w:sz w:val="20"/>
          <w:szCs w:val="20"/>
          <w:color w:val="auto"/>
        </w:rPr>
      </w:pPr>
      <w:r>
        <w:rPr>
          <w:rFonts w:ascii="Arial" w:cs="Arial" w:eastAsia="Arial" w:hAnsi="Arial"/>
          <w:sz w:val="16"/>
          <w:szCs w:val="16"/>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Our investments are generally structured as Floating Rate Loans, mainly senior secured debt, but also may include second lien, high yield, mezzanine and distressed debt securities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 as described below.</w:t>
      </w:r>
    </w:p>
    <w:p>
      <w:pPr>
        <w:spacing w:after="0" w:line="47" w:lineRule="exact"/>
        <w:rPr>
          <w:sz w:val="20"/>
          <w:szCs w:val="20"/>
          <w:color w:val="auto"/>
        </w:rPr>
      </w:pPr>
    </w:p>
    <w:p>
      <w:pPr>
        <w:ind w:right="300" w:firstLine="571"/>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800" w:right="560" w:hanging="346"/>
        <w:spacing w:after="0" w:line="268" w:lineRule="auto"/>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800" w:hanging="346"/>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800" w:right="40" w:hanging="346"/>
        <w:spacing w:after="0" w:line="256" w:lineRule="auto"/>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800" w:right="140" w:hanging="346"/>
        <w:spacing w:after="0" w:line="306" w:lineRule="auto"/>
        <w:tabs>
          <w:tab w:leader="none" w:pos="8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25" w:lineRule="exact"/>
        <w:rPr>
          <w:rFonts w:ascii="Arial" w:cs="Arial" w:eastAsia="Arial" w:hAnsi="Arial"/>
          <w:sz w:val="16"/>
          <w:szCs w:val="16"/>
          <w:color w:val="auto"/>
        </w:rPr>
      </w:pPr>
    </w:p>
    <w:p>
      <w:pPr>
        <w:ind w:left="800" w:right="120" w:hanging="346"/>
        <w:spacing w:after="0" w:line="268" w:lineRule="auto"/>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To the extent we invest in derivative instruments in the future, such instruments would be valued at fair value in accordance with our valuation policy.</w:t>
      </w:r>
    </w:p>
    <w:p>
      <w:pPr>
        <w:spacing w:after="0" w:line="194"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at the reporting period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580"/>
        <w:spacing w:after="0"/>
        <w:tabs>
          <w:tab w:leader="none" w:pos="13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that are quoted prices (unadjusted) in active markets for identical assets or liabilities, accessible by us at the measurement date.</w:t>
      </w:r>
    </w:p>
    <w:p>
      <w:pPr>
        <w:spacing w:after="0" w:line="117" w:lineRule="exact"/>
        <w:rPr>
          <w:sz w:val="20"/>
          <w:szCs w:val="20"/>
          <w:color w:val="auto"/>
        </w:rPr>
      </w:pPr>
    </w:p>
    <w:p>
      <w:pPr>
        <w:ind w:left="1360" w:right="80" w:hanging="769"/>
        <w:spacing w:after="0" w:line="259" w:lineRule="auto"/>
        <w:tabs>
          <w:tab w:leader="none" w:pos="1340" w:val="left"/>
        </w:tabs>
        <w:rPr>
          <w:sz w:val="20"/>
          <w:szCs w:val="20"/>
          <w:color w:val="auto"/>
        </w:rPr>
      </w:pPr>
      <w:r>
        <w:rPr>
          <w:rFonts w:ascii="Arial" w:cs="Arial" w:eastAsia="Arial" w:hAnsi="Arial"/>
          <w:sz w:val="18"/>
          <w:szCs w:val="18"/>
          <w:color w:val="auto"/>
        </w:rPr>
        <w:t>Level 2:</w:t>
        <w:tab/>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6" w:lineRule="exact"/>
        <w:rPr>
          <w:sz w:val="20"/>
          <w:szCs w:val="20"/>
          <w:color w:val="auto"/>
        </w:rPr>
      </w:pPr>
    </w:p>
    <w:p>
      <w:pPr>
        <w:ind w:left="1360" w:right="400" w:hanging="769"/>
        <w:spacing w:after="0" w:line="268" w:lineRule="auto"/>
        <w:tabs>
          <w:tab w:leader="none" w:pos="134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ectPr>
          <w:pgSz w:w="11900" w:h="16838" w:orient="portrait"/>
          <w:cols w:equalWidth="0" w:num="1">
            <w:col w:w="11420"/>
          </w:cols>
          <w:pgMar w:left="240" w:top="459"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459" w:right="239"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62"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76" w:lineRule="exact"/>
        <w:rPr>
          <w:rFonts w:ascii="Arial" w:cs="Arial" w:eastAsia="Arial" w:hAnsi="Arial"/>
          <w:sz w:val="18"/>
          <w:szCs w:val="18"/>
          <w:color w:val="auto"/>
        </w:rPr>
      </w:pPr>
    </w:p>
    <w:p>
      <w:pPr>
        <w:jc w:val="both"/>
        <w:ind w:left="900" w:right="200" w:hanging="325"/>
        <w:spacing w:after="0" w:line="306"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12"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32"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will only sell shares of our common stock at a price below NAV per share if the following conditions are met:</w:t>
      </w:r>
    </w:p>
    <w:p>
      <w:pPr>
        <w:spacing w:after="0" w:line="90"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90" w:lineRule="exact"/>
        <w:rPr>
          <w:rFonts w:ascii="Arial" w:cs="Arial" w:eastAsia="Arial" w:hAnsi="Arial"/>
          <w:sz w:val="18"/>
          <w:szCs w:val="18"/>
          <w:color w:val="auto"/>
        </w:rPr>
      </w:pPr>
    </w:p>
    <w:p>
      <w:pPr>
        <w:ind w:left="900" w:right="40" w:hanging="325"/>
        <w:spacing w:after="0" w:line="256"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43" w:lineRule="exact"/>
        <w:rPr>
          <w:sz w:val="20"/>
          <w:szCs w:val="20"/>
          <w:color w:val="auto"/>
        </w:rPr>
      </w:pPr>
    </w:p>
    <w:p>
      <w:pPr>
        <w:ind w:right="60" w:firstLine="571"/>
        <w:spacing w:after="0" w:line="253" w:lineRule="auto"/>
        <w:rPr>
          <w:sz w:val="20"/>
          <w:szCs w:val="20"/>
          <w:color w:val="auto"/>
        </w:rPr>
      </w:pPr>
      <w:r>
        <w:rPr>
          <w:rFonts w:ascii="Arial" w:cs="Arial" w:eastAsia="Arial" w:hAnsi="Arial"/>
          <w:sz w:val="18"/>
          <w:szCs w:val="18"/>
          <w:color w:val="auto"/>
        </w:rPr>
        <w:t>To the extent that the above procedures result in even a remote possibility that we may (i) in the absence of stockholder approval issue shares of our common stock at a price below the then current NAV of our common stock at the time at which the sale is made or (ii) trigger our undertaking to suspend the offering of shares of our common stock pursuant to this prospectus if the NAV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NAV within two days prior to any such sale to ensure that such sale will not be below our then current NAV, and, in the case of clause (ii) above, to comply with such undertaking or to undertake to determine NAV to ensure that such undertaking has not been triggered.</w:t>
      </w:r>
    </w:p>
    <w:p>
      <w:pPr>
        <w:spacing w:after="0" w:line="147"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23"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ind w:right="420" w:firstLine="571"/>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Generally, we intend to issue new shares to implement the plan, when our shares are trading at a premium to our net asset value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distribution cannot be established until the value per share at which additional new shares will be issued has been determined and elections of our stockholders have been tabulated.</w:t>
      </w:r>
    </w:p>
    <w:p>
      <w:pPr>
        <w:spacing w:after="0" w:line="118" w:lineRule="exact"/>
        <w:rPr>
          <w:sz w:val="20"/>
          <w:szCs w:val="20"/>
          <w:color w:val="auto"/>
        </w:rPr>
      </w:pPr>
    </w:p>
    <w:p>
      <w:pPr>
        <w:ind w:right="100" w:firstLine="571"/>
        <w:spacing w:after="0" w:line="298"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3"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generally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400" w:firstLine="571"/>
        <w:spacing w:after="0" w:line="268"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32" w:lineRule="exact"/>
        <w:rPr>
          <w:sz w:val="20"/>
          <w:szCs w:val="20"/>
          <w:color w:val="auto"/>
        </w:rPr>
      </w:pPr>
    </w:p>
    <w:p>
      <w:pPr>
        <w:ind w:right="60" w:firstLine="571"/>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LLC, 6201 15</w:t>
      </w:r>
      <w:r>
        <w:rPr>
          <w:rFonts w:ascii="Arial" w:cs="Arial" w:eastAsia="Arial" w:hAnsi="Arial"/>
          <w:sz w:val="10"/>
          <w:szCs w:val="10"/>
          <w:color w:val="auto"/>
        </w:rPr>
        <w:t>th</w:t>
      </w:r>
      <w:r>
        <w:rPr>
          <w:rFonts w:ascii="Arial" w:cs="Arial" w:eastAsia="Arial" w:hAnsi="Arial"/>
          <w:sz w:val="16"/>
          <w:szCs w:val="16"/>
          <w:color w:val="auto"/>
        </w:rPr>
        <w:t xml:space="preserve"> Avenue, 3</w:t>
      </w:r>
      <w:r>
        <w:rPr>
          <w:rFonts w:ascii="Arial" w:cs="Arial" w:eastAsia="Arial" w:hAnsi="Arial"/>
          <w:sz w:val="10"/>
          <w:szCs w:val="10"/>
          <w:color w:val="auto"/>
        </w:rPr>
        <w:t>rd</w:t>
      </w:r>
      <w:r>
        <w:rPr>
          <w:rFonts w:ascii="Arial" w:cs="Arial" w:eastAsia="Arial" w:hAnsi="Arial"/>
          <w:sz w:val="16"/>
          <w:szCs w:val="16"/>
          <w:color w:val="auto"/>
        </w:rPr>
        <w:t xml:space="preserve"> Floor, Brooklyn, New York 11219, or by the plan administrator’s Interactive Voice Response System at 1-800-278-4353.</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260" w:firstLine="571"/>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As of September 30, 2016, our authorized capital stock consisted of 100,000,000 shares of stock, par value $0.001 per share, all of which is classified as common stock. Our common stock is quoted on the NASDAQ Global Select Market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color w:val="auto"/>
        </w:rPr>
        <w:t>The last reported closing market price of our common stock on January 13, 2017 was $14.10 per share. As of January 13, 2017, we had 41 stockholders of record.</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are our outstanding classes of securities as of December 31, 2016: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ind w:left="460"/>
              <w:spacing w:after="0"/>
              <w:rPr>
                <w:sz w:val="20"/>
                <w:szCs w:val="20"/>
                <w:color w:val="auto"/>
              </w:rPr>
            </w:pPr>
            <w:r>
              <w:rPr>
                <w:rFonts w:ascii="Arial" w:cs="Arial" w:eastAsia="Arial" w:hAnsi="Arial"/>
                <w:sz w:val="14"/>
                <w:szCs w:val="14"/>
                <w:b w:val="1"/>
                <w:bCs w:val="1"/>
                <w:color w:val="auto"/>
              </w:rPr>
              <w:t>Amount Held by</w:t>
            </w:r>
          </w:p>
        </w:tc>
        <w:tc>
          <w:tcPr>
            <w:tcW w:w="1820" w:type="dxa"/>
            <w:vAlign w:val="bottom"/>
          </w:tcPr>
          <w:p>
            <w:pPr>
              <w:spacing w:after="0"/>
              <w:rPr>
                <w:sz w:val="14"/>
                <w:szCs w:val="14"/>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ind w:left="680"/>
              <w:spacing w:after="0" w:line="149" w:lineRule="exact"/>
              <w:rPr>
                <w:sz w:val="20"/>
                <w:szCs w:val="20"/>
                <w:color w:val="auto"/>
              </w:rPr>
            </w:pPr>
            <w:r>
              <w:rPr>
                <w:rFonts w:ascii="Arial" w:cs="Arial" w:eastAsia="Arial" w:hAnsi="Arial"/>
                <w:sz w:val="14"/>
                <w:szCs w:val="14"/>
                <w:b w:val="1"/>
                <w:bCs w:val="1"/>
                <w:color w:val="auto"/>
              </w:rPr>
              <w:t>Amount</w:t>
            </w: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r>
      <w:tr>
        <w:trPr>
          <w:trHeight w:val="174"/>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 of Class</w:t>
            </w:r>
          </w:p>
        </w:tc>
        <w:tc>
          <w:tcPr>
            <w:tcW w:w="1940" w:type="dxa"/>
            <w:vAlign w:val="bottom"/>
            <w:gridSpan w:val="2"/>
          </w:tcPr>
          <w:p>
            <w:pPr>
              <w:ind w:left="560"/>
              <w:spacing w:after="0"/>
              <w:rPr>
                <w:sz w:val="20"/>
                <w:szCs w:val="20"/>
                <w:color w:val="auto"/>
              </w:rPr>
            </w:pPr>
            <w:r>
              <w:rPr>
                <w:rFonts w:ascii="Arial" w:cs="Arial" w:eastAsia="Arial" w:hAnsi="Arial"/>
                <w:sz w:val="14"/>
                <w:szCs w:val="14"/>
                <w:b w:val="1"/>
                <w:bCs w:val="1"/>
                <w:color w:val="auto"/>
              </w:rPr>
              <w:t>Authorized</w:t>
            </w: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Account</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r>
      <w:tr>
        <w:trPr>
          <w:trHeight w:val="55"/>
        </w:trPr>
        <w:tc>
          <w:tcPr>
            <w:tcW w:w="5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216"/>
        </w:trPr>
        <w:tc>
          <w:tcPr>
            <w:tcW w:w="5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Common Stock, par value $0.001 per share</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100,000,000</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26,730,074</w:t>
            </w:r>
          </w:p>
        </w:tc>
      </w:tr>
      <w:tr>
        <w:trPr>
          <w:trHeight w:val="61"/>
        </w:trPr>
        <w:tc>
          <w:tcPr>
            <w:tcW w:w="5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r>
    </w:tbl>
    <w:p>
      <w:pPr>
        <w:spacing w:after="0" w:line="154" w:lineRule="exact"/>
        <w:rPr>
          <w:sz w:val="20"/>
          <w:szCs w:val="20"/>
          <w:color w:val="auto"/>
        </w:rPr>
      </w:pPr>
    </w:p>
    <w:p>
      <w:pPr>
        <w:ind w:right="240" w:firstLine="571"/>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180" w:firstLine="571"/>
        <w:spacing w:after="0" w:line="286" w:lineRule="auto"/>
        <w:rPr>
          <w:sz w:val="20"/>
          <w:szCs w:val="20"/>
          <w:color w:val="auto"/>
        </w:rPr>
      </w:pPr>
      <w:r>
        <w:rPr>
          <w:rFonts w:ascii="Arial" w:cs="Arial" w:eastAsia="Arial" w:hAnsi="Arial"/>
          <w:sz w:val="16"/>
          <w:szCs w:val="16"/>
          <w:color w:val="auto"/>
        </w:rPr>
        <w:t>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w:t>
      </w:r>
    </w:p>
    <w:p>
      <w:pPr>
        <w:ind w:right="700" w:firstLine="8"/>
        <w:spacing w:after="0" w:line="323" w:lineRule="auto"/>
        <w:tabs>
          <w:tab w:leader="none" w:pos="249" w:val="left"/>
        </w:tabs>
        <w:numPr>
          <w:ilvl w:val="0"/>
          <w:numId w:val="54"/>
        </w:numPr>
        <w:rPr>
          <w:rFonts w:ascii="Arial" w:cs="Arial" w:eastAsia="Arial" w:hAnsi="Arial"/>
          <w:sz w:val="16"/>
          <w:szCs w:val="16"/>
          <w:color w:val="auto"/>
        </w:rPr>
      </w:pPr>
      <w:r>
        <w:rPr>
          <w:rFonts w:ascii="Arial" w:cs="Arial" w:eastAsia="Arial" w:hAnsi="Arial"/>
          <w:sz w:val="16"/>
          <w:szCs w:val="16"/>
          <w:color w:val="auto"/>
        </w:rPr>
        <w:t>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63" w:lineRule="exact"/>
        <w:rPr>
          <w:sz w:val="20"/>
          <w:szCs w:val="20"/>
          <w:color w:val="auto"/>
        </w:rPr>
      </w:pPr>
    </w:p>
    <w:p>
      <w:pPr>
        <w:ind w:firstLine="571"/>
        <w:spacing w:after="0" w:line="309" w:lineRule="auto"/>
        <w:rPr>
          <w:sz w:val="20"/>
          <w:szCs w:val="20"/>
          <w:color w:val="auto"/>
        </w:rPr>
      </w:pPr>
      <w:r>
        <w:rPr>
          <w:rFonts w:ascii="Arial" w:cs="Arial" w:eastAsia="Arial" w:hAnsi="Arial"/>
          <w:sz w:val="15"/>
          <w:szCs w:val="15"/>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27" w:lineRule="exact"/>
        <w:rPr>
          <w:sz w:val="20"/>
          <w:szCs w:val="20"/>
          <w:color w:val="auto"/>
        </w:rPr>
      </w:pPr>
    </w:p>
    <w:p>
      <w:pPr>
        <w:ind w:right="460" w:firstLine="571"/>
        <w:spacing w:after="0" w:line="332" w:lineRule="auto"/>
        <w:rPr>
          <w:sz w:val="20"/>
          <w:szCs w:val="20"/>
          <w:color w:val="auto"/>
        </w:rPr>
      </w:pPr>
      <w:r>
        <w:rPr>
          <w:rFonts w:ascii="Arial" w:cs="Arial" w:eastAsia="Arial" w:hAnsi="Arial"/>
          <w:sz w:val="16"/>
          <w:szCs w:val="16"/>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4"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80" w:firstLine="571"/>
        <w:spacing w:after="0" w:line="253" w:lineRule="auto"/>
        <w:rPr>
          <w:sz w:val="20"/>
          <w:szCs w:val="20"/>
          <w:color w:val="auto"/>
        </w:rPr>
      </w:pPr>
      <w:r>
        <w:rPr>
          <w:rFonts w:ascii="Arial" w:cs="Arial" w:eastAsia="Arial" w:hAnsi="Arial"/>
          <w:sz w:val="18"/>
          <w:szCs w:val="18"/>
          <w:color w:val="auto"/>
        </w:rPr>
        <w:t>Our board of directors is divided into three classes of directors serving staggered three-year terms. The terms of the first, second and third classes will expire at the annual meeting of stockholders held in 2018, 2019 and 2017,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Our charter and bylaws provide that the affirmative vote of the holders of a majority of the total votes cast for and affirmatively withheld as to a nominee in the election of directors is required to elect a director. Pursuant to the charter, our board of directors may amend the bylaws to alter the vote required to elect directors.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right="400" w:firstLine="571"/>
        <w:spacing w:after="0" w:line="268" w:lineRule="auto"/>
        <w:rPr>
          <w:sz w:val="20"/>
          <w:szCs w:val="20"/>
          <w:color w:val="auto"/>
        </w:rPr>
      </w:pPr>
      <w:r>
        <w:rPr>
          <w:rFonts w:ascii="Arial" w:cs="Arial" w:eastAsia="Arial" w:hAnsi="Arial"/>
          <w:sz w:val="18"/>
          <w:szCs w:val="18"/>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occured and until a successor is elected and qualifies, subject to any applicable requirements of the 1940 Act.</w:t>
      </w:r>
    </w:p>
    <w:p>
      <w:pPr>
        <w:spacing w:after="0" w:line="39"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360" w:firstLine="571"/>
        <w:spacing w:after="0" w:line="306"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jc w:val="both"/>
        <w:ind w:right="40" w:firstLine="571"/>
        <w:spacing w:after="0" w:line="289" w:lineRule="auto"/>
        <w:rPr>
          <w:sz w:val="20"/>
          <w:szCs w:val="20"/>
          <w:color w:val="auto"/>
        </w:rPr>
      </w:pPr>
      <w:r>
        <w:rPr>
          <w:rFonts w:ascii="Arial" w:cs="Arial" w:eastAsia="Arial" w:hAnsi="Arial"/>
          <w:sz w:val="16"/>
          <w:szCs w:val="16"/>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37"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20" w:firstLine="571"/>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500" w:firstLine="571"/>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160" w:firstLine="571"/>
        <w:spacing w:after="0" w:line="254" w:lineRule="auto"/>
        <w:rPr>
          <w:sz w:val="20"/>
          <w:szCs w:val="20"/>
          <w:color w:val="auto"/>
        </w:rPr>
      </w:pPr>
      <w:r>
        <w:rPr>
          <w:rFonts w:ascii="Arial" w:cs="Arial" w:eastAsia="Arial" w:hAnsi="Arial"/>
          <w:sz w:val="18"/>
          <w:szCs w:val="18"/>
          <w:color w:val="auto"/>
        </w:rPr>
        <w:t>The Maryland Control Share Acquisition Act provides that control shares of a Maryland corporation acquired in a control share acquisition have no voting rights except to the extent approved by the affirmative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63"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90" w:lineRule="exact"/>
        <w:rPr>
          <w:sz w:val="20"/>
          <w:szCs w:val="20"/>
          <w:color w:val="auto"/>
        </w:rPr>
      </w:pPr>
    </w:p>
    <w:p>
      <w:pPr>
        <w:jc w:val="both"/>
        <w:ind w:right="140" w:firstLine="571"/>
        <w:spacing w:after="0" w:line="306" w:lineRule="auto"/>
        <w:rPr>
          <w:sz w:val="20"/>
          <w:szCs w:val="20"/>
          <w:color w:val="auto"/>
        </w:rPr>
      </w:pPr>
      <w:r>
        <w:rPr>
          <w:rFonts w:ascii="Arial" w:cs="Arial" w:eastAsia="Arial" w:hAnsi="Arial"/>
          <w:sz w:val="16"/>
          <w:szCs w:val="16"/>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issued and outstanding control shares, subject to certain exceptions.</w:t>
      </w:r>
    </w:p>
    <w:p>
      <w:pPr>
        <w:spacing w:after="0" w:line="26"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62"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37" w:lineRule="exact"/>
        <w:rPr>
          <w:sz w:val="20"/>
          <w:szCs w:val="20"/>
          <w:color w:val="auto"/>
        </w:rPr>
      </w:pPr>
    </w:p>
    <w:p>
      <w:pPr>
        <w:ind w:right="320" w:firstLine="571"/>
        <w:spacing w:after="0" w:line="268" w:lineRule="auto"/>
        <w:rPr>
          <w:sz w:val="20"/>
          <w:szCs w:val="20"/>
          <w:color w:val="auto"/>
        </w:rPr>
      </w:pPr>
      <w:r>
        <w:rPr>
          <w:rFonts w:ascii="Arial" w:cs="Arial" w:eastAsia="Arial" w:hAnsi="Arial"/>
          <w:sz w:val="18"/>
          <w:szCs w:val="18"/>
          <w:color w:val="auto"/>
        </w:rPr>
        <w:t>The Maryland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51" w:lineRule="exact"/>
        <w:rPr>
          <w:sz w:val="20"/>
          <w:szCs w:val="20"/>
          <w:color w:val="auto"/>
        </w:rPr>
      </w:pPr>
    </w:p>
    <w:p>
      <w:pPr>
        <w:ind w:right="440" w:firstLine="571"/>
        <w:spacing w:after="0" w:line="332" w:lineRule="auto"/>
        <w:rPr>
          <w:sz w:val="20"/>
          <w:szCs w:val="20"/>
          <w:color w:val="auto"/>
        </w:rPr>
      </w:pPr>
      <w:r>
        <w:rPr>
          <w:rFonts w:ascii="Arial" w:cs="Arial" w:eastAsia="Arial" w:hAnsi="Arial"/>
          <w:sz w:val="16"/>
          <w:szCs w:val="16"/>
          <w:color w:val="auto"/>
        </w:rPr>
        <w:t>Our bylaws contain a provision exempting from the Maryland Control Share Acquisition Act any and all acquisitions by any person of shares of our stock. There can be no assurance that such provision will not be amended or eliminated at any time in the future to the extent permitted by the 1940 Act.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person who beneficially owns, directly or indirectly, 10% or more of the voting power of the corporation’s shares; or</w:t>
      </w:r>
    </w:p>
    <w:p>
      <w:pPr>
        <w:spacing w:after="0" w:line="76"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51" w:lineRule="exact"/>
        <w:rPr>
          <w:sz w:val="20"/>
          <w:szCs w:val="20"/>
          <w:color w:val="auto"/>
        </w:rPr>
      </w:pPr>
    </w:p>
    <w:p>
      <w:pPr>
        <w:ind w:right="220" w:firstLine="571"/>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76" w:lineRule="exact"/>
        <w:rPr>
          <w:rFonts w:ascii="Arial" w:cs="Arial" w:eastAsia="Arial" w:hAnsi="Arial"/>
          <w:sz w:val="18"/>
          <w:szCs w:val="18"/>
          <w:color w:val="auto"/>
        </w:rPr>
      </w:pPr>
    </w:p>
    <w:p>
      <w:pPr>
        <w:ind w:left="900" w:right="460" w:hanging="325"/>
        <w:spacing w:after="0" w:line="332"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4" w:lineRule="exact"/>
        <w:rPr>
          <w:sz w:val="20"/>
          <w:szCs w:val="20"/>
          <w:color w:val="auto"/>
        </w:rPr>
      </w:pPr>
    </w:p>
    <w:p>
      <w:pPr>
        <w:ind w:right="40" w:firstLine="571"/>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4"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If and to the extent that any provision of the Maryland General Corporation Law, including the Maryland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PREFERRED STOCK</w:t>
      </w:r>
    </w:p>
    <w:p>
      <w:pPr>
        <w:spacing w:after="0" w:line="177"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51"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76"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76"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76"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WARRANTS</w:t>
      </w:r>
    </w:p>
    <w:p>
      <w:pPr>
        <w:spacing w:after="0" w:line="177" w:lineRule="exact"/>
        <w:rPr>
          <w:sz w:val="20"/>
          <w:szCs w:val="20"/>
          <w:color w:val="auto"/>
        </w:rPr>
      </w:pPr>
    </w:p>
    <w:p>
      <w:pPr>
        <w:ind w:right="440" w:firstLine="571"/>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76"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37"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45"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45"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194"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4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net asset value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77"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99" w:lineRule="exact"/>
        <w:rPr>
          <w:rFonts w:ascii="Arial" w:cs="Arial" w:eastAsia="Arial" w:hAnsi="Arial"/>
          <w:sz w:val="16"/>
          <w:szCs w:val="16"/>
          <w:color w:val="auto"/>
        </w:rPr>
      </w:pPr>
    </w:p>
    <w:p>
      <w:pPr>
        <w:ind w:left="900" w:right="48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76"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37"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90"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DEBT SECURITIES</w:t>
      </w:r>
    </w:p>
    <w:p>
      <w:pPr>
        <w:spacing w:after="0" w:line="177"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3"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third paragraph under “Description of our Debt Securities—Events of Default.” Second, the trustee performs certain administrative duties for us, such as sending interest and principal payments to holders.</w:t>
      </w:r>
    </w:p>
    <w:p>
      <w:pPr>
        <w:spacing w:after="0" w:line="116"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00"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36" w:lineRule="exact"/>
        <w:rPr>
          <w:rFonts w:ascii="Arial" w:cs="Arial" w:eastAsia="Arial" w:hAnsi="Arial"/>
          <w:sz w:val="18"/>
          <w:szCs w:val="18"/>
          <w:color w:val="auto"/>
        </w:rPr>
      </w:pPr>
    </w:p>
    <w:p>
      <w:pPr>
        <w:ind w:left="900" w:right="160" w:hanging="325"/>
        <w:spacing w:after="0" w:line="266"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36" w:lineRule="exact"/>
        <w:rPr>
          <w:rFonts w:ascii="Arial" w:cs="Arial" w:eastAsia="Arial" w:hAnsi="Arial"/>
          <w:sz w:val="18"/>
          <w:szCs w:val="18"/>
          <w:color w:val="auto"/>
        </w:rPr>
      </w:pPr>
    </w:p>
    <w:p>
      <w:pPr>
        <w:ind w:left="900" w:hanging="325"/>
        <w:spacing w:after="0" w:line="266"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36" w:lineRule="exact"/>
        <w:rPr>
          <w:rFonts w:ascii="Arial" w:cs="Arial" w:eastAsia="Arial" w:hAnsi="Arial"/>
          <w:sz w:val="18"/>
          <w:szCs w:val="18"/>
          <w:color w:val="auto"/>
        </w:rPr>
      </w:pPr>
    </w:p>
    <w:p>
      <w:pPr>
        <w:jc w:val="both"/>
        <w:ind w:left="900" w:right="40" w:hanging="325"/>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59" w:lineRule="exact"/>
        <w:rPr>
          <w:rFonts w:ascii="Arial" w:cs="Arial" w:eastAsia="Arial" w:hAnsi="Arial"/>
          <w:sz w:val="16"/>
          <w:szCs w:val="16"/>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99"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36"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171"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The debt securities may be secured or unsecured obligations. Under the provisions of the 1940 Act, we are permitted, as a BDC, to issue debt only in amounts such that we are in compliance with our asset coverage, as defined in the 1940 Act, after each issuance of debt. Unless the prospectus supplement states otherwise, principal (and premium, if any) and interest, if any, will be paid by us in immediately available funds.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both"/>
        <w:ind w:right="620" w:firstLine="571"/>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00"/>
          </w:cols>
          <w:pgMar w:left="240" w:top="459" w:right="3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571"/>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32"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3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113" w:lineRule="exact"/>
        <w:rPr>
          <w:sz w:val="20"/>
          <w:szCs w:val="20"/>
          <w:color w:val="auto"/>
        </w:rPr>
      </w:pPr>
    </w:p>
    <w:p>
      <w:pPr>
        <w:ind w:right="240" w:firstLine="571"/>
        <w:spacing w:after="0" w:line="33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4"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59"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If any debt securities are convertible into shares of our common stock, the exercise price for such conversion will not be less than the net asset value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net asset value per share in the 12 months preceding the issuance and the exercise price closely approximates the market value of our common stock at the time the debt securities are issued).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96"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40" w:lineRule="exact"/>
        <w:rPr>
          <w:sz w:val="20"/>
          <w:szCs w:val="20"/>
          <w:color w:val="auto"/>
        </w:rPr>
      </w:pPr>
    </w:p>
    <w:p>
      <w:pPr>
        <w:ind w:right="180" w:firstLine="571"/>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90" w:lineRule="exact"/>
        <w:rPr>
          <w:sz w:val="20"/>
          <w:szCs w:val="20"/>
          <w:color w:val="auto"/>
        </w:rPr>
      </w:pPr>
    </w:p>
    <w:p>
      <w:pPr>
        <w:ind w:right="140" w:firstLine="571"/>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3"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85" w:lineRule="exact"/>
        <w:rPr>
          <w:sz w:val="20"/>
          <w:szCs w:val="20"/>
          <w:color w:val="auto"/>
        </w:rPr>
      </w:pPr>
    </w:p>
    <w:p>
      <w:pPr>
        <w:jc w:val="both"/>
        <w:ind w:right="40" w:firstLine="571"/>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90" w:lineRule="exact"/>
        <w:rPr>
          <w:sz w:val="20"/>
          <w:szCs w:val="20"/>
          <w:color w:val="auto"/>
        </w:rPr>
      </w:pPr>
    </w:p>
    <w:p>
      <w:pPr>
        <w:ind w:right="340" w:firstLine="571"/>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16" w:lineRule="exact"/>
        <w:rPr>
          <w:sz w:val="20"/>
          <w:szCs w:val="20"/>
          <w:color w:val="auto"/>
        </w:rPr>
      </w:pPr>
    </w:p>
    <w:p>
      <w:pPr>
        <w:ind w:right="360" w:firstLine="571"/>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76"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37"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20" w:firstLine="571"/>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900" w:right="62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37"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45"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37"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37" w:lineRule="exact"/>
        <w:rPr>
          <w:rFonts w:ascii="Arial" w:cs="Arial" w:eastAsia="Arial" w:hAnsi="Arial"/>
          <w:sz w:val="18"/>
          <w:szCs w:val="18"/>
          <w:color w:val="auto"/>
        </w:rPr>
      </w:pPr>
    </w:p>
    <w:p>
      <w:pPr>
        <w:ind w:left="900" w:right="40" w:hanging="325"/>
        <w:spacing w:after="0" w:line="306"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12"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37" w:lineRule="exact"/>
        <w:rPr>
          <w:rFonts w:ascii="Arial" w:cs="Arial" w:eastAsia="Arial" w:hAnsi="Arial"/>
          <w:sz w:val="18"/>
          <w:szCs w:val="18"/>
          <w:color w:val="auto"/>
        </w:rPr>
      </w:pPr>
    </w:p>
    <w:p>
      <w:pPr>
        <w:ind w:left="900" w:right="380" w:hanging="325"/>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45" w:lineRule="exact"/>
        <w:rPr>
          <w:rFonts w:ascii="Arial" w:cs="Arial" w:eastAsia="Arial" w:hAnsi="Arial"/>
          <w:sz w:val="18"/>
          <w:szCs w:val="18"/>
          <w:color w:val="auto"/>
        </w:rPr>
      </w:pPr>
    </w:p>
    <w:p>
      <w:pPr>
        <w:ind w:left="900" w:right="20" w:hanging="325"/>
        <w:spacing w:after="0" w:line="325"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1" w:lineRule="exact"/>
        <w:rPr>
          <w:rFonts w:ascii="Arial" w:cs="Arial" w:eastAsia="Arial" w:hAnsi="Arial"/>
          <w:sz w:val="16"/>
          <w:szCs w:val="16"/>
          <w:color w:val="auto"/>
        </w:rPr>
      </w:pPr>
    </w:p>
    <w:p>
      <w:pPr>
        <w:ind w:left="900" w:right="120" w:hanging="325"/>
        <w:spacing w:after="0" w:line="306"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900" w:right="180" w:hanging="325"/>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76"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213" w:lineRule="exact"/>
        <w:rPr>
          <w:sz w:val="20"/>
          <w:szCs w:val="20"/>
          <w:color w:val="auto"/>
        </w:rPr>
      </w:pPr>
    </w:p>
    <w:p>
      <w:pPr>
        <w:jc w:val="both"/>
        <w:ind w:firstLine="571"/>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90"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jc w:val="center"/>
        <w:ind w:left="500" w:right="320"/>
        <w:spacing w:after="0" w:line="440"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 104</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76" w:lineRule="exact"/>
        <w:rPr>
          <w:rFonts w:ascii="Arial" w:cs="Arial" w:eastAsia="Arial" w:hAnsi="Arial"/>
          <w:sz w:val="18"/>
          <w:szCs w:val="18"/>
          <w:color w:val="auto"/>
        </w:rPr>
      </w:pPr>
    </w:p>
    <w:p>
      <w:pPr>
        <w:ind w:left="900" w:right="120" w:hanging="325"/>
        <w:spacing w:after="0" w:line="325"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1" w:lineRule="exact"/>
        <w:rPr>
          <w:rFonts w:ascii="Arial" w:cs="Arial" w:eastAsia="Arial" w:hAnsi="Arial"/>
          <w:sz w:val="16"/>
          <w:szCs w:val="16"/>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171"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9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13"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Except in cases of default, where the trustee has certain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1"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76" w:lineRule="exact"/>
        <w:rPr>
          <w:rFonts w:ascii="Arial" w:cs="Arial" w:eastAsia="Arial" w:hAnsi="Arial"/>
          <w:sz w:val="18"/>
          <w:szCs w:val="18"/>
          <w:color w:val="auto"/>
        </w:rPr>
      </w:pPr>
    </w:p>
    <w:p>
      <w:pPr>
        <w:ind w:left="900" w:right="240" w:hanging="325"/>
        <w:spacing w:after="0" w:line="347" w:lineRule="auto"/>
        <w:tabs>
          <w:tab w:leader="none" w:pos="9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76"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360" w:firstLine="571"/>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jc w:val="both"/>
        <w:ind w:right="140" w:firstLine="571"/>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60"/>
          </w:cols>
          <w:pgMar w:left="240" w:top="459" w:right="2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96"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4" w:lineRule="exact"/>
        <w:rPr>
          <w:sz w:val="20"/>
          <w:szCs w:val="20"/>
          <w:color w:val="auto"/>
        </w:rPr>
      </w:pPr>
    </w:p>
    <w:p>
      <w:pPr>
        <w:ind w:left="900" w:right="620" w:hanging="325"/>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00" w:lineRule="exact"/>
        <w:rPr>
          <w:sz w:val="20"/>
          <w:szCs w:val="20"/>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99" w:lineRule="exact"/>
        <w:rPr>
          <w:rFonts w:ascii="Arial" w:cs="Arial" w:eastAsia="Arial" w:hAnsi="Arial"/>
          <w:sz w:val="16"/>
          <w:szCs w:val="16"/>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76"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37"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90"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77"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99" w:lineRule="exact"/>
        <w:rPr>
          <w:rFonts w:ascii="Arial" w:cs="Arial" w:eastAsia="Arial" w:hAnsi="Arial"/>
          <w:sz w:val="16"/>
          <w:szCs w:val="16"/>
          <w:color w:val="auto"/>
        </w:rPr>
      </w:pPr>
    </w:p>
    <w:p>
      <w:pPr>
        <w:ind w:left="900" w:right="400" w:hanging="325"/>
        <w:spacing w:after="0" w:line="332"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900" w:right="80" w:hanging="325"/>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37"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14" w:lineRule="exact"/>
        <w:rPr>
          <w:sz w:val="20"/>
          <w:szCs w:val="20"/>
          <w:color w:val="auto"/>
        </w:rPr>
      </w:pPr>
    </w:p>
    <w:p>
      <w:pPr>
        <w:ind w:right="220" w:firstLine="571"/>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ind w:left="900" w:right="100" w:hanging="325"/>
        <w:spacing w:after="0" w:line="259"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45"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400" w:firstLine="571"/>
        <w:spacing w:after="0" w:line="33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85" w:lineRule="exact"/>
        <w:rPr>
          <w:sz w:val="20"/>
          <w:szCs w:val="20"/>
          <w:color w:val="auto"/>
        </w:rPr>
      </w:pPr>
    </w:p>
    <w:p>
      <w:pPr>
        <w:ind w:right="260" w:firstLine="571"/>
        <w:spacing w:after="0" w:line="335" w:lineRule="auto"/>
        <w:rPr>
          <w:sz w:val="20"/>
          <w:szCs w:val="20"/>
          <w:color w:val="auto"/>
        </w:rPr>
      </w:pPr>
      <w:r>
        <w:rPr>
          <w:rFonts w:ascii="Arial" w:cs="Arial" w:eastAsia="Arial" w:hAnsi="Arial"/>
          <w:sz w:val="15"/>
          <w:szCs w:val="15"/>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540" w:firstLine="571"/>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ind w:left="900" w:right="140" w:hanging="325"/>
        <w:spacing w:after="0" w:line="259"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45" w:lineRule="exact"/>
        <w:rPr>
          <w:rFonts w:ascii="Arial" w:cs="Arial" w:eastAsia="Arial" w:hAnsi="Arial"/>
          <w:sz w:val="18"/>
          <w:szCs w:val="18"/>
          <w:color w:val="auto"/>
        </w:rPr>
      </w:pPr>
    </w:p>
    <w:p>
      <w:pPr>
        <w:ind w:left="900" w:right="40" w:hanging="325"/>
        <w:spacing w:after="0" w:line="318" w:lineRule="auto"/>
        <w:tabs>
          <w:tab w:leader="none" w:pos="9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5" w:lineRule="exact"/>
        <w:rPr>
          <w:rFonts w:ascii="Arial" w:cs="Arial" w:eastAsia="Arial" w:hAnsi="Arial"/>
          <w:sz w:val="15"/>
          <w:szCs w:val="15"/>
          <w:color w:val="auto"/>
        </w:rPr>
      </w:pPr>
    </w:p>
    <w:p>
      <w:pPr>
        <w:ind w:left="900" w:right="160" w:hanging="325"/>
        <w:spacing w:after="0" w:line="370" w:lineRule="auto"/>
        <w:tabs>
          <w:tab w:leader="none" w:pos="9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we must deliver to the trustee a legal opinion of our counsel stating that the above deposit does not require registration by us under the 1940 Act, as amended, and a legal opinion and officers’ certificate certifying compliance with all conditions precedent to defeasance have been complied with.</w:t>
      </w:r>
    </w:p>
    <w:p>
      <w:pPr>
        <w:spacing w:after="0" w:line="62"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 for more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77"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71" w:lineRule="exact"/>
        <w:rPr>
          <w:sz w:val="20"/>
          <w:szCs w:val="20"/>
          <w:color w:val="auto"/>
        </w:rPr>
      </w:pPr>
    </w:p>
    <w:p>
      <w:pPr>
        <w:ind w:right="820" w:firstLine="571"/>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40" w:firstLine="571"/>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jc w:val="both"/>
        <w:ind w:right="440" w:firstLine="571"/>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3"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60" w:firstLine="571"/>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96"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0"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900" w:right="360" w:hanging="325"/>
        <w:spacing w:after="0" w:line="256"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48"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300" w:firstLine="571"/>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intend to use American Stock Transfer &amp; Trust Company, LLC to serve as the trustee under the indenture.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jc w:val="both"/>
        <w:ind w:right="100" w:firstLine="571"/>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116"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540" w:firstLine="571"/>
        <w:spacing w:after="0" w:line="259"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59" w:lineRule="exact"/>
        <w:rPr>
          <w:sz w:val="20"/>
          <w:szCs w:val="20"/>
          <w:color w:val="auto"/>
        </w:rPr>
      </w:pPr>
    </w:p>
    <w:p>
      <w:pPr>
        <w:ind w:left="800" w:right="40" w:hanging="346"/>
        <w:spacing w:after="0" w:line="256" w:lineRule="auto"/>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48" w:lineRule="exact"/>
        <w:rPr>
          <w:rFonts w:ascii="Arial" w:cs="Arial" w:eastAsia="Arial" w:hAnsi="Arial"/>
          <w:sz w:val="18"/>
          <w:szCs w:val="18"/>
          <w:color w:val="auto"/>
        </w:rPr>
      </w:pPr>
    </w:p>
    <w:p>
      <w:pPr>
        <w:ind w:left="1700" w:hanging="328"/>
        <w:spacing w:after="0"/>
        <w:tabs>
          <w:tab w:leader="none" w:pos="17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76" w:lineRule="exact"/>
        <w:rPr>
          <w:rFonts w:ascii="Arial" w:cs="Arial" w:eastAsia="Arial" w:hAnsi="Arial"/>
          <w:sz w:val="18"/>
          <w:szCs w:val="18"/>
          <w:color w:val="auto"/>
        </w:rPr>
      </w:pPr>
    </w:p>
    <w:p>
      <w:pPr>
        <w:ind w:left="1700" w:right="120" w:hanging="328"/>
        <w:spacing w:after="0" w:line="325" w:lineRule="auto"/>
        <w:tabs>
          <w:tab w:leader="none" w:pos="1700" w:val="left"/>
        </w:tabs>
        <w:numPr>
          <w:ilvl w:val="1"/>
          <w:numId w:val="76"/>
        </w:numPr>
        <w:rPr>
          <w:rFonts w:ascii="Arial" w:cs="Arial" w:eastAsia="Arial" w:hAnsi="Arial"/>
          <w:sz w:val="16"/>
          <w:szCs w:val="16"/>
          <w:color w:val="auto"/>
        </w:rPr>
      </w:pPr>
      <w:r>
        <w:rPr>
          <w:rFonts w:ascii="Arial" w:cs="Arial" w:eastAsia="Arial" w:hAnsi="Arial"/>
          <w:sz w:val="16"/>
          <w:szCs w:val="16"/>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1" w:lineRule="exact"/>
        <w:rPr>
          <w:rFonts w:ascii="Arial" w:cs="Arial" w:eastAsia="Arial" w:hAnsi="Arial"/>
          <w:sz w:val="16"/>
          <w:szCs w:val="16"/>
          <w:color w:val="auto"/>
        </w:rPr>
      </w:pPr>
    </w:p>
    <w:p>
      <w:pPr>
        <w:ind w:left="1700" w:hanging="328"/>
        <w:spacing w:after="0"/>
        <w:tabs>
          <w:tab w:leader="none" w:pos="17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76" w:lineRule="exact"/>
        <w:rPr>
          <w:rFonts w:ascii="Arial" w:cs="Arial" w:eastAsia="Arial" w:hAnsi="Arial"/>
          <w:sz w:val="18"/>
          <w:szCs w:val="18"/>
          <w:color w:val="auto"/>
        </w:rPr>
      </w:pPr>
    </w:p>
    <w:p>
      <w:pPr>
        <w:ind w:left="2620" w:hanging="559"/>
        <w:spacing w:after="0"/>
        <w:tabs>
          <w:tab w:leader="none" w:pos="2620" w:val="left"/>
        </w:tabs>
        <w:numPr>
          <w:ilvl w:val="2"/>
          <w:numId w:val="76"/>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76" w:lineRule="exact"/>
        <w:rPr>
          <w:rFonts w:ascii="Arial" w:cs="Arial" w:eastAsia="Arial" w:hAnsi="Arial"/>
          <w:sz w:val="18"/>
          <w:szCs w:val="18"/>
          <w:color w:val="auto"/>
        </w:rPr>
      </w:pPr>
    </w:p>
    <w:p>
      <w:pPr>
        <w:ind w:left="2620" w:right="360" w:hanging="559"/>
        <w:spacing w:after="0" w:line="268" w:lineRule="auto"/>
        <w:tabs>
          <w:tab w:leader="none" w:pos="2620" w:val="left"/>
        </w:tabs>
        <w:numPr>
          <w:ilvl w:val="2"/>
          <w:numId w:val="76"/>
        </w:numPr>
        <w:rPr>
          <w:rFonts w:ascii="Arial" w:cs="Arial" w:eastAsia="Arial" w:hAnsi="Arial"/>
          <w:sz w:val="18"/>
          <w:szCs w:val="18"/>
          <w:color w:val="auto"/>
        </w:rPr>
      </w:pPr>
      <w:r>
        <w:rPr>
          <w:rFonts w:ascii="Arial" w:cs="Arial" w:eastAsia="Arial" w:hAnsi="Arial"/>
          <w:sz w:val="18"/>
          <w:szCs w:val="18"/>
          <w:color w:val="auto"/>
        </w:rPr>
        <w:t>has any class of securities listed on a national securities exchange subject to a maximum market capitalization of $250.0 million; or</w:t>
      </w:r>
    </w:p>
    <w:p>
      <w:pPr>
        <w:spacing w:after="0" w:line="37" w:lineRule="exact"/>
        <w:rPr>
          <w:rFonts w:ascii="Arial" w:cs="Arial" w:eastAsia="Arial" w:hAnsi="Arial"/>
          <w:sz w:val="18"/>
          <w:szCs w:val="18"/>
          <w:color w:val="auto"/>
        </w:rPr>
      </w:pPr>
    </w:p>
    <w:p>
      <w:pPr>
        <w:ind w:left="2620" w:right="500" w:hanging="559"/>
        <w:spacing w:after="0" w:line="306" w:lineRule="auto"/>
        <w:tabs>
          <w:tab w:leader="none" w:pos="2620" w:val="left"/>
        </w:tabs>
        <w:numPr>
          <w:ilvl w:val="2"/>
          <w:numId w:val="76"/>
        </w:numPr>
        <w:rPr>
          <w:rFonts w:ascii="Arial" w:cs="Arial" w:eastAsia="Arial" w:hAnsi="Arial"/>
          <w:sz w:val="16"/>
          <w:szCs w:val="16"/>
          <w:color w:val="auto"/>
        </w:rPr>
      </w:pPr>
      <w:r>
        <w:rPr>
          <w:rFonts w:ascii="Arial" w:cs="Arial" w:eastAsia="Arial" w:hAnsi="Arial"/>
          <w:sz w:val="16"/>
          <w:szCs w:val="16"/>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12" w:lineRule="exact"/>
        <w:rPr>
          <w:rFonts w:ascii="Arial" w:cs="Arial" w:eastAsia="Arial" w:hAnsi="Arial"/>
          <w:sz w:val="16"/>
          <w:szCs w:val="16"/>
          <w:color w:val="auto"/>
        </w:rPr>
      </w:pPr>
    </w:p>
    <w:p>
      <w:pPr>
        <w:ind w:left="800" w:hanging="346"/>
        <w:spacing w:after="0"/>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76" w:lineRule="exact"/>
        <w:rPr>
          <w:rFonts w:ascii="Arial" w:cs="Arial" w:eastAsia="Arial" w:hAnsi="Arial"/>
          <w:sz w:val="18"/>
          <w:szCs w:val="18"/>
          <w:color w:val="auto"/>
        </w:rPr>
      </w:pPr>
    </w:p>
    <w:p>
      <w:pPr>
        <w:ind w:left="800" w:right="260" w:hanging="346"/>
        <w:spacing w:after="0" w:line="306" w:lineRule="auto"/>
        <w:tabs>
          <w:tab w:leader="none" w:pos="8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2" w:lineRule="exact"/>
        <w:rPr>
          <w:rFonts w:ascii="Arial" w:cs="Arial" w:eastAsia="Arial" w:hAnsi="Arial"/>
          <w:sz w:val="16"/>
          <w:szCs w:val="16"/>
          <w:color w:val="auto"/>
        </w:rPr>
      </w:pPr>
    </w:p>
    <w:p>
      <w:pPr>
        <w:ind w:left="800" w:right="260" w:hanging="346"/>
        <w:spacing w:after="0" w:line="268" w:lineRule="auto"/>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37" w:lineRule="exact"/>
        <w:rPr>
          <w:rFonts w:ascii="Arial" w:cs="Arial" w:eastAsia="Arial" w:hAnsi="Arial"/>
          <w:sz w:val="18"/>
          <w:szCs w:val="18"/>
          <w:color w:val="auto"/>
        </w:rPr>
      </w:pPr>
    </w:p>
    <w:p>
      <w:pPr>
        <w:ind w:left="800" w:right="400" w:hanging="346"/>
        <w:spacing w:after="0" w:line="268" w:lineRule="auto"/>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may provide assistance to controlled affiliates.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60" w:firstLine="571"/>
        <w:spacing w:after="0" w:line="287" w:lineRule="auto"/>
        <w:rPr>
          <w:sz w:val="20"/>
          <w:szCs w:val="20"/>
          <w:color w:val="auto"/>
        </w:rPr>
      </w:pPr>
      <w:r>
        <w:rPr>
          <w:rFonts w:ascii="Arial" w:cs="Arial" w:eastAsia="Arial" w:hAnsi="Arial"/>
          <w:sz w:val="16"/>
          <w:szCs w:val="16"/>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may enter into repurchase agreement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40" w:firstLine="571"/>
        <w:spacing w:after="0" w:line="253"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asset coverage ratio. For a discussion of the risks associated with leverage, see “Risk Factors—Risks Relating to our Business and Structure—Regulations governing our operation as a BDC will affect our ability to, and the way in which we, raise additional capital” for more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96"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You may also obtain a copy of our joint code of ethics, after paying a duplicating fee, by electronic request at the following email address: </w:t>
      </w:r>
      <w:r>
        <w:rPr>
          <w:rFonts w:ascii="Arial" w:cs="Arial" w:eastAsia="Arial" w:hAnsi="Arial"/>
          <w:sz w:val="16"/>
          <w:szCs w:val="16"/>
          <w:i w:val="1"/>
          <w:iCs w:val="1"/>
          <w:u w:val="single" w:color="auto"/>
          <w:color w:val="auto"/>
        </w:rPr>
        <w:t>publicinfo@sec.gov</w:t>
      </w:r>
      <w:r>
        <w:rPr>
          <w:rFonts w:ascii="Arial" w:cs="Arial" w:eastAsia="Arial" w:hAnsi="Arial"/>
          <w:sz w:val="16"/>
          <w:szCs w:val="16"/>
          <w:color w:val="auto"/>
        </w:rPr>
        <w:t>, or by writing the SEC’s Public Reference Section, 100 F Street, N.E., Washington, D.C. 20549.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60" w:firstLine="571"/>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00" w:firstLine="571"/>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160" w:firstLine="571"/>
        <w:spacing w:after="0" w:line="303" w:lineRule="auto"/>
        <w:rPr>
          <w:sz w:val="20"/>
          <w:szCs w:val="20"/>
          <w:color w:val="auto"/>
        </w:rPr>
      </w:pPr>
      <w:r>
        <w:rPr>
          <w:rFonts w:ascii="Arial" w:cs="Arial" w:eastAsia="Arial" w:hAnsi="Arial"/>
          <w:sz w:val="15"/>
          <w:szCs w:val="15"/>
          <w:color w:val="auto"/>
        </w:rPr>
        <w:t>Our proxy voting decisions are made by the senior investment professionals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w:t>
      </w:r>
    </w:p>
    <w:p>
      <w:pPr>
        <w:spacing w:after="0" w:line="1" w:lineRule="exact"/>
        <w:rPr>
          <w:sz w:val="20"/>
          <w:szCs w:val="20"/>
          <w:color w:val="auto"/>
        </w:rPr>
      </w:pPr>
    </w:p>
    <w:p>
      <w:pPr>
        <w:ind w:right="440" w:firstLine="8"/>
        <w:spacing w:after="0" w:line="261" w:lineRule="auto"/>
        <w:tabs>
          <w:tab w:leader="none" w:pos="249" w:val="left"/>
        </w:tabs>
        <w:numPr>
          <w:ilvl w:val="0"/>
          <w:numId w:val="77"/>
        </w:numPr>
        <w:rPr>
          <w:rFonts w:ascii="Arial" w:cs="Arial" w:eastAsia="Arial" w:hAnsi="Arial"/>
          <w:sz w:val="18"/>
          <w:szCs w:val="18"/>
          <w:color w:val="auto"/>
        </w:rPr>
      </w:pPr>
      <w:r>
        <w:rPr>
          <w:rFonts w:ascii="Arial" w:cs="Arial" w:eastAsia="Arial" w:hAnsi="Arial"/>
          <w:sz w:val="18"/>
          <w:szCs w:val="18"/>
          <w:color w:val="auto"/>
        </w:rPr>
        <w:t>employees involved in the decision making process or vote administration are prohibited from revealing how we intend to vote on a proposal in order to reduce any attempted influence from interested parties.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20" w:firstLine="571"/>
        <w:spacing w:after="0" w:line="332" w:lineRule="auto"/>
        <w:rPr>
          <w:sz w:val="20"/>
          <w:szCs w:val="20"/>
          <w:color w:val="auto"/>
        </w:rPr>
      </w:pPr>
      <w:r>
        <w:rPr>
          <w:rFonts w:ascii="Arial" w:cs="Arial" w:eastAsia="Arial" w:hAnsi="Arial"/>
          <w:sz w:val="16"/>
          <w:szCs w:val="16"/>
          <w:color w:val="auto"/>
        </w:rPr>
        <w:t>You may obtain information about how we voted proxies, free of charge, by calling us collect at (212) 905-1000 or by making a written request for proxy voting information to: Aviv Efrat, Chief Financial Officer and Treasurer,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96"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200" w:firstLine="571"/>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40"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 xml:space="preserve">Our privacy protection policies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 addition, the privacy policy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filed as an exhibit to our annual report on Form 10-K (File No. 814-00891 filed on November 17, 2011). You may also obtain copies of our privacy policy, after paying a duplicating fee, by electronic request at the following email address: </w:t>
      </w:r>
      <w:r>
        <w:rPr>
          <w:rFonts w:ascii="Arial" w:cs="Arial" w:eastAsia="Arial" w:hAnsi="Arial"/>
          <w:sz w:val="16"/>
          <w:szCs w:val="16"/>
          <w:i w:val="1"/>
          <w:iCs w:val="1"/>
          <w:u w:val="single" w:color="auto"/>
          <w:color w:val="auto"/>
        </w:rPr>
        <w:t>publicinfo@sec.gov</w:t>
      </w:r>
      <w:r>
        <w:rPr>
          <w:rFonts w:ascii="Arial" w:cs="Arial" w:eastAsia="Arial" w:hAnsi="Arial"/>
          <w:sz w:val="16"/>
          <w:szCs w:val="16"/>
          <w:color w:val="auto"/>
        </w:rPr>
        <w:t>, or by writing the SEC’s Public Reference Section, 100 F Street, N.E., Washington, D.C. 20549.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00" w:firstLine="571"/>
        <w:spacing w:after="0" w:line="332" w:lineRule="auto"/>
        <w:rPr>
          <w:sz w:val="20"/>
          <w:szCs w:val="20"/>
          <w:color w:val="auto"/>
        </w:rPr>
      </w:pPr>
      <w:r>
        <w:rPr>
          <w:rFonts w:ascii="Arial" w:cs="Arial" w:eastAsia="Arial" w:hAnsi="Arial"/>
          <w:sz w:val="16"/>
          <w:szCs w:val="16"/>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71" w:lineRule="exact"/>
        <w:rPr>
          <w:sz w:val="20"/>
          <w:szCs w:val="20"/>
          <w:color w:val="auto"/>
        </w:rPr>
      </w:pPr>
    </w:p>
    <w:p>
      <w:pPr>
        <w:jc w:val="both"/>
        <w:ind w:right="40" w:firstLine="571"/>
        <w:spacing w:after="0" w:line="306" w:lineRule="auto"/>
        <w:rPr>
          <w:sz w:val="20"/>
          <w:szCs w:val="20"/>
          <w:color w:val="auto"/>
        </w:rPr>
      </w:pPr>
      <w:r>
        <w:rPr>
          <w:rFonts w:ascii="Arial" w:cs="Arial" w:eastAsia="Arial" w:hAnsi="Arial"/>
          <w:sz w:val="16"/>
          <w:szCs w:val="16"/>
          <w:color w:val="auto"/>
        </w:rPr>
        <w:t>We are required by law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07"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Sarbanes-Oxley Act imposes several regulatory requirements on publicly held companies and their insiders. Many of these requirements affect us.</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example:</w:t>
      </w:r>
    </w:p>
    <w:p>
      <w:pPr>
        <w:spacing w:after="0" w:line="90" w:lineRule="exact"/>
        <w:rPr>
          <w:sz w:val="20"/>
          <w:szCs w:val="20"/>
          <w:color w:val="auto"/>
        </w:rPr>
      </w:pPr>
    </w:p>
    <w:p>
      <w:pPr>
        <w:ind w:left="900" w:right="360" w:hanging="325"/>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37"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37"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and</w:t>
      </w:r>
    </w:p>
    <w:p>
      <w:pPr>
        <w:spacing w:after="0" w:line="37"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88" w:lineRule="exact"/>
        <w:rPr>
          <w:sz w:val="20"/>
          <w:szCs w:val="20"/>
          <w:color w:val="auto"/>
        </w:rPr>
      </w:pPr>
    </w:p>
    <w:p>
      <w:pPr>
        <w:jc w:val="both"/>
        <w:ind w:right="40" w:firstLine="571"/>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us,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60"/>
          </w:cols>
          <w:pgMar w:left="240" w:top="459" w:right="2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right="40" w:firstLine="571"/>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or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77"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76"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37" w:lineRule="exact"/>
        <w:rPr>
          <w:rFonts w:ascii="Arial" w:cs="Arial" w:eastAsia="Arial" w:hAnsi="Arial"/>
          <w:sz w:val="18"/>
          <w:szCs w:val="18"/>
          <w:color w:val="auto"/>
        </w:rPr>
      </w:pPr>
    </w:p>
    <w:p>
      <w:pPr>
        <w:ind w:left="900" w:right="20" w:hanging="325"/>
        <w:spacing w:after="0" w:line="347" w:lineRule="auto"/>
        <w:tabs>
          <w:tab w:leader="none" w:pos="9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171" w:lineRule="exact"/>
        <w:rPr>
          <w:sz w:val="20"/>
          <w:szCs w:val="20"/>
          <w:color w:val="auto"/>
        </w:rPr>
      </w:pPr>
    </w:p>
    <w:p>
      <w:pPr>
        <w:ind w:right="560" w:firstLine="571"/>
        <w:spacing w:after="0" w:line="268"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32"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Treated as a RIC</w:t>
      </w:r>
    </w:p>
    <w:p>
      <w:pPr>
        <w:spacing w:after="0" w:line="96"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income to our stockholders of an amount generally at least equal to 90% of the sum of our ordinary income and realized net short-term capital gains in excess of realized net long-term capital losses, or investment company taxable income, and determined without regard to any deduction for dividends paid, out of the assets legally available for distribution, or the Annual Distribution Requirement.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77"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76" w:lineRule="exact"/>
        <w:rPr>
          <w:rFonts w:ascii="Arial" w:cs="Arial" w:eastAsia="Arial" w:hAnsi="Arial"/>
          <w:sz w:val="18"/>
          <w:szCs w:val="18"/>
          <w:color w:val="auto"/>
        </w:rPr>
      </w:pPr>
    </w:p>
    <w:p>
      <w:pPr>
        <w:ind w:left="900" w:right="240" w:hanging="325"/>
        <w:spacing w:after="0" w:line="259"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45"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76" w:lineRule="exact"/>
        <w:rPr>
          <w:rFonts w:ascii="Arial" w:cs="Arial" w:eastAsia="Arial" w:hAnsi="Arial"/>
          <w:sz w:val="18"/>
          <w:szCs w:val="18"/>
          <w:color w:val="auto"/>
        </w:rPr>
      </w:pPr>
    </w:p>
    <w:p>
      <w:pPr>
        <w:ind w:left="1700" w:right="120" w:hanging="328"/>
        <w:spacing w:after="0" w:line="259" w:lineRule="auto"/>
        <w:tabs>
          <w:tab w:leader="none" w:pos="17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45" w:lineRule="exact"/>
        <w:rPr>
          <w:rFonts w:ascii="Arial" w:cs="Arial" w:eastAsia="Arial" w:hAnsi="Arial"/>
          <w:sz w:val="18"/>
          <w:szCs w:val="18"/>
          <w:color w:val="auto"/>
        </w:rPr>
      </w:pPr>
    </w:p>
    <w:p>
      <w:pPr>
        <w:ind w:left="1700" w:right="160" w:hanging="328"/>
        <w:spacing w:after="0" w:line="306" w:lineRule="auto"/>
        <w:tabs>
          <w:tab w:leader="none" w:pos="1700" w:val="left"/>
        </w:tabs>
        <w:numPr>
          <w:ilvl w:val="1"/>
          <w:numId w:val="80"/>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07"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Although not required for us to maintain our RIC tax status, in order to preclude the imposition of a 4% nondeductible federal excise tax imposed on RICs, we must distribute in respect of each calendar year dividends to our stockholders of an amount at least equal to the sum of (1) 98% of our net ordinary income (subject to certain deferrals and elections) for the calendar year, (2) 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and on which we paid no federal income tax,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may retain and be subject to excise tax on such net capital gains or investment company taxable income, subject to maintaining our ability to be treated as a RIC for federal income tax purposes, in order to provide us with additional liquidity.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96" w:lineRule="exact"/>
        <w:rPr>
          <w:sz w:val="20"/>
          <w:szCs w:val="20"/>
          <w:color w:val="auto"/>
        </w:rPr>
      </w:pPr>
    </w:p>
    <w:p>
      <w:pPr>
        <w:ind w:right="120" w:firstLine="571"/>
        <w:spacing w:after="0" w:line="294" w:lineRule="auto"/>
        <w:rPr>
          <w:sz w:val="20"/>
          <w:szCs w:val="20"/>
          <w:color w:val="auto"/>
        </w:rPr>
      </w:pPr>
      <w:r>
        <w:rPr>
          <w:rFonts w:ascii="Arial" w:cs="Arial" w:eastAsia="Arial" w:hAnsi="Arial"/>
          <w:sz w:val="16"/>
          <w:szCs w:val="16"/>
          <w:color w:val="auto"/>
        </w:rPr>
        <w:t>If we qualify as a RIC, and satisfy the Annual Distribution Requirement, then we will not be subject to federal income tax on the portion of our investment company taxable income and net capital gains, we distribute (or are deemed to have distributed)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116"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44"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treated as a RIC for federal income tax purposes.</w:t>
      </w:r>
    </w:p>
    <w:p>
      <w:pPr>
        <w:spacing w:after="0" w:line="116" w:lineRule="exact"/>
        <w:rPr>
          <w:sz w:val="20"/>
          <w:szCs w:val="20"/>
          <w:color w:val="auto"/>
        </w:rPr>
      </w:pPr>
    </w:p>
    <w:p>
      <w:pPr>
        <w:ind w:right="40" w:firstLine="571"/>
        <w:spacing w:after="0" w:line="332" w:lineRule="auto"/>
        <w:rPr>
          <w:sz w:val="20"/>
          <w:szCs w:val="20"/>
          <w:color w:val="auto"/>
        </w:rPr>
      </w:pPr>
      <w:r>
        <w:rPr>
          <w:rFonts w:ascii="Arial" w:cs="Arial" w:eastAsia="Arial" w:hAnsi="Arial"/>
          <w:sz w:val="16"/>
          <w:szCs w:val="16"/>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303" w:lineRule="auto"/>
        <w:rPr>
          <w:sz w:val="20"/>
          <w:szCs w:val="20"/>
          <w:color w:val="auto"/>
        </w:rPr>
      </w:pPr>
      <w:r>
        <w:rPr>
          <w:rFonts w:ascii="Arial" w:cs="Arial" w:eastAsia="Arial" w:hAnsi="Arial"/>
          <w:sz w:val="15"/>
          <w:szCs w:val="15"/>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w:t>
      </w:r>
    </w:p>
    <w:p>
      <w:pPr>
        <w:spacing w:after="0" w:line="1" w:lineRule="exact"/>
        <w:rPr>
          <w:sz w:val="20"/>
          <w:szCs w:val="20"/>
          <w:color w:val="auto"/>
        </w:rPr>
      </w:pPr>
    </w:p>
    <w:p>
      <w:pPr>
        <w:jc w:val="both"/>
        <w:ind w:right="120" w:firstLine="8"/>
        <w:spacing w:after="0" w:line="255" w:lineRule="auto"/>
        <w:tabs>
          <w:tab w:leader="none" w:pos="249"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44"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generally would be taxable income to a stockholder even though only a small portion of the dividend was paid in cash to pay any taxes due on the total dividend. We have not yet elected to distribute stock as a dividend but reserve the right to do so.</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143"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27" w:lineRule="exact"/>
        <w:rPr>
          <w:sz w:val="20"/>
          <w:szCs w:val="20"/>
          <w:color w:val="auto"/>
        </w:rPr>
      </w:pPr>
    </w:p>
    <w:p>
      <w:pPr>
        <w:ind w:right="2140" w:firstLine="571"/>
        <w:spacing w:after="0" w:line="391" w:lineRule="auto"/>
        <w:rPr>
          <w:sz w:val="20"/>
          <w:szCs w:val="20"/>
          <w:color w:val="auto"/>
        </w:rPr>
      </w:pPr>
      <w:r>
        <w:rPr>
          <w:rFonts w:ascii="Arial" w:cs="Arial" w:eastAsia="Arial" w:hAnsi="Arial"/>
          <w:sz w:val="18"/>
          <w:szCs w:val="18"/>
          <w:color w:val="auto"/>
        </w:rPr>
        <w:t xml:space="preserve">The remainder of this discussion assumes that we qualify as a RIC and have satisfied the Annual Distribution Requirement. </w:t>
      </w:r>
      <w:r>
        <w:rPr>
          <w:rFonts w:ascii="Arial" w:cs="Arial" w:eastAsia="Arial" w:hAnsi="Arial"/>
          <w:sz w:val="18"/>
          <w:szCs w:val="18"/>
          <w:b w:val="1"/>
          <w:bCs w:val="1"/>
          <w:color w:val="auto"/>
        </w:rPr>
        <w:t>Taxation of U.S. Stockholders</w:t>
      </w:r>
    </w:p>
    <w:p>
      <w:pPr>
        <w:spacing w:after="0" w:line="1"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Distributions by us, including distributions pursuant to a dividend reinvestment plan or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tax rate,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designated by us as “capital gain dividends”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571"/>
        <w:spacing w:after="0" w:line="286" w:lineRule="auto"/>
        <w:rPr>
          <w:sz w:val="20"/>
          <w:szCs w:val="20"/>
          <w:color w:val="auto"/>
        </w:rPr>
      </w:pPr>
      <w:r>
        <w:rPr>
          <w:rFonts w:ascii="Arial" w:cs="Arial" w:eastAsia="Arial" w:hAnsi="Arial"/>
          <w:sz w:val="16"/>
          <w:szCs w:val="16"/>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 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 and since that rate is generally in excess of the maximum rate currently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1"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20" w:lineRule="exact"/>
        <w:rPr>
          <w:sz w:val="20"/>
          <w:szCs w:val="20"/>
          <w:color w:val="auto"/>
        </w:rPr>
      </w:pPr>
    </w:p>
    <w:p>
      <w:pPr>
        <w:ind w:right="220" w:firstLine="571"/>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18"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18"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43"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20"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571"/>
        <w:spacing w:after="0" w:line="286" w:lineRule="auto"/>
        <w:rPr>
          <w:sz w:val="20"/>
          <w:szCs w:val="20"/>
          <w:color w:val="auto"/>
        </w:rPr>
      </w:pPr>
      <w:r>
        <w:rPr>
          <w:rFonts w:ascii="Arial" w:cs="Arial" w:eastAsia="Arial" w:hAnsi="Arial"/>
          <w:sz w:val="16"/>
          <w:szCs w:val="16"/>
          <w:color w:val="auto"/>
        </w:rPr>
        <w:t>A U.S. stockholder (other than an “exempt recipient,” including a “C” corporation and certain other persons who, when required, demonstrate their exempt status) may be subject to federal income tax withholding (“backup withholding”) at a rate of 28% from all taxable distributions to any U.S. stockholder</w:t>
      </w:r>
    </w:p>
    <w:p>
      <w:pPr>
        <w:ind w:right="40" w:firstLine="8"/>
        <w:spacing w:after="0" w:line="292" w:lineRule="auto"/>
        <w:tabs>
          <w:tab w:leader="none" w:pos="249" w:val="left"/>
        </w:tabs>
        <w:numPr>
          <w:ilvl w:val="0"/>
          <w:numId w:val="82"/>
        </w:numPr>
        <w:rPr>
          <w:rFonts w:ascii="Arial" w:cs="Arial" w:eastAsia="Arial" w:hAnsi="Arial"/>
          <w:sz w:val="16"/>
          <w:szCs w:val="16"/>
          <w:color w:val="auto"/>
        </w:rPr>
      </w:pPr>
      <w:r>
        <w:rPr>
          <w:rFonts w:ascii="Arial" w:cs="Arial" w:eastAsia="Arial" w:hAnsi="Arial"/>
          <w:sz w:val="16"/>
          <w:szCs w:val="16"/>
          <w:color w:val="auto"/>
        </w:rPr>
        <w:t>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Subject to the discussions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18"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In addition, with respect to certain distributions made by RICs to Non-U.S. Stockholders, no withholding is required and the distributions generally are not subject to U.S. federal income tax if (i) the distributions are properly designated in a notice timely delivered to our stockholders as “interest-related dividends” or “short-term capital gain dividends,” (ii) the distributions are derived from sources specified in the Code for such dividends and (iii) certain other requirements are satisfied. Nevertheless, it should be noted that in the case of shares of our 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20"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44"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We are required to withhold U.S. tax (at a 30% rate) on payments of taxable dividends and (effective January 1, 2019) redemption proceeds and certain capital gain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20" w:lineRule="exact"/>
        <w:rPr>
          <w:sz w:val="20"/>
          <w:szCs w:val="20"/>
          <w:color w:val="auto"/>
        </w:rPr>
      </w:pPr>
    </w:p>
    <w:p>
      <w:pPr>
        <w:ind w:right="140" w:firstLine="571"/>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IRS Form W-8BEN-E, or an acceptable substitute form, or otherwise meets documentary evidence requirements for establishing that it is a Non-U.S. stockholder or otherwise establishes an exemption from backup withholding.</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171"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900" w:hanging="325"/>
        <w:spacing w:after="0"/>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name or names of any underwriters, dealers or agents and the amounts of securities underwritten or purchased by each of them;</w:t>
      </w:r>
    </w:p>
    <w:p>
      <w:pPr>
        <w:spacing w:after="0" w:line="99" w:lineRule="exact"/>
        <w:rPr>
          <w:rFonts w:ascii="Arial" w:cs="Arial" w:eastAsia="Arial" w:hAnsi="Arial"/>
          <w:sz w:val="16"/>
          <w:szCs w:val="16"/>
          <w:color w:val="auto"/>
        </w:rPr>
      </w:pPr>
    </w:p>
    <w:p>
      <w:pPr>
        <w:ind w:left="900" w:hanging="325"/>
        <w:spacing w:after="0"/>
        <w:tabs>
          <w:tab w:leader="none" w:pos="9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offering price of the securities and the proceeds to us and any discounts, commissions or concessions allowed or reallowed or paid to dealers; and</w:t>
      </w:r>
    </w:p>
    <w:p>
      <w:pPr>
        <w:spacing w:after="0" w:line="111" w:lineRule="exact"/>
        <w:rPr>
          <w:rFonts w:ascii="Arial" w:cs="Arial" w:eastAsia="Arial" w:hAnsi="Arial"/>
          <w:sz w:val="15"/>
          <w:szCs w:val="15"/>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40" w:lineRule="exact"/>
        <w:rPr>
          <w:sz w:val="20"/>
          <w:szCs w:val="20"/>
          <w:color w:val="auto"/>
        </w:rPr>
      </w:pPr>
    </w:p>
    <w:p>
      <w:pPr>
        <w:ind w:right="60" w:firstLine="571"/>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40" w:lineRule="exact"/>
        <w:rPr>
          <w:sz w:val="20"/>
          <w:szCs w:val="20"/>
          <w:color w:val="auto"/>
        </w:rPr>
      </w:pPr>
    </w:p>
    <w:p>
      <w:pPr>
        <w:ind w:right="20" w:firstLine="571"/>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 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18"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177"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225 Liberty Street, New York, NY 10286. American Stock Transfer &amp; Trust Company, LLC acts as our transfer agent, distribution paying agent and registrar. The principal business address of American Stock Transfer &amp; Trust Company, LLC is 6201 15</w:t>
      </w:r>
      <w:r>
        <w:rPr>
          <w:rFonts w:ascii="Arial" w:cs="Arial" w:eastAsia="Arial" w:hAnsi="Arial"/>
          <w:sz w:val="11"/>
          <w:szCs w:val="11"/>
          <w:color w:val="auto"/>
        </w:rPr>
        <w:t>th</w:t>
      </w:r>
      <w:r>
        <w:rPr>
          <w:rFonts w:ascii="Arial" w:cs="Arial" w:eastAsia="Arial" w:hAnsi="Arial"/>
          <w:sz w:val="18"/>
          <w:szCs w:val="18"/>
          <w:color w:val="auto"/>
        </w:rPr>
        <w:t xml:space="preserve"> Avenue, 3</w:t>
      </w:r>
      <w:r>
        <w:rPr>
          <w:rFonts w:ascii="Arial" w:cs="Arial" w:eastAsia="Arial" w:hAnsi="Arial"/>
          <w:sz w:val="11"/>
          <w:szCs w:val="11"/>
          <w:color w:val="auto"/>
        </w:rPr>
        <w:t>rd</w:t>
      </w:r>
      <w:r>
        <w:rPr>
          <w:rFonts w:ascii="Arial" w:cs="Arial" w:eastAsia="Arial" w:hAnsi="Arial"/>
          <w:sz w:val="18"/>
          <w:szCs w:val="18"/>
          <w:color w:val="auto"/>
        </w:rPr>
        <w:t xml:space="preserve"> floor, Brooklyn, NY 11219, telephone number: (800) 937-5449. American Stock Transfer &amp; Trust Company, LLC may also serve as trustee for offerings of our debt securities.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300" w:firstLine="571"/>
        <w:spacing w:after="0" w:line="268" w:lineRule="auto"/>
        <w:rPr>
          <w:sz w:val="20"/>
          <w:szCs w:val="20"/>
          <w:color w:val="auto"/>
        </w:rPr>
      </w:pPr>
      <w:r>
        <w:rPr>
          <w:rFonts w:ascii="Arial" w:cs="Arial" w:eastAsia="Arial" w:hAnsi="Arial"/>
          <w:sz w:val="18"/>
          <w:szCs w:val="18"/>
          <w:color w:val="auto"/>
        </w:rPr>
        <w:t>Certain legal matters regarding the securities offered by this prospectus will be passed upon for us by Dechert LLP, Washington, D.C., and by Venable LLP, as special Maryland counsel.</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Our current independent registered public accounting firm, RSM US LLP, located at 1185 Avenue of the Americas, New York, NY 10036, has audited our financial statements as of September 30, 2016 and 2015.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96"/>
        </w:trPr>
        <w:tc>
          <w:tcPr>
            <w:tcW w:w="49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27">
              <w:r>
                <w:rPr>
                  <w:rFonts w:ascii="Arial" w:cs="Arial" w:eastAsia="Arial" w:hAnsi="Arial"/>
                  <w:sz w:val="18"/>
                  <w:szCs w:val="18"/>
                  <w:color w:val="0000EE"/>
                  <w:w w:val="91"/>
                </w:rPr>
                <w:t>Management’s Report on Internal Control Over Financial Reporting</w:t>
              </w:r>
            </w:hyperlink>
          </w:p>
        </w:tc>
        <w:tc>
          <w:tcPr>
            <w:tcW w:w="4440" w:type="dxa"/>
            <w:vAlign w:val="bottom"/>
            <w:gridSpan w:val="7"/>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F-2</w:t>
            </w:r>
          </w:p>
        </w:tc>
        <w:tc>
          <w:tcPr>
            <w:tcW w:w="0" w:type="dxa"/>
            <w:vAlign w:val="bottom"/>
          </w:tcPr>
          <w:p>
            <w:pPr>
              <w:spacing w:after="0"/>
              <w:rPr>
                <w:sz w:val="1"/>
                <w:szCs w:val="1"/>
                <w:color w:val="auto"/>
              </w:rPr>
            </w:pPr>
          </w:p>
        </w:tc>
      </w:tr>
      <w:tr>
        <w:trPr>
          <w:trHeight w:val="264"/>
        </w:trPr>
        <w:tc>
          <w:tcPr>
            <w:tcW w:w="9360" w:type="dxa"/>
            <w:vAlign w:val="bottom"/>
            <w:gridSpan w:val="10"/>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Report of Independent Registered Public Accounting Firm</w:t>
              </w:r>
            </w:hyperlink>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F-3</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F-4</w:t>
            </w:r>
          </w:p>
        </w:tc>
        <w:tc>
          <w:tcPr>
            <w:tcW w:w="0" w:type="dxa"/>
            <w:vAlign w:val="bottom"/>
          </w:tcPr>
          <w:p>
            <w:pPr>
              <w:spacing w:after="0" w:line="20" w:lineRule="exact"/>
              <w:rPr>
                <w:sz w:val="1"/>
                <w:szCs w:val="1"/>
                <w:color w:val="auto"/>
              </w:rPr>
            </w:pPr>
          </w:p>
        </w:tc>
      </w:tr>
      <w:tr>
        <w:trPr>
          <w:trHeight w:val="264"/>
        </w:trPr>
        <w:tc>
          <w:tcPr>
            <w:tcW w:w="76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129">
              <w:r>
                <w:rPr>
                  <w:rFonts w:ascii="Arial" w:cs="Arial" w:eastAsia="Arial" w:hAnsi="Arial"/>
                  <w:sz w:val="18"/>
                  <w:szCs w:val="18"/>
                  <w:color w:val="0000EE"/>
                  <w:w w:val="92"/>
                </w:rPr>
                <w:t>Report of Independent Registered Public Accounting Firm On Internal Control Over Financial Reportincg</w:t>
              </w:r>
            </w:hyperlink>
          </w:p>
        </w:tc>
        <w:tc>
          <w:tcPr>
            <w:tcW w:w="1700" w:type="dxa"/>
            <w:vAlign w:val="bottom"/>
            <w:gridSpan w:val="2"/>
          </w:tcPr>
          <w:p>
            <w:pPr>
              <w:spacing w:after="0"/>
              <w:rPr>
                <w:sz w:val="22"/>
                <w:szCs w:val="22"/>
                <w:color w:val="auto"/>
              </w:rPr>
            </w:pPr>
          </w:p>
        </w:tc>
        <w:tc>
          <w:tcPr>
            <w:tcW w:w="1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2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130">
              <w:r>
                <w:rPr>
                  <w:rFonts w:ascii="Arial" w:cs="Arial" w:eastAsia="Arial" w:hAnsi="Arial"/>
                  <w:sz w:val="18"/>
                  <w:szCs w:val="18"/>
                  <w:color w:val="0000EE"/>
                  <w:w w:val="90"/>
                </w:rPr>
                <w:t>Consolidated Statements of Assets and Liabilities as of September 30, 2016 and 2015</w:t>
              </w:r>
            </w:hyperlink>
          </w:p>
        </w:tc>
        <w:tc>
          <w:tcPr>
            <w:tcW w:w="3140" w:type="dxa"/>
            <w:vAlign w:val="bottom"/>
            <w:gridSpan w:val="5"/>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F-5</w:t>
            </w:r>
          </w:p>
        </w:tc>
        <w:tc>
          <w:tcPr>
            <w:tcW w:w="0" w:type="dxa"/>
            <w:vAlign w:val="bottom"/>
          </w:tcPr>
          <w:p>
            <w:pPr>
              <w:spacing w:after="0"/>
              <w:rPr>
                <w:sz w:val="1"/>
                <w:szCs w:val="1"/>
                <w:color w:val="auto"/>
              </w:rPr>
            </w:pPr>
          </w:p>
        </w:tc>
      </w:tr>
      <w:tr>
        <w:trPr>
          <w:trHeight w:val="264"/>
        </w:trPr>
        <w:tc>
          <w:tcPr>
            <w:tcW w:w="69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31">
              <w:r>
                <w:rPr>
                  <w:rFonts w:ascii="Arial" w:cs="Arial" w:eastAsia="Arial" w:hAnsi="Arial"/>
                  <w:sz w:val="18"/>
                  <w:szCs w:val="18"/>
                  <w:color w:val="0000EE"/>
                  <w:w w:val="89"/>
                </w:rPr>
                <w:t>Consolidated Statements of Operations for the years ended September 30, 2016, 2015 and 2014</w:t>
              </w:r>
            </w:hyperlink>
          </w:p>
        </w:tc>
        <w:tc>
          <w:tcPr>
            <w:tcW w:w="2420" w:type="dxa"/>
            <w:vAlign w:val="bottom"/>
            <w:gridSpan w:val="4"/>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F-6</w:t>
            </w:r>
          </w:p>
        </w:tc>
        <w:tc>
          <w:tcPr>
            <w:tcW w:w="0" w:type="dxa"/>
            <w:vAlign w:val="bottom"/>
          </w:tcPr>
          <w:p>
            <w:pPr>
              <w:spacing w:after="0"/>
              <w:rPr>
                <w:sz w:val="1"/>
                <w:szCs w:val="1"/>
                <w:color w:val="auto"/>
              </w:rPr>
            </w:pPr>
          </w:p>
        </w:tc>
      </w:tr>
      <w:tr>
        <w:trPr>
          <w:trHeight w:val="264"/>
        </w:trPr>
        <w:tc>
          <w:tcPr>
            <w:tcW w:w="9360" w:type="dxa"/>
            <w:vAlign w:val="bottom"/>
            <w:gridSpan w:val="10"/>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Consolidated Statements of Changes in Net Assets for the years ended September 30, 2016, 2015 and 2014</w:t>
              </w:r>
            </w:hyperlink>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F-7</w:t>
            </w:r>
          </w:p>
        </w:tc>
        <w:tc>
          <w:tcPr>
            <w:tcW w:w="0" w:type="dxa"/>
            <w:vAlign w:val="bottom"/>
          </w:tcPr>
          <w:p>
            <w:pPr>
              <w:spacing w:after="0"/>
              <w:rPr>
                <w:sz w:val="1"/>
                <w:szCs w:val="1"/>
                <w:color w:val="auto"/>
              </w:rPr>
            </w:pPr>
          </w:p>
        </w:tc>
      </w:tr>
      <w:tr>
        <w:trPr>
          <w:trHeight w:val="264"/>
        </w:trPr>
        <w:tc>
          <w:tcPr>
            <w:tcW w:w="70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133">
              <w:r>
                <w:rPr>
                  <w:rFonts w:ascii="Arial" w:cs="Arial" w:eastAsia="Arial" w:hAnsi="Arial"/>
                  <w:sz w:val="18"/>
                  <w:szCs w:val="18"/>
                  <w:color w:val="0000EE"/>
                  <w:w w:val="89"/>
                </w:rPr>
                <w:t>Consolidated Statements of Cash Flows for the years ended September 30, 2016, 2015 and 2014</w:t>
              </w:r>
            </w:hyperlink>
          </w:p>
        </w:tc>
        <w:tc>
          <w:tcPr>
            <w:tcW w:w="720" w:type="dxa"/>
            <w:vAlign w:val="bottom"/>
            <w:tcBorders>
              <w:top w:val="single" w:sz="8" w:color="0000EE"/>
            </w:tcBorders>
            <w:gridSpan w:val="2"/>
          </w:tcPr>
          <w:p>
            <w:pPr>
              <w:spacing w:after="0"/>
              <w:rPr>
                <w:sz w:val="22"/>
                <w:szCs w:val="22"/>
                <w:color w:val="auto"/>
              </w:rPr>
            </w:pPr>
          </w:p>
        </w:tc>
        <w:tc>
          <w:tcPr>
            <w:tcW w:w="164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F-8</w:t>
            </w:r>
          </w:p>
        </w:tc>
        <w:tc>
          <w:tcPr>
            <w:tcW w:w="0" w:type="dxa"/>
            <w:vAlign w:val="bottom"/>
          </w:tcPr>
          <w:p>
            <w:pPr>
              <w:spacing w:after="0"/>
              <w:rPr>
                <w:sz w:val="1"/>
                <w:szCs w:val="1"/>
                <w:color w:val="auto"/>
              </w:rPr>
            </w:pPr>
          </w:p>
        </w:tc>
      </w:tr>
      <w:tr>
        <w:trPr>
          <w:trHeight w:val="264"/>
        </w:trPr>
        <w:tc>
          <w:tcPr>
            <w:tcW w:w="54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34">
              <w:r>
                <w:rPr>
                  <w:rFonts w:ascii="Arial" w:cs="Arial" w:eastAsia="Arial" w:hAnsi="Arial"/>
                  <w:sz w:val="18"/>
                  <w:szCs w:val="18"/>
                  <w:color w:val="0000EE"/>
                  <w:w w:val="89"/>
                </w:rPr>
                <w:t>Consolidated Schedules of Investments as of September 30, 2016 and 2015</w:t>
              </w:r>
            </w:hyperlink>
          </w:p>
        </w:tc>
        <w:tc>
          <w:tcPr>
            <w:tcW w:w="3880" w:type="dxa"/>
            <w:vAlign w:val="bottom"/>
            <w:gridSpan w:val="6"/>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F-9</w:t>
            </w:r>
          </w:p>
        </w:tc>
        <w:tc>
          <w:tcPr>
            <w:tcW w:w="0" w:type="dxa"/>
            <w:vAlign w:val="bottom"/>
          </w:tcPr>
          <w:p>
            <w:pPr>
              <w:spacing w:after="0"/>
              <w:rPr>
                <w:sz w:val="1"/>
                <w:szCs w:val="1"/>
                <w:color w:val="auto"/>
              </w:rPr>
            </w:pPr>
          </w:p>
        </w:tc>
      </w:tr>
      <w:tr>
        <w:trPr>
          <w:trHeight w:val="264"/>
        </w:trPr>
        <w:tc>
          <w:tcPr>
            <w:tcW w:w="9360" w:type="dxa"/>
            <w:vAlign w:val="bottom"/>
            <w:gridSpan w:val="10"/>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Notes to the Consolidated Financial Statements</w:t>
              </w:r>
            </w:hyperlink>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F-15</w:t>
            </w:r>
          </w:p>
        </w:tc>
        <w:tc>
          <w:tcPr>
            <w:tcW w:w="0" w:type="dxa"/>
            <w:vAlign w:val="bottom"/>
          </w:tcPr>
          <w:p>
            <w:pPr>
              <w:spacing w:after="0"/>
              <w:rPr>
                <w:sz w:val="1"/>
                <w:szCs w:val="1"/>
                <w:color w:val="auto"/>
              </w:rPr>
            </w:pPr>
          </w:p>
        </w:tc>
      </w:tr>
      <w:tr>
        <w:trPr>
          <w:trHeight w:val="385"/>
        </w:trPr>
        <w:tc>
          <w:tcPr>
            <w:tcW w:w="342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80" w:type="dxa"/>
            <w:vAlign w:val="bottom"/>
            <w:gridSpan w:val="6"/>
          </w:tcPr>
          <w:p>
            <w:pPr>
              <w:ind w:left="100"/>
              <w:spacing w:after="0"/>
              <w:rPr>
                <w:sz w:val="20"/>
                <w:szCs w:val="20"/>
                <w:color w:val="auto"/>
              </w:rPr>
            </w:pPr>
            <w:r>
              <w:rPr>
                <w:rFonts w:ascii="Arial" w:cs="Arial" w:eastAsia="Arial" w:hAnsi="Arial"/>
                <w:sz w:val="18"/>
                <w:szCs w:val="18"/>
                <w:color w:val="auto"/>
              </w:rPr>
              <w:t>F-1</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310" w:lineRule="exact"/>
        <w:rPr>
          <w:sz w:val="20"/>
          <w:szCs w:val="20"/>
          <w:color w:val="auto"/>
        </w:rPr>
      </w:pPr>
    </w:p>
    <w:p>
      <w:pPr>
        <w:ind w:right="180" w:firstLine="685"/>
        <w:spacing w:after="0" w:line="302" w:lineRule="auto"/>
        <w:rPr>
          <w:sz w:val="20"/>
          <w:szCs w:val="20"/>
          <w:color w:val="auto"/>
        </w:rPr>
      </w:pPr>
      <w:r>
        <w:rPr>
          <w:rFonts w:ascii="Arial" w:cs="Arial" w:eastAsia="Arial" w:hAnsi="Arial"/>
          <w:sz w:val="16"/>
          <w:szCs w:val="16"/>
          <w:color w:val="auto"/>
        </w:rPr>
        <w:t>The management of PennantPark Floating Rate Capital Ltd., or “we,” “us,” “our” and “Company,” is responsible for establishing and maintaining adequate internal control over financial reporting, as such term is defined in Exchange Act Rule 13a-15(f), and for performing an assessment of the effectiveness of internal control over financial reporting as of September 30, 2016. Our internal control system is a process designed to provide reasonable assurance to our management and board of directors regarding the preparation and fair presentation of published financial statements.</w:t>
      </w:r>
    </w:p>
    <w:p>
      <w:pPr>
        <w:spacing w:after="0" w:line="114" w:lineRule="exact"/>
        <w:rPr>
          <w:sz w:val="20"/>
          <w:szCs w:val="20"/>
          <w:color w:val="auto"/>
        </w:rPr>
      </w:pPr>
    </w:p>
    <w:p>
      <w:pPr>
        <w:ind w:firstLine="685"/>
        <w:spacing w:after="0" w:line="255" w:lineRule="auto"/>
        <w:rPr>
          <w:sz w:val="20"/>
          <w:szCs w:val="20"/>
          <w:color w:val="auto"/>
        </w:rPr>
      </w:pPr>
      <w:r>
        <w:rPr>
          <w:rFonts w:ascii="Arial" w:cs="Arial" w:eastAsia="Arial" w:hAnsi="Arial"/>
          <w:sz w:val="18"/>
          <w:szCs w:val="18"/>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our assets that could have a material effect on our consolidated financial statements.</w:t>
      </w:r>
    </w:p>
    <w:p>
      <w:pPr>
        <w:spacing w:after="0" w:line="153" w:lineRule="exact"/>
        <w:rPr>
          <w:sz w:val="20"/>
          <w:szCs w:val="20"/>
          <w:color w:val="auto"/>
        </w:rPr>
      </w:pPr>
    </w:p>
    <w:p>
      <w:pPr>
        <w:ind w:firstLine="685"/>
        <w:spacing w:after="0" w:line="259"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0" w:lineRule="exact"/>
        <w:rPr>
          <w:sz w:val="20"/>
          <w:szCs w:val="20"/>
          <w:color w:val="auto"/>
        </w:rPr>
      </w:pPr>
    </w:p>
    <w:p>
      <w:pPr>
        <w:ind w:right="80" w:firstLine="685"/>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September 30, 2016. In making this assessment, we used the criteria set forth by the Committee of Sponsoring Organizations of the Treadway Commission in 2013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the assessment management believes that, as of September 30, 2016, our internal control over financial reporting is effective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those criteria.</w:t>
      </w:r>
    </w:p>
    <w:p>
      <w:pPr>
        <w:spacing w:after="0" w:line="146" w:lineRule="exact"/>
        <w:rPr>
          <w:sz w:val="20"/>
          <w:szCs w:val="20"/>
          <w:color w:val="auto"/>
        </w:rPr>
      </w:pPr>
    </w:p>
    <w:p>
      <w:pPr>
        <w:ind w:right="160" w:firstLine="685"/>
        <w:spacing w:after="0" w:line="277" w:lineRule="auto"/>
        <w:rPr>
          <w:sz w:val="20"/>
          <w:szCs w:val="20"/>
          <w:color w:val="auto"/>
        </w:rPr>
      </w:pPr>
      <w:r>
        <w:rPr>
          <w:rFonts w:ascii="Arial" w:cs="Arial" w:eastAsia="Arial" w:hAnsi="Arial"/>
          <w:sz w:val="18"/>
          <w:szCs w:val="18"/>
          <w:color w:val="auto"/>
        </w:rPr>
        <w:t>The Company’s independent registered public accounting firm has issued an audit report on the effectiveness of our internal control over financial reporting as of September 30, 2016. This report appears on page 45.</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Subsidiaries:</w:t>
      </w:r>
    </w:p>
    <w:p>
      <w:pPr>
        <w:spacing w:after="0" w:line="278" w:lineRule="exact"/>
        <w:rPr>
          <w:sz w:val="20"/>
          <w:szCs w:val="20"/>
          <w:color w:val="auto"/>
        </w:rPr>
      </w:pPr>
    </w:p>
    <w:p>
      <w:pPr>
        <w:ind w:right="100" w:firstLine="685"/>
        <w:spacing w:after="0" w:line="257" w:lineRule="auto"/>
        <w:rPr>
          <w:sz w:val="20"/>
          <w:szCs w:val="20"/>
          <w:color w:val="auto"/>
        </w:rPr>
      </w:pPr>
      <w:r>
        <w:rPr>
          <w:rFonts w:ascii="Arial" w:cs="Arial" w:eastAsia="Arial" w:hAnsi="Arial"/>
          <w:sz w:val="18"/>
          <w:szCs w:val="18"/>
          <w:color w:val="auto"/>
        </w:rPr>
        <w:t>We have audited the accompanying consolidated statements of assets and liabilities of PennantPark Floating Rate Capital Ltd. and its Subsidiaries (collectively referred to as the “Company”), including the consolidated schedules of investments as of September 30, 2016 and 2015, and the related consolidated statements of operations, changes in net assets, and cash flows for each of the three years in the period ended September 30, 2016. These consolidated financial statements are the responsibility of the Company’s management. Our responsibility is to express an opinion on these consolidated financial statements based on our audits.</w:t>
      </w:r>
    </w:p>
    <w:p>
      <w:pPr>
        <w:spacing w:after="0" w:line="148" w:lineRule="exact"/>
        <w:rPr>
          <w:sz w:val="20"/>
          <w:szCs w:val="20"/>
          <w:color w:val="auto"/>
        </w:rPr>
      </w:pPr>
    </w:p>
    <w:p>
      <w:pPr>
        <w:ind w:firstLine="685"/>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2016, by correspondence with the custodians and/or portfolio companies.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100" w:firstLine="685"/>
        <w:spacing w:after="0" w:line="31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PennantPark Floating Rate Capital Ltd. and its Subsidiaries as of September 30, 2016 and 2015, and the results of their operations, changes in net assets and their cash flows for the three years in the period then ended September 30, 2016, in conformity with U.S. generally accepted accounting principles.</w:t>
      </w:r>
    </w:p>
    <w:p>
      <w:pPr>
        <w:spacing w:after="0" w:line="106" w:lineRule="exact"/>
        <w:rPr>
          <w:sz w:val="20"/>
          <w:szCs w:val="20"/>
          <w:color w:val="auto"/>
        </w:rPr>
      </w:pPr>
    </w:p>
    <w:p>
      <w:pPr>
        <w:ind w:right="20" w:firstLine="685"/>
        <w:spacing w:after="0" w:line="279" w:lineRule="auto"/>
        <w:rPr>
          <w:sz w:val="20"/>
          <w:szCs w:val="20"/>
          <w:color w:val="auto"/>
        </w:rPr>
      </w:pPr>
      <w:r>
        <w:rPr>
          <w:rFonts w:ascii="Arial" w:cs="Arial" w:eastAsia="Arial" w:hAnsi="Arial"/>
          <w:sz w:val="17"/>
          <w:szCs w:val="17"/>
          <w:color w:val="auto"/>
        </w:rPr>
        <w:t xml:space="preserve">We also have audited, in accordance with the standards of the Public Company Accounting Oversight Board (United States), PennantPark Floating Rate Capital Ltd. and its Subsidiaries’ internal control over financial reporting as of September 30, 2016, based on criteria established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w:t>
      </w:r>
      <w:r>
        <w:rPr>
          <w:rFonts w:ascii="Arial" w:cs="Arial" w:eastAsia="Arial" w:hAnsi="Arial"/>
          <w:sz w:val="17"/>
          <w:szCs w:val="17"/>
          <w:color w:val="auto"/>
        </w:rPr>
        <w:t>issued by the Committee of Sponsoring Organizations of the Treadway Commission (COSO) in 2013, and our report dated</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22, 2016 expressed an unqualified opinion on the effectiveness of the Company’s internal control over financial reporting.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22, 2016</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00"/>
          </w:cols>
          <w:pgMar w:left="240" w:top="459" w:right="3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Subsidiaries:</w:t>
      </w:r>
    </w:p>
    <w:p>
      <w:pPr>
        <w:spacing w:after="0" w:line="143" w:lineRule="exact"/>
        <w:rPr>
          <w:sz w:val="20"/>
          <w:szCs w:val="20"/>
          <w:color w:val="auto"/>
        </w:rPr>
      </w:pPr>
    </w:p>
    <w:p>
      <w:pPr>
        <w:ind w:right="400" w:firstLine="685"/>
        <w:spacing w:after="0" w:line="255" w:lineRule="auto"/>
        <w:rPr>
          <w:sz w:val="20"/>
          <w:szCs w:val="20"/>
          <w:color w:val="auto"/>
        </w:rPr>
      </w:pPr>
      <w:r>
        <w:rPr>
          <w:rFonts w:ascii="Arial" w:cs="Arial" w:eastAsia="Arial" w:hAnsi="Arial"/>
          <w:sz w:val="18"/>
          <w:szCs w:val="18"/>
          <w:color w:val="auto"/>
        </w:rPr>
        <w:t xml:space="preserve">We have audited PennantPark Floating Rate Capital Ltd. and its Subsidiaries’ (collectively referred to as the “Company”) internal control over financial reporting as of September 30, 2016,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in 2013.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53" w:lineRule="exact"/>
        <w:rPr>
          <w:sz w:val="20"/>
          <w:szCs w:val="20"/>
          <w:color w:val="auto"/>
        </w:rPr>
      </w:pPr>
    </w:p>
    <w:p>
      <w:pPr>
        <w:ind w:right="80" w:firstLine="685"/>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8" w:lineRule="exact"/>
        <w:rPr>
          <w:sz w:val="20"/>
          <w:szCs w:val="20"/>
          <w:color w:val="auto"/>
        </w:rPr>
      </w:pPr>
    </w:p>
    <w:p>
      <w:pPr>
        <w:ind w:firstLine="68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w:t>
      </w:r>
      <w:r>
        <w:rPr>
          <w:rFonts w:ascii="Arial" w:cs="Arial" w:eastAsia="Arial" w:hAnsi="Arial"/>
          <w:sz w:val="16"/>
          <w:szCs w:val="16"/>
          <w:i w:val="1"/>
          <w:iCs w:val="1"/>
          <w:color w:val="auto"/>
        </w:rPr>
        <w:t>a</w:t>
      </w:r>
      <w:r>
        <w:rPr>
          <w:rFonts w:ascii="Arial" w:cs="Arial" w:eastAsia="Arial" w:hAnsi="Arial"/>
          <w:sz w:val="16"/>
          <w:szCs w:val="16"/>
          <w:color w:val="auto"/>
        </w:rPr>
        <w:t>) pertain to the maintenance of records that, in reasonable detail, accurately and fairly reflect the transactions and dispositions of the assets of the company; (</w:t>
      </w:r>
      <w:r>
        <w:rPr>
          <w:rFonts w:ascii="Arial" w:cs="Arial" w:eastAsia="Arial" w:hAnsi="Arial"/>
          <w:sz w:val="16"/>
          <w:szCs w:val="16"/>
          <w:i w:val="1"/>
          <w:iCs w:val="1"/>
          <w:color w:val="auto"/>
        </w:rPr>
        <w:t>b</w:t>
      </w:r>
      <w:r>
        <w:rPr>
          <w:rFonts w:ascii="Arial" w:cs="Arial" w:eastAsia="Arial" w:hAnsi="Arial"/>
          <w:sz w:val="16"/>
          <w:szCs w:val="16"/>
          <w:color w:val="auto"/>
        </w:rPr>
        <w:t>)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w:t>
      </w:r>
      <w:r>
        <w:rPr>
          <w:rFonts w:ascii="Arial" w:cs="Arial" w:eastAsia="Arial" w:hAnsi="Arial"/>
          <w:sz w:val="16"/>
          <w:szCs w:val="16"/>
          <w:i w:val="1"/>
          <w:iCs w:val="1"/>
          <w:color w:val="auto"/>
        </w:rPr>
        <w:t>c</w:t>
      </w:r>
      <w:r>
        <w:rPr>
          <w:rFonts w:ascii="Arial" w:cs="Arial" w:eastAsia="Arial" w:hAnsi="Arial"/>
          <w:sz w:val="16"/>
          <w:szCs w:val="16"/>
          <w:color w:val="auto"/>
        </w:rPr>
        <w:t>) provide reasonable assurance regarding prevention or timely detection of unauthorized acquisition, use, or disposition of the company’s assets that could have a material effect on the financial statements.</w:t>
      </w:r>
    </w:p>
    <w:p>
      <w:pPr>
        <w:spacing w:after="0" w:line="140" w:lineRule="exact"/>
        <w:rPr>
          <w:sz w:val="20"/>
          <w:szCs w:val="20"/>
          <w:color w:val="auto"/>
        </w:rPr>
      </w:pPr>
    </w:p>
    <w:p>
      <w:pPr>
        <w:ind w:right="120" w:firstLine="68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ind w:right="480" w:firstLine="685"/>
        <w:spacing w:after="0" w:line="342" w:lineRule="auto"/>
        <w:rPr>
          <w:sz w:val="20"/>
          <w:szCs w:val="20"/>
          <w:color w:val="auto"/>
        </w:rPr>
      </w:pPr>
      <w:r>
        <w:rPr>
          <w:rFonts w:ascii="Arial" w:cs="Arial" w:eastAsia="Arial" w:hAnsi="Arial"/>
          <w:sz w:val="16"/>
          <w:szCs w:val="16"/>
          <w:color w:val="auto"/>
        </w:rPr>
        <w:t xml:space="preserve">In our opinion, PennantPark Floating Rate Capital Ltd. and its Subsidiaries maintained, in all material respects, effective internal control over financial reporting as of September 30, 2016,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 in 2013.</w:t>
      </w:r>
    </w:p>
    <w:p>
      <w:pPr>
        <w:spacing w:after="0" w:line="83" w:lineRule="exact"/>
        <w:rPr>
          <w:sz w:val="20"/>
          <w:szCs w:val="20"/>
          <w:color w:val="auto"/>
        </w:rPr>
      </w:pPr>
    </w:p>
    <w:p>
      <w:pPr>
        <w:ind w:right="40" w:firstLine="685"/>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statements of assets and liabilities of PennantPark Floating Rate Capital Ltd. and its Subsidiaries, including the schedules of investments as of September 30, 2016 and 2015, and the related consolidated statements of operations, changes in net assets, and cash flows for each of the three years in the period ended September 30, 2016 and our report dated November 22, 2016 expressed an unqualified opinion on those financial statements.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22, 2016</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60"/>
          </w:cols>
          <w:pgMar w:left="240" w:top="459" w:right="2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September 30, 2016</w:t>
            </w:r>
          </w:p>
        </w:tc>
        <w:tc>
          <w:tcPr>
            <w:tcW w:w="220" w:type="dxa"/>
            <w:vAlign w:val="bottom"/>
          </w:tcPr>
          <w:p>
            <w:pPr>
              <w:spacing w:after="0"/>
              <w:rPr>
                <w:sz w:val="14"/>
                <w:szCs w:val="14"/>
                <w:color w:val="auto"/>
              </w:rPr>
            </w:pPr>
          </w:p>
        </w:tc>
        <w:tc>
          <w:tcPr>
            <w:tcW w:w="1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September 30, 2015</w:t>
            </w:r>
          </w:p>
        </w:tc>
      </w:tr>
      <w:tr>
        <w:trPr>
          <w:trHeight w:val="196"/>
        </w:trPr>
        <w:tc>
          <w:tcPr>
            <w:tcW w:w="20" w:type="dxa"/>
            <w:vAlign w:val="bottom"/>
          </w:tcPr>
          <w:p>
            <w:pPr>
              <w:spacing w:after="0"/>
              <w:rPr>
                <w:sz w:val="17"/>
                <w:szCs w:val="17"/>
                <w:color w:val="auto"/>
              </w:rPr>
            </w:pPr>
          </w:p>
        </w:tc>
        <w:tc>
          <w:tcPr>
            <w:tcW w:w="7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Non-controlled, non-affiliated investments (cost—$597,910,267 and $394,561,175, respectively)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598,887,525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388,535,383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Controlled, affiliated investments (cost—$0 and $2,777,132, respectively)</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2,776,507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of investments (cost—$597,910,267 and $397,338,307, respectively)</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598,887,525</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391,311,890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Cash and cash equivalents (cost—$28,903,359 and $21,428,514, respectively)</w:t>
            </w:r>
          </w:p>
        </w:tc>
        <w:tc>
          <w:tcPr>
            <w:tcW w:w="20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28,910,973</w:t>
            </w:r>
          </w:p>
        </w:tc>
        <w:tc>
          <w:tcPr>
            <w:tcW w:w="22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21,428,514</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2,480,406</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1,959,404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1,141,191</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1,420,529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631,420,095</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416,120,337</w:t>
            </w:r>
          </w:p>
        </w:tc>
        <w:tc>
          <w:tcPr>
            <w:tcW w:w="120" w:type="dxa"/>
            <w:vAlign w:val="bottom"/>
            <w:shd w:val="clear" w:color="auto" w:fill="CCEEFF"/>
          </w:tcPr>
          <w:p>
            <w:pPr>
              <w:spacing w:after="0"/>
              <w:rPr>
                <w:sz w:val="18"/>
                <w:szCs w:val="18"/>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2,539,357</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2,539,357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20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14,935,970</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9,367,500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w w:val="94"/>
              </w:rPr>
              <w:t>Credit Facility payable (cost—$232,907,500 and $29,600,000, respectively) (See Notes 5 and 11)</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232,389,498</w:t>
            </w: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29,600,000</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Interest payable on Credit Facility</w:t>
            </w:r>
          </w:p>
        </w:tc>
        <w:tc>
          <w:tcPr>
            <w:tcW w:w="20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531,926</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224,633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1,458,625</w:t>
            </w: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956,115</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Performance-based incentive fee payable (See Note 3)</w:t>
            </w:r>
          </w:p>
        </w:tc>
        <w:tc>
          <w:tcPr>
            <w:tcW w:w="20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3,454,914</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2,936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202,977</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539,347</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64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top w:val="single" w:sz="8" w:color="auto"/>
              <w:bottom w:val="single" w:sz="8" w:color="auto"/>
            </w:tcBorders>
          </w:tcPr>
          <w:p>
            <w:pPr>
              <w:spacing w:after="0"/>
              <w:rPr>
                <w:sz w:val="20"/>
                <w:szCs w:val="20"/>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255,513,267</w:t>
            </w: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43,229,888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12)</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26,730,074 shares issued and outstanding.</w:t>
            </w: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 value $0.001 per share and 100,000,000 shares authorized.</w:t>
            </w:r>
          </w:p>
        </w:tc>
        <w:tc>
          <w:tcPr>
            <w:tcW w:w="20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26,730</w:t>
            </w:r>
          </w:p>
        </w:tc>
        <w:tc>
          <w:tcPr>
            <w:tcW w:w="22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26,730</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Paid-in capital in excess of par value</w:t>
            </w:r>
          </w:p>
        </w:tc>
        <w:tc>
          <w:tcPr>
            <w:tcW w:w="20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371,194,366</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371,502,801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4,559,646</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6,991,473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Accumulated net realized (loss) gain on investments</w:t>
            </w:r>
          </w:p>
        </w:tc>
        <w:tc>
          <w:tcPr>
            <w:tcW w:w="20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(1,376,788)</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395,862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984,872</w:t>
            </w: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(6,026,417)</w:t>
            </w: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unrealized depreciation on Credit Facility</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518,002</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net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375,906,828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372,890,449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640"/>
              <w:spacing w:after="0"/>
              <w:rPr>
                <w:sz w:val="20"/>
                <w:szCs w:val="20"/>
                <w:color w:val="auto"/>
              </w:rPr>
            </w:pPr>
            <w:r>
              <w:rPr>
                <w:rFonts w:ascii="Arial" w:cs="Arial" w:eastAsia="Arial" w:hAnsi="Arial"/>
                <w:sz w:val="18"/>
                <w:szCs w:val="18"/>
                <w:b w:val="1"/>
                <w:bCs w:val="1"/>
                <w:color w:val="auto"/>
              </w:rPr>
              <w:t>Total liabilities and net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631,420,095</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416,120,337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2"/>
              </w:rPr>
              <w:t>Years Ended September 30,</w:t>
            </w: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w:t>
            </w:r>
          </w:p>
        </w:tc>
        <w:tc>
          <w:tcPr>
            <w:tcW w:w="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40,561,694</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29,203,963</w:t>
            </w:r>
          </w:p>
        </w:tc>
        <w:tc>
          <w:tcPr>
            <w:tcW w:w="3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29,256,441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0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2,334,330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1,151,336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1,100,391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Settlement proceeds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3,299,764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From controlled, affiliated investments: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105,502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tcPr>
          <w:p>
            <w:pPr>
              <w:ind w:left="400"/>
              <w:spacing w:after="0"/>
              <w:rPr>
                <w:sz w:val="20"/>
                <w:szCs w:val="20"/>
                <w:color w:val="auto"/>
              </w:rPr>
            </w:pPr>
            <w:r>
              <w:rPr>
                <w:rFonts w:ascii="Arial" w:cs="Arial" w:eastAsia="Arial" w:hAnsi="Arial"/>
                <w:sz w:val="18"/>
                <w:szCs w:val="18"/>
                <w:b w:val="1"/>
                <w:bCs w:val="1"/>
                <w:color w:val="auto"/>
              </w:rPr>
              <w:t>Total investment income</w:t>
            </w:r>
          </w:p>
        </w:tc>
        <w:tc>
          <w:tcPr>
            <w:tcW w:w="1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46,301,290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30,355,299</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30,356,832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00"/>
              <w:spacing w:after="0"/>
              <w:rPr>
                <w:sz w:val="20"/>
                <w:szCs w:val="20"/>
                <w:color w:val="auto"/>
              </w:rPr>
            </w:pPr>
            <w:r>
              <w:rPr>
                <w:rFonts w:ascii="Arial" w:cs="Arial" w:eastAsia="Arial" w:hAnsi="Arial"/>
                <w:sz w:val="18"/>
                <w:szCs w:val="18"/>
                <w:color w:val="auto"/>
              </w:rPr>
              <w:t>Base management fee (See Note 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5,015,077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3,572,614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3,702,826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Performance-based incentive fee (See Note 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4,791,574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1,114,972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3,464,344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00"/>
              <w:spacing w:after="0"/>
              <w:rPr>
                <w:sz w:val="20"/>
                <w:szCs w:val="20"/>
                <w:color w:val="auto"/>
              </w:rPr>
            </w:pPr>
            <w:r>
              <w:rPr>
                <w:rFonts w:ascii="Arial" w:cs="Arial" w:eastAsia="Arial" w:hAnsi="Arial"/>
                <w:sz w:val="18"/>
                <w:szCs w:val="18"/>
                <w:color w:val="auto"/>
              </w:rPr>
              <w:t>Interest and expenses on the Credit Facility (See Note 11)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4,923,219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3,251,761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3,471,347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Administrative services expenses (See Note 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1,148,281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837,708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400"/>
              <w:spacing w:after="0"/>
              <w:rPr>
                <w:sz w:val="20"/>
                <w:szCs w:val="20"/>
                <w:color w:val="auto"/>
              </w:rPr>
            </w:pPr>
            <w:r>
              <w:rPr>
                <w:rFonts w:ascii="Arial" w:cs="Arial" w:eastAsia="Arial" w:hAnsi="Arial"/>
                <w:sz w:val="18"/>
                <w:szCs w:val="18"/>
                <w:color w:val="auto"/>
              </w:rPr>
              <w:t>Other general and administrative expenses</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2,179,257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1,176,769</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1,011,285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Expenses before provision for taxes and amendment costs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18,057,408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9,953,824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12,528,802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00"/>
              <w:spacing w:after="0"/>
              <w:rPr>
                <w:sz w:val="20"/>
                <w:szCs w:val="20"/>
                <w:color w:val="auto"/>
              </w:rPr>
            </w:pPr>
            <w:r>
              <w:rPr>
                <w:rFonts w:ascii="Arial" w:cs="Arial" w:eastAsia="Arial" w:hAnsi="Arial"/>
                <w:sz w:val="18"/>
                <w:szCs w:val="18"/>
                <w:color w:val="auto"/>
              </w:rPr>
              <w:t>Provision for taxes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440,000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479,425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Credit Facility amendment costs (See Notes 5 and 11)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907,722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2,301,478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712,930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tcPr>
          <w:p>
            <w:pPr>
              <w:ind w:left="400"/>
              <w:spacing w:after="0"/>
              <w:rPr>
                <w:sz w:val="20"/>
                <w:szCs w:val="20"/>
                <w:color w:val="auto"/>
              </w:rPr>
            </w:pPr>
            <w:r>
              <w:rPr>
                <w:rFonts w:ascii="Arial" w:cs="Arial" w:eastAsia="Arial" w:hAnsi="Arial"/>
                <w:sz w:val="18"/>
                <w:szCs w:val="18"/>
                <w:b w:val="1"/>
                <w:bCs w:val="1"/>
                <w:color w:val="auto"/>
              </w:rPr>
              <w:t>Total expenses</w:t>
            </w:r>
          </w:p>
        </w:tc>
        <w:tc>
          <w:tcPr>
            <w:tcW w:w="1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18,965,130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12,695,302</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13,721,157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Net investment income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27,336,160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17,659,997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16,635,675</w:t>
            </w: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(loss) gain on investments and Credit Facility:</w:t>
            </w:r>
          </w:p>
        </w:tc>
        <w:tc>
          <w:tcPr>
            <w:tcW w:w="1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gain on non-controlled, non-affiliated investments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(1,376,788)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395,862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2,873,525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Non-controlled, non-affiliated investments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7,011,289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(6,100,614)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1,553,771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400"/>
              <w:spacing w:after="0"/>
              <w:rPr>
                <w:sz w:val="20"/>
                <w:szCs w:val="20"/>
                <w:color w:val="auto"/>
              </w:rPr>
            </w:pPr>
            <w:r>
              <w:rPr>
                <w:rFonts w:ascii="Arial" w:cs="Arial" w:eastAsia="Arial" w:hAnsi="Arial"/>
                <w:sz w:val="18"/>
                <w:szCs w:val="18"/>
                <w:color w:val="auto"/>
              </w:rPr>
              <w:t>Credit Facility depreciation (appreciation) (See Note 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518,002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549,000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(549,000)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60" w:type="dxa"/>
            <w:vAlign w:val="bottom"/>
            <w:shd w:val="clear" w:color="auto" w:fill="CCEEFF"/>
          </w:tcPr>
          <w:p>
            <w:pPr>
              <w:ind w:left="400"/>
              <w:spacing w:after="0" w:line="198" w:lineRule="exact"/>
              <w:rPr>
                <w:sz w:val="20"/>
                <w:szCs w:val="20"/>
                <w:color w:val="auto"/>
              </w:rPr>
            </w:pPr>
            <w:r>
              <w:rPr>
                <w:rFonts w:ascii="Arial" w:cs="Arial" w:eastAsia="Arial" w:hAnsi="Arial"/>
                <w:sz w:val="18"/>
                <w:szCs w:val="18"/>
                <w:b w:val="1"/>
                <w:bCs w:val="1"/>
                <w:color w:val="auto"/>
                <w:w w:val="91"/>
              </w:rPr>
              <w:t>Net change in unrealized appreciation (depreciation) on investments and Credit</w:t>
            </w:r>
          </w:p>
        </w:tc>
        <w:tc>
          <w:tcPr>
            <w:tcW w:w="16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6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Facility</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7,529,291</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(5,551,614)</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1,004,771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Net realized and unrealized gain (loss) from investments and Credit Facility</w:t>
            </w:r>
          </w:p>
        </w:tc>
        <w:tc>
          <w:tcPr>
            <w:tcW w:w="1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6,152,503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(5,155,752)</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3,878,296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33,488,663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12,504,245</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20,513,971</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w:t>
            </w:r>
          </w:p>
        </w:tc>
        <w:tc>
          <w:tcPr>
            <w:tcW w:w="3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4"/>
              </w:rPr>
              <w:t>Years Ended September 30,</w:t>
            </w: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7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71"/>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7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Net investment income</w:t>
            </w:r>
          </w:p>
        </w:tc>
        <w:tc>
          <w:tcPr>
            <w:tcW w:w="7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27,336,160</w:t>
            </w:r>
          </w:p>
        </w:tc>
        <w:tc>
          <w:tcPr>
            <w:tcW w:w="100" w:type="dxa"/>
            <w:vAlign w:val="bottom"/>
          </w:tcPr>
          <w:p>
            <w:pPr>
              <w:spacing w:after="0"/>
              <w:rPr>
                <w:sz w:val="18"/>
                <w:szCs w:val="18"/>
                <w:color w:val="auto"/>
              </w:rPr>
            </w:pPr>
          </w:p>
        </w:tc>
        <w:tc>
          <w:tcPr>
            <w:tcW w:w="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17,659,997</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16,635,675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realized (loss) gain on investments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(1,376,788)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395,862</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2,873,525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7,011,289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(6,100,614)</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1,553,771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Net change in unrealized depreciation (appreciation) on Credit Facility</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518,002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549,000</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ind w:left="20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36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33,488,663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12,504,245</w:t>
            </w:r>
          </w:p>
        </w:tc>
        <w:tc>
          <w:tcPr>
            <w:tcW w:w="22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20,513,971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Distribution of net investment income</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(30,076,422)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(15,976,507)</w:t>
            </w:r>
          </w:p>
        </w:tc>
        <w:tc>
          <w:tcPr>
            <w:tcW w:w="3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(12,477,719)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 of realized gains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(395,862)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(2,882,909)</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(3,574,936)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ind w:left="200"/>
              <w:spacing w:after="0"/>
              <w:rPr>
                <w:sz w:val="20"/>
                <w:szCs w:val="20"/>
                <w:color w:val="auto"/>
              </w:rPr>
            </w:pPr>
            <w:r>
              <w:rPr>
                <w:rFonts w:ascii="Arial" w:cs="Arial" w:eastAsia="Arial" w:hAnsi="Arial"/>
                <w:sz w:val="18"/>
                <w:szCs w:val="18"/>
                <w:b w:val="1"/>
                <w:bCs w:val="1"/>
                <w:color w:val="auto"/>
              </w:rPr>
              <w:t>Total distributions to stockholders</w:t>
            </w:r>
          </w:p>
        </w:tc>
        <w:tc>
          <w:tcPr>
            <w:tcW w:w="36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(30,472,284)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(18,859,416)</w:t>
            </w:r>
          </w:p>
        </w:tc>
        <w:tc>
          <w:tcPr>
            <w:tcW w:w="22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(16,052,655)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Acquisition of MCG assets (See Note 13)</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164,717,910</w:t>
            </w:r>
          </w:p>
        </w:tc>
        <w:tc>
          <w:tcPr>
            <w:tcW w:w="3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Net increase in net assets resulting from capital transactions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164,717,910</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Net increase in net assets</w:t>
            </w:r>
          </w:p>
        </w:tc>
        <w:tc>
          <w:tcPr>
            <w:tcW w:w="3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3,016,379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158,362,739</w:t>
            </w:r>
          </w:p>
        </w:tc>
        <w:tc>
          <w:tcPr>
            <w:tcW w:w="2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4,461,316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Beginning of year</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372,890,449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214,527,710</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210,066,394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End of year</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375,906,828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372,890,449</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214,527,710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restart"/>
          </w:tcPr>
          <w:p>
            <w:pPr>
              <w:ind w:left="200"/>
              <w:spacing w:after="0"/>
              <w:rPr>
                <w:sz w:val="20"/>
                <w:szCs w:val="20"/>
                <w:color w:val="auto"/>
              </w:rPr>
            </w:pPr>
            <w:r>
              <w:rPr>
                <w:rFonts w:ascii="Arial" w:cs="Arial" w:eastAsia="Arial" w:hAnsi="Arial"/>
                <w:sz w:val="18"/>
                <w:szCs w:val="18"/>
                <w:color w:val="auto"/>
              </w:rPr>
              <w:t>Undistributed net investment income, end of year</w:t>
            </w: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4,559,646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6,991,473</w:t>
            </w:r>
          </w:p>
        </w:tc>
        <w:tc>
          <w:tcPr>
            <w:tcW w:w="220" w:type="dxa"/>
            <w:vAlign w:val="bottom"/>
          </w:tcPr>
          <w:p>
            <w:pPr>
              <w:spacing w:after="0"/>
              <w:rPr>
                <w:sz w:val="18"/>
                <w:szCs w:val="18"/>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4,878,091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Shares issued</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11,832,018</w:t>
            </w:r>
          </w:p>
        </w:tc>
        <w:tc>
          <w:tcPr>
            <w:tcW w:w="3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Years Ended September 30,</w:t>
            </w: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3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3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3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Net increase in net assets resulting from operations</w:t>
            </w:r>
          </w:p>
        </w:tc>
        <w:tc>
          <w:tcPr>
            <w:tcW w:w="400" w:type="dxa"/>
            <w:vAlign w:val="bottom"/>
            <w:gridSpan w:val="2"/>
          </w:tcPr>
          <w:p>
            <w:pPr>
              <w:jc w:val="right"/>
              <w:ind w:right="225"/>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33,488,663</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12,504,245</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20,513,971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Adjustments to reconcile net increase in net assets resulting from</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operations to net cash used in operating activities:</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w w:val="94"/>
              </w:rPr>
              <w:t>Net change in unrealized (appreciation) depreciation on investments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(7,011,289)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6,100,614</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(1,553,771)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8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Net change in unrealized (depreciation) appreciation on Credit</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Facility</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(518,002)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(549,000)</w:t>
            </w: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Net realized loss (gain) on investments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1,376,788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(395,862)</w:t>
            </w:r>
          </w:p>
        </w:tc>
        <w:tc>
          <w:tcPr>
            <w:tcW w:w="4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(2,873,525)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accretion of discount and amortization of premium</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(1,679,006)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(1,240,781)</w:t>
            </w: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(1,253,776)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Purchases of investments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(364,442,810)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(224,170,119)</w:t>
            </w:r>
          </w:p>
        </w:tc>
        <w:tc>
          <w:tcPr>
            <w:tcW w:w="4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(248,124,673)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Payment-in-kind interest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(108,066)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(655,580)</w:t>
            </w: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(662,226)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Proceeds from dispositions of investments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164,178,802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195,049,580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225,614,700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(Increase) decrease in interest receivable</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(521,002)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(185,534)</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Decrease (increase) in receivable for investments sold</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9,001,938</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(5,342,753)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Decrease (increase) in prepaid expenses and other assets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(315,139)</w:t>
            </w: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Increase (decrease) in payable for investments purchased</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5,568,470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6,205,500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(10,859,588)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Increase (decrease) in interest payable on Credit Facility</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(60,273)</w:t>
            </w: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Increase in management fee payable</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502,510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41,137</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183,343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Increase (decrease) in performance-based incentive fee payable</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3,451,978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(2,177,668)</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(Decrease) increase in accrued other expenses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(336,370)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(1,358,635)</w:t>
            </w:r>
          </w:p>
        </w:tc>
        <w:tc>
          <w:tcPr>
            <w:tcW w:w="4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18,480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(165,462,703)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(2,205,577)</w:t>
            </w: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(22,249,022)</w:t>
            </w: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Acquisition of MCG assets (See Note 13)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144,981,158</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Distributions paid to stockholders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(30,472,284)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(17,660,884)</w:t>
            </w:r>
          </w:p>
        </w:tc>
        <w:tc>
          <w:tcPr>
            <w:tcW w:w="4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(16,015,410)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Borrowings under Credit Facility (See Notes 5 and 11)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260,707,500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130,700,000</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Repayments under Credit Facility (See Notes 5 and 11)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(57,400,000)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(247,500,000)</w:t>
            </w:r>
          </w:p>
        </w:tc>
        <w:tc>
          <w:tcPr>
            <w:tcW w:w="4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(101,400,000)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172,835,216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10,520,274</w:t>
            </w: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30,784,590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 equivalents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7,372,513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8,314,697</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8,535,568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21,428,514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13,113,817</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4,578,249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4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28,910,973</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21,428,514</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13,113,817</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paid</w:t>
            </w:r>
          </w:p>
        </w:tc>
        <w:tc>
          <w:tcPr>
            <w:tcW w:w="4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4,615,926</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3,313,701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3,341,375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vMerge w:val="restart"/>
          </w:tcPr>
          <w:p>
            <w:pPr>
              <w:ind w:left="200"/>
              <w:spacing w:after="0"/>
              <w:rPr>
                <w:sz w:val="20"/>
                <w:szCs w:val="20"/>
                <w:color w:val="auto"/>
              </w:rPr>
            </w:pPr>
            <w:r>
              <w:rPr>
                <w:rFonts w:ascii="Arial" w:cs="Arial" w:eastAsia="Arial" w:hAnsi="Arial"/>
                <w:sz w:val="18"/>
                <w:szCs w:val="18"/>
                <w:color w:val="auto"/>
              </w:rPr>
              <w:t>Taxes paid</w:t>
            </w: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430,242</w:t>
            </w:r>
          </w:p>
        </w:tc>
        <w:tc>
          <w:tcPr>
            <w:tcW w:w="20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exchanges and conversions</w:t>
            </w:r>
          </w:p>
        </w:tc>
        <w:tc>
          <w:tcPr>
            <w:tcW w:w="4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4,843,385</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670,283</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6,902,784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vMerge w:val="restart"/>
          </w:tcPr>
          <w:p>
            <w:pPr>
              <w:ind w:left="200"/>
              <w:spacing w:after="0"/>
              <w:rPr>
                <w:sz w:val="20"/>
                <w:szCs w:val="20"/>
                <w:color w:val="auto"/>
              </w:rPr>
            </w:pPr>
            <w:r>
              <w:rPr>
                <w:rFonts w:ascii="Arial" w:cs="Arial" w:eastAsia="Arial" w:hAnsi="Arial"/>
                <w:sz w:val="18"/>
                <w:szCs w:val="18"/>
                <w:color w:val="auto"/>
                <w:w w:val="92"/>
              </w:rPr>
              <w:t>Investments acquired from MCG in exchange for shares issued (See Note</w:t>
            </w: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ind w:left="400"/>
              <w:spacing w:after="0"/>
              <w:rPr>
                <w:sz w:val="20"/>
                <w:szCs w:val="20"/>
                <w:color w:val="auto"/>
              </w:rPr>
            </w:pPr>
            <w:r>
              <w:rPr>
                <w:rFonts w:ascii="Arial" w:cs="Arial" w:eastAsia="Arial" w:hAnsi="Arial"/>
                <w:sz w:val="18"/>
                <w:szCs w:val="18"/>
                <w:color w:val="auto"/>
              </w:rPr>
              <w:t>13)</w:t>
            </w:r>
          </w:p>
        </w:tc>
        <w:tc>
          <w:tcPr>
            <w:tcW w:w="400" w:type="dxa"/>
            <w:vAlign w:val="bottom"/>
            <w:gridSpan w:val="2"/>
          </w:tcPr>
          <w:p>
            <w:pPr>
              <w:jc w:val="right"/>
              <w:ind w:right="225"/>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20,277,132</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other assets from MCG (See Note 13)</w:t>
            </w:r>
          </w:p>
        </w:tc>
        <w:tc>
          <w:tcPr>
            <w:tcW w:w="4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549,031</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vMerge w:val="restart"/>
          </w:tcPr>
          <w:p>
            <w:pPr>
              <w:ind w:left="200"/>
              <w:spacing w:after="0"/>
              <w:rPr>
                <w:sz w:val="20"/>
                <w:szCs w:val="20"/>
                <w:color w:val="auto"/>
              </w:rPr>
            </w:pPr>
            <w:r>
              <w:rPr>
                <w:rFonts w:ascii="Arial" w:cs="Arial" w:eastAsia="Arial" w:hAnsi="Arial"/>
                <w:sz w:val="18"/>
                <w:szCs w:val="18"/>
                <w:color w:val="auto"/>
              </w:rPr>
              <w:t>Acquisition of other liabilities from MCG (See Note 13)</w:t>
            </w: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1,089,411</w:t>
            </w:r>
          </w:p>
        </w:tc>
        <w:tc>
          <w:tcPr>
            <w:tcW w:w="20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82"/>
              </w:rPr>
              <w:t>Basis Point</w:t>
            </w: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3"/>
              </w:rPr>
              <w:t>Spread</w:t>
            </w: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000" w:type="dxa"/>
            <w:vAlign w:val="bottom"/>
          </w:tcPr>
          <w:p>
            <w:pPr>
              <w:spacing w:after="0"/>
              <w:rPr>
                <w:sz w:val="11"/>
                <w:szCs w:val="11"/>
                <w:color w:val="auto"/>
              </w:rPr>
            </w:pPr>
          </w:p>
        </w:tc>
        <w:tc>
          <w:tcPr>
            <w:tcW w:w="20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8"/>
              </w:rPr>
              <w:t>Industry</w:t>
            </w:r>
          </w:p>
        </w:tc>
        <w:tc>
          <w:tcPr>
            <w:tcW w:w="700" w:type="dxa"/>
            <w:vAlign w:val="bottom"/>
          </w:tcPr>
          <w:p>
            <w:pPr>
              <w:jc w:val="right"/>
              <w:ind w:right="122"/>
              <w:spacing w:after="0" w:line="135" w:lineRule="exact"/>
              <w:rPr>
                <w:sz w:val="20"/>
                <w:szCs w:val="20"/>
                <w:color w:val="auto"/>
              </w:rPr>
            </w:pPr>
            <w:r>
              <w:rPr>
                <w:rFonts w:ascii="Arial" w:cs="Arial" w:eastAsia="Arial" w:hAnsi="Arial"/>
                <w:sz w:val="12"/>
                <w:szCs w:val="12"/>
                <w:b w:val="1"/>
                <w:bCs w:val="1"/>
                <w:color w:val="auto"/>
              </w:rPr>
              <w:t>Current</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720" w:type="dxa"/>
            <w:vAlign w:val="bottom"/>
          </w:tcPr>
          <w:p>
            <w:pPr>
              <w:jc w:val="right"/>
              <w:ind w:right="182"/>
              <w:spacing w:after="0" w:line="135" w:lineRule="exact"/>
              <w:rPr>
                <w:sz w:val="20"/>
                <w:szCs w:val="20"/>
                <w:color w:val="auto"/>
              </w:rPr>
            </w:pPr>
            <w:r>
              <w:rPr>
                <w:rFonts w:ascii="Arial" w:cs="Arial" w:eastAsia="Arial" w:hAnsi="Arial"/>
                <w:sz w:val="12"/>
                <w:szCs w:val="12"/>
                <w:b w:val="1"/>
                <w:bCs w:val="1"/>
                <w:color w:val="auto"/>
              </w:rPr>
              <w:t>Par /</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540" w:type="dxa"/>
            <w:vAlign w:val="bottom"/>
            <w:vMerge w:val="continue"/>
          </w:tcPr>
          <w:p>
            <w:pPr>
              <w:spacing w:after="0"/>
              <w:rPr>
                <w:sz w:val="12"/>
                <w:szCs w:val="12"/>
                <w:color w:val="auto"/>
              </w:rPr>
            </w:pPr>
          </w:p>
        </w:tc>
        <w:tc>
          <w:tcPr>
            <w:tcW w:w="1000" w:type="dxa"/>
            <w:vAlign w:val="bottom"/>
          </w:tcPr>
          <w:p>
            <w:pPr>
              <w:jc w:val="center"/>
              <w:ind w:left="122"/>
              <w:spacing w:after="0"/>
              <w:rPr>
                <w:sz w:val="20"/>
                <w:szCs w:val="20"/>
                <w:color w:val="auto"/>
              </w:rPr>
            </w:pPr>
            <w:r>
              <w:rPr>
                <w:rFonts w:ascii="Arial" w:cs="Arial" w:eastAsia="Arial" w:hAnsi="Arial"/>
                <w:sz w:val="12"/>
                <w:szCs w:val="12"/>
                <w:b w:val="1"/>
                <w:bCs w:val="1"/>
                <w:color w:val="auto"/>
                <w:w w:val="98"/>
              </w:rPr>
              <w:t>Maturity</w:t>
            </w:r>
          </w:p>
        </w:tc>
        <w:tc>
          <w:tcPr>
            <w:tcW w:w="2060" w:type="dxa"/>
            <w:vAlign w:val="bottom"/>
            <w:vMerge w:val="continue"/>
          </w:tcPr>
          <w:p>
            <w:pPr>
              <w:spacing w:after="0"/>
              <w:rPr>
                <w:sz w:val="12"/>
                <w:szCs w:val="12"/>
                <w:color w:val="auto"/>
              </w:rPr>
            </w:pPr>
          </w:p>
        </w:tc>
        <w:tc>
          <w:tcPr>
            <w:tcW w:w="700" w:type="dxa"/>
            <w:vAlign w:val="bottom"/>
          </w:tcPr>
          <w:p>
            <w:pPr>
              <w:jc w:val="right"/>
              <w:ind w:right="122"/>
              <w:spacing w:after="0"/>
              <w:rPr>
                <w:sz w:val="20"/>
                <w:szCs w:val="20"/>
                <w:color w:val="auto"/>
              </w:rPr>
            </w:pPr>
            <w:r>
              <w:rPr>
                <w:rFonts w:ascii="Arial" w:cs="Arial" w:eastAsia="Arial" w:hAnsi="Arial"/>
                <w:sz w:val="12"/>
                <w:szCs w:val="12"/>
                <w:b w:val="1"/>
                <w:bCs w:val="1"/>
                <w:color w:val="auto"/>
              </w:rPr>
              <w:t>Coupon</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720" w:type="dxa"/>
            <w:vAlign w:val="bottom"/>
          </w:tcPr>
          <w:p>
            <w:pPr>
              <w:jc w:val="right"/>
              <w:ind w:right="142"/>
              <w:spacing w:after="0"/>
              <w:rPr>
                <w:sz w:val="20"/>
                <w:szCs w:val="20"/>
                <w:color w:val="auto"/>
              </w:rPr>
            </w:pPr>
            <w:r>
              <w:rPr>
                <w:rFonts w:ascii="Arial" w:cs="Arial" w:eastAsia="Arial" w:hAnsi="Arial"/>
                <w:sz w:val="12"/>
                <w:szCs w:val="12"/>
                <w:b w:val="1"/>
                <w:bCs w:val="1"/>
                <w:color w:val="auto"/>
              </w:rPr>
              <w:t>Shares</w:t>
            </w:r>
          </w:p>
        </w:tc>
        <w:tc>
          <w:tcPr>
            <w:tcW w:w="780" w:type="dxa"/>
            <w:vAlign w:val="bottom"/>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34"/>
        </w:trPr>
        <w:tc>
          <w:tcPr>
            <w:tcW w:w="454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2"/>
                <w:szCs w:val="12"/>
                <w:b w:val="1"/>
                <w:bCs w:val="1"/>
                <w:color w:val="auto"/>
                <w:w w:val="97"/>
              </w:rPr>
              <w:t xml:space="preserve">Investments in Non-Controlled, Non-Affiliated Portfolio Companies—159.3% </w:t>
            </w:r>
            <w:r>
              <w:rPr>
                <w:rFonts w:ascii="Arial" w:cs="Arial" w:eastAsia="Arial" w:hAnsi="Arial"/>
                <w:sz w:val="9"/>
                <w:szCs w:val="9"/>
                <w:b w:val="1"/>
                <w:bCs w:val="1"/>
                <w:color w:val="auto"/>
                <w:w w:val="97"/>
              </w:rPr>
              <w:t>(3), (4)</w:t>
            </w:r>
          </w:p>
        </w:tc>
        <w:tc>
          <w:tcPr>
            <w:tcW w:w="1000" w:type="dxa"/>
            <w:vAlign w:val="bottom"/>
            <w:tcBorders>
              <w:top w:val="single" w:sz="8" w:color="auto"/>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5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First Lien Secured Debt—145.9%</w:t>
            </w:r>
          </w:p>
        </w:tc>
        <w:tc>
          <w:tcPr>
            <w:tcW w:w="10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Advanced Cable Communications, LLC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08/09/2021</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6.75%</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L+575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12,500,000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w w:val="98"/>
              </w:rPr>
              <w:t>$12,255,990</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  12,250,000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(10)</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08/09/2021</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70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4,000,000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(80,000)</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ALG USA Holdings, LLC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02/28/2019</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8"/>
              </w:rPr>
              <w:t>Hotel, Gaming and Leisure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L+575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12,064,454</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12,037,105</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12,064,454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(6), (11)</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04/04/2022</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L+500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3,943,925</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3,925,777</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3,946,410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American Bath Group, LLC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10/02/2023</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6.75%</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L+575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3,000,000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2,970,000</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2,992,500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American Scaffold</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03/31/2022</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7.50%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L+650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4,937,500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4,866,801</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4,888,125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AMF Bowling Centers, Inc.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09/19/2023</w:t>
            </w:r>
          </w:p>
        </w:tc>
        <w:tc>
          <w:tcPr>
            <w:tcW w:w="2060" w:type="dxa"/>
            <w:vAlign w:val="bottom"/>
          </w:tcPr>
          <w:p>
            <w:pPr>
              <w:jc w:val="center"/>
              <w:ind w:left="2"/>
              <w:spacing w:after="0" w:line="135" w:lineRule="exact"/>
              <w:rPr>
                <w:sz w:val="20"/>
                <w:szCs w:val="20"/>
                <w:color w:val="auto"/>
              </w:rPr>
            </w:pPr>
            <w:r>
              <w:rPr>
                <w:rFonts w:ascii="Arial" w:cs="Arial" w:eastAsia="Arial" w:hAnsi="Arial"/>
                <w:sz w:val="12"/>
                <w:szCs w:val="12"/>
                <w:color w:val="auto"/>
                <w:w w:val="91"/>
              </w:rPr>
              <w:t>Retail</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15,000,000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14,850,608</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14,931,300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AP Gaming I, LLC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12/21/2020</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Hotel, Gaming and Leisure</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9.25%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L+825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6,534,878</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6,462,308</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6,220,419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API Technologies Corp.</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04/22/2022</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L+650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9,975,000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9,787,810</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9,825,375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Azure Midstream Energy LLC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11/15/2018</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Energy: Oil and Gas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7.50%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L+650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5,125,684</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5,042,414</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4,228,689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Blue Bird Body Company</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06/29/2020</w:t>
            </w:r>
          </w:p>
        </w:tc>
        <w:tc>
          <w:tcPr>
            <w:tcW w:w="2060" w:type="dxa"/>
            <w:vAlign w:val="bottom"/>
          </w:tcPr>
          <w:p>
            <w:pPr>
              <w:jc w:val="center"/>
              <w:ind w:left="2"/>
              <w:spacing w:after="0" w:line="135" w:lineRule="exact"/>
              <w:rPr>
                <w:sz w:val="20"/>
                <w:szCs w:val="20"/>
                <w:color w:val="auto"/>
              </w:rPr>
            </w:pPr>
            <w:r>
              <w:rPr>
                <w:rFonts w:ascii="Arial" w:cs="Arial" w:eastAsia="Arial" w:hAnsi="Arial"/>
                <w:sz w:val="12"/>
                <w:szCs w:val="12"/>
                <w:color w:val="auto"/>
                <w:w w:val="93"/>
              </w:rPr>
              <w:t>Automotive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3,498,670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3,462,806</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3,498,670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Broder Bros., Co., Tranche A</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06/03/2021</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L+575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2,440,000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2,397,229</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2,422,820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Broder Bros., Co., Tranche B</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06/03/2021</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13.50%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L+1,225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2,460,000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2,415,653</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2,442,679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Camin Cargo Control,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06/30/2021</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Transportation: Cargo</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5.75%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2,468,750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2,448,157</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2,370,000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CareCentrix, Inc.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07/08/2021</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4,950,000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4,847,215</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4,863,375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CBAC Borrower, LLC </w:t>
            </w:r>
            <w:r>
              <w:rPr>
                <w:rFonts w:ascii="Arial" w:cs="Arial" w:eastAsia="Arial" w:hAnsi="Arial"/>
                <w:sz w:val="9"/>
                <w:szCs w:val="9"/>
                <w:color w:val="auto"/>
              </w:rPr>
              <w:t>(8)</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07/02/2020</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Hotel, Gaming and Leisure</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8.25%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L+700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4,962,500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4,930,912</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4,850,844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CD&amp;R TZ Purchaser, Inc.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07/21/2023</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L+600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12,500,000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12,179,928</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12,343,750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Charming Charlie LLC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12/24/2019</w:t>
            </w:r>
          </w:p>
        </w:tc>
        <w:tc>
          <w:tcPr>
            <w:tcW w:w="2060" w:type="dxa"/>
            <w:vAlign w:val="bottom"/>
            <w:shd w:val="clear" w:color="auto" w:fill="CCEEFF"/>
          </w:tcPr>
          <w:p>
            <w:pPr>
              <w:jc w:val="center"/>
              <w:ind w:left="2"/>
              <w:spacing w:after="0" w:line="135" w:lineRule="exact"/>
              <w:rPr>
                <w:sz w:val="20"/>
                <w:szCs w:val="20"/>
                <w:color w:val="auto"/>
              </w:rPr>
            </w:pPr>
            <w:r>
              <w:rPr>
                <w:rFonts w:ascii="Arial" w:cs="Arial" w:eastAsia="Arial" w:hAnsi="Arial"/>
                <w:sz w:val="12"/>
                <w:szCs w:val="12"/>
                <w:color w:val="auto"/>
                <w:w w:val="91"/>
              </w:rPr>
              <w:t>Retail</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9.00%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L+800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4,098,750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4,061,551</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3,750,357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540" w:type="dxa"/>
            <w:vAlign w:val="bottom"/>
          </w:tcPr>
          <w:p>
            <w:pPr>
              <w:spacing w:after="0" w:line="129" w:lineRule="exact"/>
              <w:rPr>
                <w:sz w:val="20"/>
                <w:szCs w:val="20"/>
                <w:color w:val="auto"/>
              </w:rPr>
            </w:pPr>
            <w:r>
              <w:rPr>
                <w:rFonts w:ascii="Arial" w:cs="Arial" w:eastAsia="Arial" w:hAnsi="Arial"/>
                <w:sz w:val="12"/>
                <w:szCs w:val="12"/>
                <w:color w:val="auto"/>
              </w:rPr>
              <w:t>Chicken Soup for the Soul Publishing, LLC</w:t>
            </w:r>
          </w:p>
        </w:tc>
        <w:tc>
          <w:tcPr>
            <w:tcW w:w="1000" w:type="dxa"/>
            <w:vAlign w:val="bottom"/>
          </w:tcPr>
          <w:p>
            <w:pPr>
              <w:jc w:val="center"/>
              <w:ind w:left="122"/>
              <w:spacing w:after="0" w:line="129" w:lineRule="exact"/>
              <w:rPr>
                <w:sz w:val="20"/>
                <w:szCs w:val="20"/>
                <w:color w:val="auto"/>
              </w:rPr>
            </w:pPr>
            <w:r>
              <w:rPr>
                <w:rFonts w:ascii="Arial" w:cs="Arial" w:eastAsia="Arial" w:hAnsi="Arial"/>
                <w:sz w:val="12"/>
                <w:szCs w:val="12"/>
                <w:color w:val="auto"/>
                <w:w w:val="89"/>
              </w:rPr>
              <w:t>01/08/2019</w:t>
            </w:r>
          </w:p>
        </w:tc>
        <w:tc>
          <w:tcPr>
            <w:tcW w:w="2060" w:type="dxa"/>
            <w:vAlign w:val="bottom"/>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7.50%</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L+625</w:t>
            </w:r>
          </w:p>
        </w:tc>
        <w:tc>
          <w:tcPr>
            <w:tcW w:w="720" w:type="dxa"/>
            <w:vAlign w:val="bottom"/>
          </w:tcPr>
          <w:p>
            <w:pPr>
              <w:jc w:val="right"/>
              <w:ind w:right="22"/>
              <w:spacing w:after="0" w:line="129" w:lineRule="exact"/>
              <w:rPr>
                <w:sz w:val="20"/>
                <w:szCs w:val="20"/>
                <w:color w:val="auto"/>
              </w:rPr>
            </w:pPr>
            <w:r>
              <w:rPr>
                <w:rFonts w:ascii="Arial" w:cs="Arial" w:eastAsia="Arial" w:hAnsi="Arial"/>
                <w:sz w:val="12"/>
                <w:szCs w:val="12"/>
                <w:color w:val="auto"/>
              </w:rPr>
              <w:t>4,828,571</w:t>
            </w:r>
          </w:p>
        </w:tc>
        <w:tc>
          <w:tcPr>
            <w:tcW w:w="780" w:type="dxa"/>
            <w:vAlign w:val="bottom"/>
          </w:tcPr>
          <w:p>
            <w:pPr>
              <w:jc w:val="right"/>
              <w:ind w:right="42"/>
              <w:spacing w:after="0" w:line="129" w:lineRule="exact"/>
              <w:rPr>
                <w:sz w:val="20"/>
                <w:szCs w:val="20"/>
                <w:color w:val="auto"/>
              </w:rPr>
            </w:pPr>
            <w:r>
              <w:rPr>
                <w:rFonts w:ascii="Arial" w:cs="Arial" w:eastAsia="Arial" w:hAnsi="Arial"/>
                <w:sz w:val="12"/>
                <w:szCs w:val="12"/>
                <w:color w:val="auto"/>
              </w:rPr>
              <w:t>4,801,254</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4,732,000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60" w:type="dxa"/>
            <w:vAlign w:val="bottom"/>
          </w:tcPr>
          <w:p>
            <w:pPr>
              <w:jc w:val="center"/>
              <w:spacing w:after="0"/>
              <w:rPr>
                <w:sz w:val="20"/>
                <w:szCs w:val="20"/>
                <w:color w:val="auto"/>
              </w:rPr>
            </w:pPr>
            <w:r>
              <w:rPr>
                <w:rFonts w:ascii="Arial" w:cs="Arial" w:eastAsia="Arial" w:hAnsi="Arial"/>
                <w:sz w:val="12"/>
                <w:szCs w:val="12"/>
                <w:color w:val="auto"/>
                <w:w w:val="90"/>
              </w:rPr>
              <w:t>Publishing</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Corfin Industries LLC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11/25/2020</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10.75%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L+975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6,272,600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6,163,749</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6,272,600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(10)</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11/25/2020</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0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518,033</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CRGT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12/21/2020</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7.50%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L+650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10,531,671</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10,451,145</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10,505,342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Curo Health Services Holdings, Inc.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02/07/2022</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1,970,000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1,953,997</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1,970,000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DBI Holding LLC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08/02/2021</w:t>
            </w:r>
          </w:p>
        </w:tc>
        <w:tc>
          <w:tcPr>
            <w:tcW w:w="2060" w:type="dxa"/>
            <w:vAlign w:val="bottom"/>
            <w:shd w:val="clear" w:color="auto" w:fill="CCEEFF"/>
          </w:tcPr>
          <w:p>
            <w:pPr>
              <w:jc w:val="center"/>
              <w:ind w:left="2"/>
              <w:spacing w:after="0" w:line="135" w:lineRule="exact"/>
              <w:rPr>
                <w:sz w:val="20"/>
                <w:szCs w:val="20"/>
                <w:color w:val="auto"/>
              </w:rPr>
            </w:pPr>
            <w:r>
              <w:rPr>
                <w:rFonts w:ascii="Arial" w:cs="Arial" w:eastAsia="Arial" w:hAnsi="Arial"/>
                <w:sz w:val="12"/>
                <w:szCs w:val="12"/>
                <w:color w:val="auto"/>
                <w:w w:val="85"/>
              </w:rPr>
              <w:t>Business Services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L+525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10,000,000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9,900,163</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9,900,000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DCS Business Services, Inc.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03/19/2018</w:t>
            </w:r>
          </w:p>
        </w:tc>
        <w:tc>
          <w:tcPr>
            <w:tcW w:w="2060" w:type="dxa"/>
            <w:vAlign w:val="bottom"/>
          </w:tcPr>
          <w:p>
            <w:pPr>
              <w:jc w:val="center"/>
              <w:ind w:left="2"/>
              <w:spacing w:after="0" w:line="135" w:lineRule="exact"/>
              <w:rPr>
                <w:sz w:val="20"/>
                <w:szCs w:val="20"/>
                <w:color w:val="auto"/>
              </w:rPr>
            </w:pPr>
            <w:r>
              <w:rPr>
                <w:rFonts w:ascii="Arial" w:cs="Arial" w:eastAsia="Arial" w:hAnsi="Arial"/>
                <w:sz w:val="12"/>
                <w:szCs w:val="12"/>
                <w:color w:val="auto"/>
                <w:w w:val="85"/>
              </w:rPr>
              <w:t>Business Services</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8.75%</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L+725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2,237,139</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2,225,615</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2,237,139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DISA Global Solutions,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12/09/2020</w:t>
            </w:r>
          </w:p>
        </w:tc>
        <w:tc>
          <w:tcPr>
            <w:tcW w:w="2060" w:type="dxa"/>
            <w:vAlign w:val="bottom"/>
            <w:shd w:val="clear" w:color="auto" w:fill="CCEEFF"/>
          </w:tcPr>
          <w:p>
            <w:pPr>
              <w:jc w:val="center"/>
              <w:ind w:left="2"/>
              <w:spacing w:after="0" w:line="135" w:lineRule="exact"/>
              <w:rPr>
                <w:sz w:val="20"/>
                <w:szCs w:val="20"/>
                <w:color w:val="auto"/>
              </w:rPr>
            </w:pPr>
            <w:r>
              <w:rPr>
                <w:rFonts w:ascii="Arial" w:cs="Arial" w:eastAsia="Arial" w:hAnsi="Arial"/>
                <w:sz w:val="12"/>
                <w:szCs w:val="12"/>
                <w:color w:val="auto"/>
                <w:w w:val="85"/>
              </w:rPr>
              <w:t>Business Services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5.50%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L+450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4,925,000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4,889,096</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4,875,750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06/30/2020</w:t>
            </w:r>
          </w:p>
        </w:tc>
        <w:tc>
          <w:tcPr>
            <w:tcW w:w="2060" w:type="dxa"/>
            <w:vAlign w:val="bottom"/>
          </w:tcPr>
          <w:p>
            <w:pPr>
              <w:jc w:val="center"/>
              <w:ind w:left="2"/>
              <w:spacing w:after="0" w:line="135" w:lineRule="exact"/>
              <w:rPr>
                <w:sz w:val="20"/>
                <w:szCs w:val="20"/>
                <w:color w:val="auto"/>
              </w:rPr>
            </w:pPr>
            <w:r>
              <w:rPr>
                <w:rFonts w:ascii="Arial" w:cs="Arial" w:eastAsia="Arial" w:hAnsi="Arial"/>
                <w:sz w:val="12"/>
                <w:szCs w:val="12"/>
                <w:color w:val="auto"/>
                <w:w w:val="87"/>
              </w:rPr>
              <w:t>Chemicals, Plastics and Rubber</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5.75%</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L+475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4,687,500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4,659,016</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4,687,500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Driven Performance Brands, Inc. </w:t>
            </w:r>
            <w:r>
              <w:rPr>
                <w:rFonts w:ascii="Arial" w:cs="Arial" w:eastAsia="Arial" w:hAnsi="Arial"/>
                <w:sz w:val="9"/>
                <w:szCs w:val="9"/>
                <w:color w:val="auto"/>
              </w:rPr>
              <w:t>(8)</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09/10/2020</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5.75%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8,550,000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8,513,835</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8,507,250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 xml:space="preserve">Driven Performance Brands, Inc. (Revolver) </w:t>
            </w:r>
            <w:r>
              <w:rPr>
                <w:rFonts w:ascii="Arial" w:cs="Arial" w:eastAsia="Arial" w:hAnsi="Arial"/>
                <w:sz w:val="9"/>
                <w:szCs w:val="9"/>
                <w:color w:val="auto"/>
              </w:rPr>
              <w:t>(8), (10)</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09/10/2020</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0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1,000,000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Education Networks of America,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05/06/2021</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L+700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8,641,304</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8,599,431</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8,598,098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Education Networks of America, Inc. (Revolver)</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05/06/2021</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L+700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434,783</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434,783</w:t>
            </w: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434,783</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(10)</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05/06/2021</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70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869,565</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Efficient Collaborative Retail Marketing Company, LLC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06/15/2022</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7.75%</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L+675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10,972,500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10,864,398</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10,972,500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Emerging Markets Communications, LLC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07/01/2021</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6.75%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L+575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4,937,500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4,875,844</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4,702,969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FHC Health Systems, Inc.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12/23/2021</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L+400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4,925,000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4,884,041</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4,798,821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GlobalLogic Holdings,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05/31/2019</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L+525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3,890,000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3,867,640</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3,880,275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Greenway Health, LLC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11/04/2020</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6,807,500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6,765,938</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6,620,294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GTCR Valor Companies,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06/16/2023</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Media: Broadcasting and Subscription</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7,481,250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7,191,975</w:t>
            </w:r>
          </w:p>
        </w:tc>
        <w:tc>
          <w:tcPr>
            <w:tcW w:w="8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7,116,539</w:t>
            </w:r>
          </w:p>
        </w:tc>
        <w:tc>
          <w:tcPr>
            <w:tcW w:w="0" w:type="dxa"/>
            <w:vAlign w:val="bottom"/>
          </w:tcPr>
          <w:p>
            <w:pPr>
              <w:spacing w:after="0"/>
              <w:rPr>
                <w:sz w:val="1"/>
                <w:szCs w:val="1"/>
                <w:color w:val="auto"/>
              </w:rPr>
            </w:pPr>
          </w:p>
        </w:tc>
      </w:tr>
      <w:tr>
        <w:trPr>
          <w:trHeight w:val="129"/>
        </w:trPr>
        <w:tc>
          <w:tcPr>
            <w:tcW w:w="4540" w:type="dxa"/>
            <w:vAlign w:val="bottom"/>
          </w:tcPr>
          <w:p>
            <w:pPr>
              <w:spacing w:after="0" w:line="129" w:lineRule="exact"/>
              <w:rPr>
                <w:sz w:val="20"/>
                <w:szCs w:val="20"/>
                <w:color w:val="auto"/>
              </w:rPr>
            </w:pPr>
            <w:r>
              <w:rPr>
                <w:rFonts w:ascii="Arial" w:cs="Arial" w:eastAsia="Arial" w:hAnsi="Arial"/>
                <w:sz w:val="12"/>
                <w:szCs w:val="12"/>
                <w:color w:val="auto"/>
              </w:rPr>
              <w:t>Harbortouch Payments, LLC</w:t>
            </w:r>
          </w:p>
        </w:tc>
        <w:tc>
          <w:tcPr>
            <w:tcW w:w="1000" w:type="dxa"/>
            <w:vAlign w:val="bottom"/>
          </w:tcPr>
          <w:p>
            <w:pPr>
              <w:jc w:val="center"/>
              <w:ind w:left="122"/>
              <w:spacing w:after="0" w:line="129" w:lineRule="exact"/>
              <w:rPr>
                <w:sz w:val="20"/>
                <w:szCs w:val="20"/>
                <w:color w:val="auto"/>
              </w:rPr>
            </w:pPr>
            <w:r>
              <w:rPr>
                <w:rFonts w:ascii="Arial" w:cs="Arial" w:eastAsia="Arial" w:hAnsi="Arial"/>
                <w:sz w:val="12"/>
                <w:szCs w:val="12"/>
                <w:color w:val="auto"/>
                <w:w w:val="89"/>
              </w:rPr>
              <w:t>05/31/2022</w:t>
            </w:r>
          </w:p>
        </w:tc>
        <w:tc>
          <w:tcPr>
            <w:tcW w:w="2060" w:type="dxa"/>
            <w:vAlign w:val="bottom"/>
          </w:tcPr>
          <w:p>
            <w:pPr>
              <w:jc w:val="center"/>
              <w:spacing w:after="0" w:line="129" w:lineRule="exact"/>
              <w:rPr>
                <w:sz w:val="20"/>
                <w:szCs w:val="20"/>
                <w:color w:val="auto"/>
              </w:rPr>
            </w:pPr>
            <w:r>
              <w:rPr>
                <w:rFonts w:ascii="Arial" w:cs="Arial" w:eastAsia="Arial" w:hAnsi="Arial"/>
                <w:sz w:val="12"/>
                <w:szCs w:val="12"/>
                <w:color w:val="auto"/>
                <w:w w:val="87"/>
              </w:rPr>
              <w:t>Banking, Finance, Insurance and Real</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7.00%</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L+600</w:t>
            </w:r>
          </w:p>
        </w:tc>
        <w:tc>
          <w:tcPr>
            <w:tcW w:w="720" w:type="dxa"/>
            <w:vAlign w:val="bottom"/>
          </w:tcPr>
          <w:p>
            <w:pPr>
              <w:jc w:val="right"/>
              <w:ind w:right="22"/>
              <w:spacing w:after="0" w:line="129" w:lineRule="exact"/>
              <w:rPr>
                <w:sz w:val="20"/>
                <w:szCs w:val="20"/>
                <w:color w:val="auto"/>
              </w:rPr>
            </w:pPr>
            <w:r>
              <w:rPr>
                <w:rFonts w:ascii="Arial" w:cs="Arial" w:eastAsia="Arial" w:hAnsi="Arial"/>
                <w:sz w:val="12"/>
                <w:szCs w:val="12"/>
                <w:color w:val="auto"/>
              </w:rPr>
              <w:t>6,956,250</w:t>
            </w:r>
          </w:p>
        </w:tc>
        <w:tc>
          <w:tcPr>
            <w:tcW w:w="780" w:type="dxa"/>
            <w:vAlign w:val="bottom"/>
          </w:tcPr>
          <w:p>
            <w:pPr>
              <w:jc w:val="right"/>
              <w:ind w:right="42"/>
              <w:spacing w:after="0" w:line="129" w:lineRule="exact"/>
              <w:rPr>
                <w:sz w:val="20"/>
                <w:szCs w:val="20"/>
                <w:color w:val="auto"/>
              </w:rPr>
            </w:pPr>
            <w:r>
              <w:rPr>
                <w:rFonts w:ascii="Arial" w:cs="Arial" w:eastAsia="Arial" w:hAnsi="Arial"/>
                <w:sz w:val="12"/>
                <w:szCs w:val="12"/>
                <w:color w:val="auto"/>
              </w:rPr>
              <w:t>6,889,369</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7,025,812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60" w:type="dxa"/>
            <w:vAlign w:val="bottom"/>
          </w:tcPr>
          <w:p>
            <w:pPr>
              <w:jc w:val="center"/>
              <w:spacing w:after="0"/>
              <w:rPr>
                <w:sz w:val="20"/>
                <w:szCs w:val="20"/>
                <w:color w:val="auto"/>
              </w:rPr>
            </w:pPr>
            <w:r>
              <w:rPr>
                <w:rFonts w:ascii="Arial" w:cs="Arial" w:eastAsia="Arial" w:hAnsi="Arial"/>
                <w:sz w:val="12"/>
                <w:szCs w:val="12"/>
                <w:color w:val="auto"/>
                <w:w w:val="88"/>
              </w:rPr>
              <w:t>Estate</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Highline Aftermarket Acquisition, LLC (f/k/a DYK Prime Acquisition, LLC)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04/01/2022</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Wholesale</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5.75%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7,312,500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7,244,146</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7,275,937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Hollander Sleep Products, LLC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10/21/2020</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L+800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1,165,886</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1,153,016</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1,142,569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Hostway Corporation</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12/13/2019</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2,624,730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2,610,592</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2,183,890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 xml:space="preserve">Hunter Defense Technologies, Inc. </w:t>
            </w:r>
            <w:r>
              <w:rPr>
                <w:rFonts w:ascii="Arial" w:cs="Arial" w:eastAsia="Arial" w:hAnsi="Arial"/>
                <w:sz w:val="9"/>
                <w:szCs w:val="9"/>
                <w:color w:val="auto"/>
              </w:rPr>
              <w:t>(8)</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08/05/2019</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L+600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6,256,250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6,218,559</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5,505,500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Icynene U.S. Acquisition Corp. </w:t>
            </w:r>
            <w:r>
              <w:rPr>
                <w:rFonts w:ascii="Arial" w:cs="Arial" w:eastAsia="Arial" w:hAnsi="Arial"/>
                <w:sz w:val="9"/>
                <w:szCs w:val="9"/>
                <w:color w:val="auto"/>
              </w:rPr>
              <w:t>(6), (11)</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11/04/2020</w:t>
            </w:r>
          </w:p>
        </w:tc>
        <w:tc>
          <w:tcPr>
            <w:tcW w:w="2060" w:type="dxa"/>
            <w:vAlign w:val="bottom"/>
            <w:shd w:val="clear" w:color="auto" w:fill="CCEEFF"/>
          </w:tcPr>
          <w:p>
            <w:pPr>
              <w:jc w:val="center"/>
              <w:ind w:left="2"/>
              <w:spacing w:after="0" w:line="135" w:lineRule="exact"/>
              <w:rPr>
                <w:sz w:val="20"/>
                <w:szCs w:val="20"/>
                <w:color w:val="auto"/>
              </w:rPr>
            </w:pPr>
            <w:r>
              <w:rPr>
                <w:rFonts w:ascii="Arial" w:cs="Arial" w:eastAsia="Arial" w:hAnsi="Arial"/>
                <w:sz w:val="12"/>
                <w:szCs w:val="12"/>
                <w:color w:val="auto"/>
                <w:w w:val="90"/>
              </w:rPr>
              <w:t>Construction and Building</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7.25%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L+625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6,225,820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6,133,990</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6,225,820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Idera, Inc.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04/09/2021</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7,942,494</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7,293,179</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7,684,363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(6), (11)</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05/01/2019</w:t>
            </w:r>
          </w:p>
        </w:tc>
        <w:tc>
          <w:tcPr>
            <w:tcW w:w="2060" w:type="dxa"/>
            <w:vAlign w:val="bottom"/>
            <w:shd w:val="clear" w:color="auto" w:fill="CCEEFF"/>
          </w:tcPr>
          <w:p>
            <w:pPr>
              <w:jc w:val="center"/>
              <w:ind w:left="2"/>
              <w:spacing w:after="0" w:line="135" w:lineRule="exact"/>
              <w:rPr>
                <w:sz w:val="20"/>
                <w:szCs w:val="20"/>
                <w:color w:val="auto"/>
              </w:rPr>
            </w:pPr>
            <w:r>
              <w:rPr>
                <w:rFonts w:ascii="Arial" w:cs="Arial" w:eastAsia="Arial" w:hAnsi="Arial"/>
                <w:sz w:val="12"/>
                <w:szCs w:val="12"/>
                <w:color w:val="auto"/>
                <w:w w:val="85"/>
              </w:rPr>
              <w:t>Business Services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7.25%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8,676,097</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8,614,521</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8,242,292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540" w:type="dxa"/>
            <w:vAlign w:val="bottom"/>
          </w:tcPr>
          <w:p>
            <w:pPr>
              <w:spacing w:after="0" w:line="129" w:lineRule="exact"/>
              <w:rPr>
                <w:sz w:val="20"/>
                <w:szCs w:val="20"/>
                <w:color w:val="auto"/>
              </w:rPr>
            </w:pPr>
            <w:r>
              <w:rPr>
                <w:rFonts w:ascii="Arial" w:cs="Arial" w:eastAsia="Arial" w:hAnsi="Arial"/>
                <w:sz w:val="12"/>
                <w:szCs w:val="12"/>
                <w:color w:val="auto"/>
              </w:rPr>
              <w:t>Imagine! Print Solutions, LLC</w:t>
            </w:r>
          </w:p>
        </w:tc>
        <w:tc>
          <w:tcPr>
            <w:tcW w:w="1000" w:type="dxa"/>
            <w:vAlign w:val="bottom"/>
          </w:tcPr>
          <w:p>
            <w:pPr>
              <w:jc w:val="center"/>
              <w:ind w:left="122"/>
              <w:spacing w:after="0" w:line="129" w:lineRule="exact"/>
              <w:rPr>
                <w:sz w:val="20"/>
                <w:szCs w:val="20"/>
                <w:color w:val="auto"/>
              </w:rPr>
            </w:pPr>
            <w:r>
              <w:rPr>
                <w:rFonts w:ascii="Arial" w:cs="Arial" w:eastAsia="Arial" w:hAnsi="Arial"/>
                <w:sz w:val="12"/>
                <w:szCs w:val="12"/>
                <w:color w:val="auto"/>
                <w:w w:val="89"/>
              </w:rPr>
              <w:t>03/30/2022</w:t>
            </w:r>
          </w:p>
        </w:tc>
        <w:tc>
          <w:tcPr>
            <w:tcW w:w="2060" w:type="dxa"/>
            <w:vAlign w:val="bottom"/>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7.00%</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L+600</w:t>
            </w:r>
          </w:p>
        </w:tc>
        <w:tc>
          <w:tcPr>
            <w:tcW w:w="720" w:type="dxa"/>
            <w:vAlign w:val="bottom"/>
          </w:tcPr>
          <w:p>
            <w:pPr>
              <w:jc w:val="right"/>
              <w:ind w:right="22"/>
              <w:spacing w:after="0" w:line="129" w:lineRule="exact"/>
              <w:rPr>
                <w:sz w:val="20"/>
                <w:szCs w:val="20"/>
                <w:color w:val="auto"/>
              </w:rPr>
            </w:pPr>
            <w:r>
              <w:rPr>
                <w:rFonts w:ascii="Arial" w:cs="Arial" w:eastAsia="Arial" w:hAnsi="Arial"/>
                <w:sz w:val="12"/>
                <w:szCs w:val="12"/>
                <w:color w:val="auto"/>
              </w:rPr>
              <w:t>5,974,987</w:t>
            </w:r>
          </w:p>
        </w:tc>
        <w:tc>
          <w:tcPr>
            <w:tcW w:w="780" w:type="dxa"/>
            <w:vAlign w:val="bottom"/>
          </w:tcPr>
          <w:p>
            <w:pPr>
              <w:jc w:val="right"/>
              <w:ind w:right="42"/>
              <w:spacing w:after="0" w:line="129" w:lineRule="exact"/>
              <w:rPr>
                <w:sz w:val="20"/>
                <w:szCs w:val="20"/>
                <w:color w:val="auto"/>
              </w:rPr>
            </w:pPr>
            <w:r>
              <w:rPr>
                <w:rFonts w:ascii="Arial" w:cs="Arial" w:eastAsia="Arial" w:hAnsi="Arial"/>
                <w:sz w:val="12"/>
                <w:szCs w:val="12"/>
                <w:color w:val="auto"/>
              </w:rPr>
              <w:t>5,914,562</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6,027,269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60" w:type="dxa"/>
            <w:vAlign w:val="bottom"/>
          </w:tcPr>
          <w:p>
            <w:pPr>
              <w:jc w:val="center"/>
              <w:spacing w:after="0"/>
              <w:rPr>
                <w:sz w:val="20"/>
                <w:szCs w:val="20"/>
                <w:color w:val="auto"/>
              </w:rPr>
            </w:pPr>
            <w:r>
              <w:rPr>
                <w:rFonts w:ascii="Arial" w:cs="Arial" w:eastAsia="Arial" w:hAnsi="Arial"/>
                <w:sz w:val="12"/>
                <w:szCs w:val="12"/>
                <w:color w:val="auto"/>
                <w:w w:val="90"/>
              </w:rPr>
              <w:t>Publishing</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5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Instant Web, LLC, Term Loan A</w:t>
            </w:r>
          </w:p>
        </w:tc>
        <w:tc>
          <w:tcPr>
            <w:tcW w:w="1000" w:type="dxa"/>
            <w:vAlign w:val="bottom"/>
            <w:shd w:val="clear" w:color="auto" w:fill="CCEEFF"/>
          </w:tcPr>
          <w:p>
            <w:pPr>
              <w:jc w:val="center"/>
              <w:ind w:left="122"/>
              <w:spacing w:after="0" w:line="129" w:lineRule="exact"/>
              <w:rPr>
                <w:sz w:val="20"/>
                <w:szCs w:val="20"/>
                <w:color w:val="auto"/>
              </w:rPr>
            </w:pPr>
            <w:r>
              <w:rPr>
                <w:rFonts w:ascii="Arial" w:cs="Arial" w:eastAsia="Arial" w:hAnsi="Arial"/>
                <w:sz w:val="12"/>
                <w:szCs w:val="12"/>
                <w:color w:val="auto"/>
                <w:w w:val="89"/>
              </w:rPr>
              <w:t>03/28/2019</w:t>
            </w:r>
          </w:p>
        </w:tc>
        <w:tc>
          <w:tcPr>
            <w:tcW w:w="206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70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5.50%</w:t>
            </w:r>
          </w:p>
        </w:tc>
        <w:tc>
          <w:tcPr>
            <w:tcW w:w="74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L+450</w:t>
            </w:r>
          </w:p>
        </w:tc>
        <w:tc>
          <w:tcPr>
            <w:tcW w:w="72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5,277,938</w:t>
            </w:r>
          </w:p>
        </w:tc>
        <w:tc>
          <w:tcPr>
            <w:tcW w:w="78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5,235,239</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5,277,938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5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Publishing</w:t>
            </w: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540" w:type="dxa"/>
            <w:vAlign w:val="bottom"/>
          </w:tcPr>
          <w:p>
            <w:pPr>
              <w:spacing w:after="0" w:line="129" w:lineRule="exact"/>
              <w:rPr>
                <w:sz w:val="20"/>
                <w:szCs w:val="20"/>
                <w:color w:val="auto"/>
              </w:rPr>
            </w:pPr>
            <w:r>
              <w:rPr>
                <w:rFonts w:ascii="Arial" w:cs="Arial" w:eastAsia="Arial" w:hAnsi="Arial"/>
                <w:sz w:val="12"/>
                <w:szCs w:val="12"/>
                <w:color w:val="auto"/>
              </w:rPr>
              <w:t>Instant Web, LLC, Term Loan B</w:t>
            </w:r>
          </w:p>
        </w:tc>
        <w:tc>
          <w:tcPr>
            <w:tcW w:w="1000" w:type="dxa"/>
            <w:vAlign w:val="bottom"/>
          </w:tcPr>
          <w:p>
            <w:pPr>
              <w:jc w:val="center"/>
              <w:ind w:left="122"/>
              <w:spacing w:after="0" w:line="129" w:lineRule="exact"/>
              <w:rPr>
                <w:sz w:val="20"/>
                <w:szCs w:val="20"/>
                <w:color w:val="auto"/>
              </w:rPr>
            </w:pPr>
            <w:r>
              <w:rPr>
                <w:rFonts w:ascii="Arial" w:cs="Arial" w:eastAsia="Arial" w:hAnsi="Arial"/>
                <w:sz w:val="12"/>
                <w:szCs w:val="12"/>
                <w:color w:val="auto"/>
                <w:w w:val="89"/>
              </w:rPr>
              <w:t>03/28/2019</w:t>
            </w:r>
          </w:p>
        </w:tc>
        <w:tc>
          <w:tcPr>
            <w:tcW w:w="2060" w:type="dxa"/>
            <w:vAlign w:val="bottom"/>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12.00%</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L+1,100</w:t>
            </w:r>
          </w:p>
        </w:tc>
        <w:tc>
          <w:tcPr>
            <w:tcW w:w="720" w:type="dxa"/>
            <w:vAlign w:val="bottom"/>
          </w:tcPr>
          <w:p>
            <w:pPr>
              <w:jc w:val="right"/>
              <w:ind w:right="22"/>
              <w:spacing w:after="0" w:line="129" w:lineRule="exact"/>
              <w:rPr>
                <w:sz w:val="20"/>
                <w:szCs w:val="20"/>
                <w:color w:val="auto"/>
              </w:rPr>
            </w:pPr>
            <w:r>
              <w:rPr>
                <w:rFonts w:ascii="Arial" w:cs="Arial" w:eastAsia="Arial" w:hAnsi="Arial"/>
                <w:sz w:val="12"/>
                <w:szCs w:val="12"/>
                <w:color w:val="auto"/>
              </w:rPr>
              <w:t>4,500,000</w:t>
            </w:r>
          </w:p>
        </w:tc>
        <w:tc>
          <w:tcPr>
            <w:tcW w:w="780" w:type="dxa"/>
            <w:vAlign w:val="bottom"/>
          </w:tcPr>
          <w:p>
            <w:pPr>
              <w:jc w:val="right"/>
              <w:ind w:right="42"/>
              <w:spacing w:after="0" w:line="129" w:lineRule="exact"/>
              <w:rPr>
                <w:sz w:val="20"/>
                <w:szCs w:val="20"/>
                <w:color w:val="auto"/>
              </w:rPr>
            </w:pPr>
            <w:r>
              <w:rPr>
                <w:rFonts w:ascii="Arial" w:cs="Arial" w:eastAsia="Arial" w:hAnsi="Arial"/>
                <w:sz w:val="12"/>
                <w:szCs w:val="12"/>
                <w:color w:val="auto"/>
              </w:rPr>
              <w:t>4,460,571</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4,500,000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60" w:type="dxa"/>
            <w:vAlign w:val="bottom"/>
          </w:tcPr>
          <w:p>
            <w:pPr>
              <w:jc w:val="center"/>
              <w:spacing w:after="0"/>
              <w:rPr>
                <w:sz w:val="20"/>
                <w:szCs w:val="20"/>
                <w:color w:val="auto"/>
              </w:rPr>
            </w:pPr>
            <w:r>
              <w:rPr>
                <w:rFonts w:ascii="Arial" w:cs="Arial" w:eastAsia="Arial" w:hAnsi="Arial"/>
                <w:sz w:val="12"/>
                <w:szCs w:val="12"/>
                <w:color w:val="auto"/>
                <w:w w:val="90"/>
              </w:rPr>
              <w:t>Publishing</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Interior Specialists,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06/30/2020</w:t>
            </w:r>
          </w:p>
        </w:tc>
        <w:tc>
          <w:tcPr>
            <w:tcW w:w="2060" w:type="dxa"/>
            <w:vAlign w:val="bottom"/>
            <w:shd w:val="clear" w:color="auto" w:fill="CCEEFF"/>
          </w:tcPr>
          <w:p>
            <w:pPr>
              <w:jc w:val="center"/>
              <w:ind w:left="2"/>
              <w:spacing w:after="0" w:line="135" w:lineRule="exact"/>
              <w:rPr>
                <w:sz w:val="20"/>
                <w:szCs w:val="20"/>
                <w:color w:val="auto"/>
              </w:rPr>
            </w:pPr>
            <w:r>
              <w:rPr>
                <w:rFonts w:ascii="Arial" w:cs="Arial" w:eastAsia="Arial" w:hAnsi="Arial"/>
                <w:sz w:val="12"/>
                <w:szCs w:val="12"/>
                <w:color w:val="auto"/>
                <w:w w:val="90"/>
              </w:rPr>
              <w:t>Construction and Building</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9.00%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L+800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6,662,719</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6,609,864</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6,662,719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Inventus Power, Inc. (f/k/a ICC-Nexergy, Inc.)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04/30/2020</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4,882,266</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4,846,935</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4,686,976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Jackson Hewitt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07/30/2020</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Consumer Services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L+700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4,900,000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4,820,995</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4,753,000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(8)</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02/19/2021</w:t>
            </w:r>
          </w:p>
        </w:tc>
        <w:tc>
          <w:tcPr>
            <w:tcW w:w="2060" w:type="dxa"/>
            <w:vAlign w:val="bottom"/>
          </w:tcPr>
          <w:p>
            <w:pPr>
              <w:jc w:val="center"/>
              <w:ind w:left="2"/>
              <w:spacing w:after="0" w:line="135" w:lineRule="exact"/>
              <w:rPr>
                <w:sz w:val="20"/>
                <w:szCs w:val="20"/>
                <w:color w:val="auto"/>
              </w:rPr>
            </w:pPr>
            <w:r>
              <w:rPr>
                <w:rFonts w:ascii="Arial" w:cs="Arial" w:eastAsia="Arial" w:hAnsi="Arial"/>
                <w:sz w:val="12"/>
                <w:szCs w:val="12"/>
                <w:color w:val="auto"/>
                <w:w w:val="87"/>
              </w:rPr>
              <w:t>Chemicals, Plastics and Rubber</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L+900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4,002,471</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3,932,760</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3,925,841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Kendra Scott, LLC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07/17/2020</w:t>
            </w:r>
          </w:p>
        </w:tc>
        <w:tc>
          <w:tcPr>
            <w:tcW w:w="2060" w:type="dxa"/>
            <w:vAlign w:val="bottom"/>
            <w:shd w:val="clear" w:color="auto" w:fill="CCEEFF"/>
          </w:tcPr>
          <w:p>
            <w:pPr>
              <w:jc w:val="center"/>
              <w:ind w:left="2"/>
              <w:spacing w:after="0" w:line="135" w:lineRule="exact"/>
              <w:rPr>
                <w:sz w:val="20"/>
                <w:szCs w:val="20"/>
                <w:color w:val="auto"/>
              </w:rPr>
            </w:pPr>
            <w:r>
              <w:rPr>
                <w:rFonts w:ascii="Arial" w:cs="Arial" w:eastAsia="Arial" w:hAnsi="Arial"/>
                <w:sz w:val="12"/>
                <w:szCs w:val="12"/>
                <w:color w:val="auto"/>
                <w:w w:val="91"/>
              </w:rPr>
              <w:t>Retail</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L+600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2,850,000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2,827,307</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2,821,500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KHC Holdings, Inc.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10/31/2022</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9"/>
              </w:rPr>
              <w:t>Wholesale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L+600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12,406,250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12,210,683</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12,344,219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(8), (10)</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10/30/2020</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Wholesale</w:t>
            </w:r>
          </w:p>
        </w:tc>
        <w:tc>
          <w:tcPr>
            <w:tcW w:w="70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1,209,677</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Lago Resort &amp; Casino, LLC</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03/07/2022</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8"/>
              </w:rPr>
              <w:t>Hotel, Gaming and Leisure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L+950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10,174,500</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9,984,965</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9,971,010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Lanyon Solutions,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11/13/2020</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5.50%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L+450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1,945,020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1,940,066</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1,930,432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(8)</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11/30/2018</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L+525</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5,407,864</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5,371,524</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5,272,668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Lindblad Expeditions, Inc. </w:t>
            </w:r>
            <w:r>
              <w:rPr>
                <w:rFonts w:ascii="Arial" w:cs="Arial" w:eastAsia="Arial" w:hAnsi="Arial"/>
                <w:sz w:val="9"/>
                <w:szCs w:val="9"/>
                <w:color w:val="auto"/>
              </w:rPr>
              <w:t>(6), (11)</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05/10/2021</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Hotel, Gaming and Leisure</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5.50%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L+450</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2,186,607</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2,177,539</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2,186,607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Arial" w:cs="Arial" w:eastAsia="Arial" w:hAnsi="Arial"/>
                <w:sz w:val="12"/>
                <w:szCs w:val="12"/>
                <w:color w:val="auto"/>
              </w:rPr>
              <w:t xml:space="preserve">Lindblad Maritime Enterprises, Ltd. </w:t>
            </w:r>
            <w:r>
              <w:rPr>
                <w:rFonts w:ascii="Arial" w:cs="Arial" w:eastAsia="Arial" w:hAnsi="Arial"/>
                <w:sz w:val="9"/>
                <w:szCs w:val="9"/>
                <w:color w:val="auto"/>
              </w:rPr>
              <w:t>(6), (11)</w:t>
            </w:r>
          </w:p>
        </w:tc>
        <w:tc>
          <w:tcPr>
            <w:tcW w:w="100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89"/>
              </w:rPr>
              <w:t>05/10/2021</w:t>
            </w:r>
          </w:p>
        </w:tc>
        <w:tc>
          <w:tcPr>
            <w:tcW w:w="2060" w:type="dxa"/>
            <w:vAlign w:val="bottom"/>
          </w:tcPr>
          <w:p>
            <w:pPr>
              <w:jc w:val="center"/>
              <w:spacing w:after="0" w:line="135" w:lineRule="exact"/>
              <w:rPr>
                <w:sz w:val="20"/>
                <w:szCs w:val="20"/>
                <w:color w:val="auto"/>
              </w:rPr>
            </w:pPr>
            <w:r>
              <w:rPr>
                <w:rFonts w:ascii="Arial" w:cs="Arial" w:eastAsia="Arial" w:hAnsi="Arial"/>
                <w:sz w:val="12"/>
                <w:szCs w:val="12"/>
                <w:color w:val="auto"/>
                <w:w w:val="88"/>
              </w:rPr>
              <w:t>Hotel, Gaming and Leisure</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L+450</w:t>
            </w:r>
          </w:p>
        </w:tc>
        <w:tc>
          <w:tcPr>
            <w:tcW w:w="7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282,143</w:t>
            </w:r>
          </w:p>
        </w:tc>
        <w:tc>
          <w:tcPr>
            <w:tcW w:w="7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280,973</w:t>
            </w: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282,143</w:t>
            </w:r>
          </w:p>
        </w:tc>
        <w:tc>
          <w:tcPr>
            <w:tcW w:w="0" w:type="dxa"/>
            <w:vAlign w:val="bottom"/>
          </w:tcPr>
          <w:p>
            <w:pPr>
              <w:spacing w:after="0"/>
              <w:rPr>
                <w:sz w:val="1"/>
                <w:szCs w:val="1"/>
                <w:color w:val="auto"/>
              </w:rPr>
            </w:pPr>
          </w:p>
        </w:tc>
      </w:tr>
      <w:tr>
        <w:trPr>
          <w:trHeight w:val="135"/>
        </w:trPr>
        <w:tc>
          <w:tcPr>
            <w:tcW w:w="4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Lombart Brothers, Inc.</w:t>
            </w:r>
          </w:p>
        </w:tc>
        <w:tc>
          <w:tcPr>
            <w:tcW w:w="1000" w:type="dxa"/>
            <w:vAlign w:val="bottom"/>
            <w:shd w:val="clear" w:color="auto" w:fill="CCEEFF"/>
          </w:tcPr>
          <w:p>
            <w:pPr>
              <w:jc w:val="center"/>
              <w:ind w:left="122"/>
              <w:spacing w:after="0" w:line="135" w:lineRule="exact"/>
              <w:rPr>
                <w:sz w:val="20"/>
                <w:szCs w:val="20"/>
                <w:color w:val="auto"/>
              </w:rPr>
            </w:pPr>
            <w:r>
              <w:rPr>
                <w:rFonts w:ascii="Arial" w:cs="Arial" w:eastAsia="Arial" w:hAnsi="Arial"/>
                <w:sz w:val="12"/>
                <w:szCs w:val="12"/>
                <w:color w:val="auto"/>
                <w:w w:val="89"/>
              </w:rPr>
              <w:t>04/13/2022</w:t>
            </w:r>
          </w:p>
        </w:tc>
        <w:tc>
          <w:tcPr>
            <w:tcW w:w="2060" w:type="dxa"/>
            <w:vAlign w:val="bottom"/>
            <w:shd w:val="clear" w:color="auto" w:fill="CCEEFF"/>
          </w:tcPr>
          <w:p>
            <w:pPr>
              <w:jc w:val="center"/>
              <w:ind w:left="2"/>
              <w:spacing w:after="0" w:line="135" w:lineRule="exact"/>
              <w:rPr>
                <w:sz w:val="20"/>
                <w:szCs w:val="20"/>
                <w:color w:val="auto"/>
              </w:rPr>
            </w:pPr>
            <w:r>
              <w:rPr>
                <w:rFonts w:ascii="Arial" w:cs="Arial" w:eastAsia="Arial" w:hAnsi="Arial"/>
                <w:sz w:val="12"/>
                <w:szCs w:val="12"/>
                <w:color w:val="auto"/>
                <w:w w:val="89"/>
              </w:rPr>
              <w:t>Capital Equipment</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7.75%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L+675</w:t>
            </w:r>
          </w:p>
        </w:tc>
        <w:tc>
          <w:tcPr>
            <w:tcW w:w="72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5,985,000</w:t>
            </w:r>
          </w:p>
        </w:tc>
        <w:tc>
          <w:tcPr>
            <w:tcW w:w="78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5,901,046</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6,014,925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w:t>
            </w:r>
          </w:p>
        </w:tc>
        <w:tc>
          <w:tcPr>
            <w:tcW w:w="1000" w:type="dxa"/>
            <w:vAlign w:val="bottom"/>
          </w:tcPr>
          <w:p>
            <w:pPr>
              <w:jc w:val="center"/>
              <w:ind w:left="122"/>
              <w:spacing w:after="0"/>
              <w:rPr>
                <w:sz w:val="20"/>
                <w:szCs w:val="20"/>
                <w:color w:val="auto"/>
              </w:rPr>
            </w:pPr>
            <w:r>
              <w:rPr>
                <w:rFonts w:ascii="Arial" w:cs="Arial" w:eastAsia="Arial" w:hAnsi="Arial"/>
                <w:sz w:val="12"/>
                <w:szCs w:val="12"/>
                <w:color w:val="auto"/>
                <w:w w:val="89"/>
              </w:rPr>
              <w:t>04/13/2022</w:t>
            </w:r>
          </w:p>
        </w:tc>
        <w:tc>
          <w:tcPr>
            <w:tcW w:w="2060" w:type="dxa"/>
            <w:vAlign w:val="bottom"/>
          </w:tcPr>
          <w:p>
            <w:pPr>
              <w:jc w:val="center"/>
              <w:ind w:left="2"/>
              <w:spacing w:after="0"/>
              <w:rPr>
                <w:sz w:val="20"/>
                <w:szCs w:val="20"/>
                <w:color w:val="auto"/>
              </w:rPr>
            </w:pPr>
            <w:r>
              <w:rPr>
                <w:rFonts w:ascii="Arial" w:cs="Arial" w:eastAsia="Arial" w:hAnsi="Arial"/>
                <w:sz w:val="12"/>
                <w:szCs w:val="12"/>
                <w:color w:val="auto"/>
                <w:w w:val="89"/>
              </w:rPr>
              <w:t>Capital Equipment</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7.75%</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L+675</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176,991</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176,991</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176,991</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5"/>
              </w:rPr>
              <w:t>Basis Point</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88"/>
              </w:rPr>
              <w:t>Spread</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Issuer Name</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6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88"/>
              </w:rPr>
              <w:t>Industry</w:t>
            </w:r>
          </w:p>
        </w:tc>
        <w:tc>
          <w:tcPr>
            <w:tcW w:w="920" w:type="dxa"/>
            <w:vAlign w:val="bottom"/>
            <w:gridSpan w:val="2"/>
          </w:tcPr>
          <w:p>
            <w:pPr>
              <w:jc w:val="right"/>
              <w:ind w:right="440"/>
              <w:spacing w:after="0" w:line="135" w:lineRule="exact"/>
              <w:rPr>
                <w:sz w:val="20"/>
                <w:szCs w:val="20"/>
                <w:color w:val="auto"/>
              </w:rPr>
            </w:pPr>
            <w:r>
              <w:rPr>
                <w:rFonts w:ascii="Arial" w:cs="Arial" w:eastAsia="Arial" w:hAnsi="Arial"/>
                <w:sz w:val="12"/>
                <w:szCs w:val="12"/>
                <w:b w:val="1"/>
                <w:bCs w:val="1"/>
                <w:color w:val="auto"/>
              </w:rPr>
              <w:t>Current</w:t>
            </w:r>
          </w:p>
        </w:tc>
        <w:tc>
          <w:tcPr>
            <w:tcW w:w="88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87"/>
              </w:rPr>
              <w:t>Above</w:t>
            </w: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9"/>
              </w:rPr>
              <w:t>Par /</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080" w:type="dxa"/>
            <w:vAlign w:val="bottom"/>
            <w:gridSpan w:val="3"/>
            <w:vMerge w:val="continue"/>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8"/>
              </w:rPr>
              <w:t>Maturity</w:t>
            </w:r>
          </w:p>
        </w:tc>
        <w:tc>
          <w:tcPr>
            <w:tcW w:w="2160" w:type="dxa"/>
            <w:vAlign w:val="bottom"/>
            <w:gridSpan w:val="2"/>
            <w:vMerge w:val="continue"/>
          </w:tcPr>
          <w:p>
            <w:pPr>
              <w:spacing w:after="0"/>
              <w:rPr>
                <w:sz w:val="12"/>
                <w:szCs w:val="12"/>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Coupon</w:t>
            </w:r>
          </w:p>
        </w:tc>
        <w:tc>
          <w:tcPr>
            <w:tcW w:w="8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8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Cost</w:t>
            </w: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 (10)</w:t>
            </w:r>
          </w:p>
        </w:tc>
        <w:tc>
          <w:tcPr>
            <w:tcW w:w="1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04/13/2022</w:t>
            </w:r>
          </w:p>
        </w:tc>
        <w:tc>
          <w:tcPr>
            <w:tcW w:w="160" w:type="dxa"/>
            <w:vAlign w:val="bottom"/>
            <w:tcBorders>
              <w:top w:val="single" w:sz="8" w:color="CCEEFF"/>
            </w:tcBorders>
            <w:shd w:val="clear" w:color="auto" w:fill="CCEEFF"/>
          </w:tcPr>
          <w:p>
            <w:pPr>
              <w:spacing w:after="0"/>
              <w:rPr>
                <w:sz w:val="11"/>
                <w:szCs w:val="11"/>
                <w:color w:val="auto"/>
              </w:rPr>
            </w:pPr>
          </w:p>
        </w:tc>
        <w:tc>
          <w:tcPr>
            <w:tcW w:w="19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Capital Equipment</w:t>
            </w:r>
          </w:p>
        </w:tc>
        <w:tc>
          <w:tcPr>
            <w:tcW w:w="1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ind w:left="400"/>
              <w:spacing w:after="0" w:line="129" w:lineRule="exact"/>
              <w:rPr>
                <w:sz w:val="20"/>
                <w:szCs w:val="20"/>
                <w:color w:val="auto"/>
              </w:rPr>
            </w:pPr>
            <w:r>
              <w:rPr>
                <w:rFonts w:ascii="Arial" w:cs="Arial" w:eastAsia="Arial" w:hAnsi="Arial"/>
                <w:sz w:val="12"/>
                <w:szCs w:val="12"/>
                <w:color w:val="auto"/>
              </w:rPr>
              <w:t>—</w:t>
            </w:r>
          </w:p>
        </w:tc>
        <w:tc>
          <w:tcPr>
            <w:tcW w:w="3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ind w:left="380"/>
              <w:spacing w:after="0" w:line="129" w:lineRule="exact"/>
              <w:rPr>
                <w:sz w:val="20"/>
                <w:szCs w:val="20"/>
                <w:color w:val="auto"/>
              </w:rPr>
            </w:pPr>
            <w:r>
              <w:rPr>
                <w:rFonts w:ascii="Arial" w:cs="Arial" w:eastAsia="Arial" w:hAnsi="Arial"/>
                <w:sz w:val="12"/>
                <w:szCs w:val="12"/>
                <w:color w:val="auto"/>
              </w:rPr>
              <w:t>—</w:t>
            </w:r>
          </w:p>
        </w:tc>
        <w:tc>
          <w:tcPr>
            <w:tcW w:w="3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1,061,947</w:t>
            </w: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tcBorders>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Long’s Drugs Incorporated</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08/19/2021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6.25%</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L+525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5,000,000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4,951,874</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4,950,000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LSF9 Atlantis Holdings,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01/15/2021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4"/>
              </w:rPr>
              <w:t>Retail</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10.00%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L+900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9,542,392</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9,417,467</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9,542,392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LTI Holdings, Inc.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04/18/2022</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8"/>
              </w:rPr>
              <w:t>Chemicals, Plastics and Rubber</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5.25%</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L+425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5,431,250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4,973,326</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5,254,734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Marketplace Events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01/27/2021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6.25%</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1,362,530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1,342,162</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1,342,092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(12)</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01/27/2021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6.25%</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P+275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17,244,188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12,065,652</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6"/>
              </w:rPr>
              <w:t>13,078,215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01/27/2021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6.25%</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P+275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1,090,024</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1,090,024</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1,090,024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 (10)</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01/27/2021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613,139</w:t>
            </w:r>
          </w:p>
        </w:tc>
        <w:tc>
          <w:tcPr>
            <w:tcW w:w="80" w:type="dxa"/>
            <w:vAlign w:val="bottom"/>
          </w:tcPr>
          <w:p>
            <w:pPr>
              <w:spacing w:after="0"/>
              <w:rPr>
                <w:sz w:val="11"/>
                <w:szCs w:val="11"/>
                <w:color w:val="auto"/>
              </w:rPr>
            </w:pP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Mission Critical Electronics, Inc. </w:t>
            </w:r>
            <w:r>
              <w:rPr>
                <w:rFonts w:ascii="Arial" w:cs="Arial" w:eastAsia="Arial" w:hAnsi="Arial"/>
                <w:sz w:val="9"/>
                <w:szCs w:val="9"/>
                <w:color w:val="auto"/>
              </w:rPr>
              <w:t>(8)</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09/28/2022</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9"/>
              </w:rPr>
              <w:t>Capital Equipment</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6.00%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L+500</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4,116,608</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4,075,499</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4,075,442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Mission Critical Electronics, Inc. (Revolver) </w:t>
            </w:r>
            <w:r>
              <w:rPr>
                <w:rFonts w:ascii="Arial" w:cs="Arial" w:eastAsia="Arial" w:hAnsi="Arial"/>
                <w:sz w:val="9"/>
                <w:szCs w:val="9"/>
                <w:color w:val="auto"/>
              </w:rPr>
              <w:t>(8), (10)</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09/28/2021</w:t>
            </w:r>
          </w:p>
        </w:tc>
        <w:tc>
          <w:tcPr>
            <w:tcW w:w="160" w:type="dxa"/>
            <w:vAlign w:val="bottom"/>
          </w:tcPr>
          <w:p>
            <w:pPr>
              <w:spacing w:after="0"/>
              <w:rPr>
                <w:sz w:val="11"/>
                <w:szCs w:val="11"/>
                <w:color w:val="auto"/>
              </w:rPr>
            </w:pPr>
          </w:p>
        </w:tc>
        <w:tc>
          <w:tcPr>
            <w:tcW w:w="216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9"/>
              </w:rPr>
              <w:t>Capital Equipment</w:t>
            </w:r>
          </w:p>
        </w:tc>
        <w:tc>
          <w:tcPr>
            <w:tcW w:w="9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883,392</w:t>
            </w:r>
          </w:p>
        </w:tc>
        <w:tc>
          <w:tcPr>
            <w:tcW w:w="80" w:type="dxa"/>
            <w:vAlign w:val="bottom"/>
          </w:tcPr>
          <w:p>
            <w:pPr>
              <w:spacing w:after="0"/>
              <w:rPr>
                <w:sz w:val="11"/>
                <w:szCs w:val="11"/>
                <w:color w:val="auto"/>
              </w:rPr>
            </w:pP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New Trident HoldCorp,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07/31/2019</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6.50%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L+525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8,817,647</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8,767,669</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8,288,588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Pathway Partners Vet Management Company LLC </w:t>
            </w:r>
            <w:r>
              <w:rPr>
                <w:rFonts w:ascii="Arial" w:cs="Arial" w:eastAsia="Arial" w:hAnsi="Arial"/>
                <w:sz w:val="9"/>
                <w:szCs w:val="9"/>
                <w:color w:val="auto"/>
              </w:rPr>
              <w:t>(8)</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08/19/2022</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6.00%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L+500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6,268,657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6,205,970</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6,205,970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Pathway Partners Vet Management Company LLC </w:t>
            </w:r>
            <w:r>
              <w:rPr>
                <w:rFonts w:ascii="Arial" w:cs="Arial" w:eastAsia="Arial" w:hAnsi="Arial"/>
                <w:sz w:val="9"/>
                <w:szCs w:val="9"/>
                <w:color w:val="auto"/>
              </w:rPr>
              <w:t>(8), (10)</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08/19/2022</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3,731,343</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Polycom, Inc.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09/27/2023</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7.50%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L+650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6,000,000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5,760,000</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5,775,000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Precyse Acquisition Corp.</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10/20/2022</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6.50%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3,990,000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3,932,956</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4,014,938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Premier Dental Services, Inc.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11/01/2018</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5"/>
              </w:rPr>
              <w:t>Consumer Services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7.50%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L+650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7,528,230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7,473,587</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7,490,588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Profile Products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05/20/2021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9"/>
              </w:rPr>
              <w:t>Environmental Industries</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5.75%</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L+475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7,281,762</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7,222,561</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7,281,762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(8), (10)</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05/20/2020</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Environmental Industries</w:t>
            </w:r>
          </w:p>
        </w:tc>
        <w:tc>
          <w:tcPr>
            <w:tcW w:w="9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2,459,016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Quick Weight Loss Centers,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08/23/2021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7"/>
              </w:rPr>
              <w:t>Beverage, Food and Tobacco</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5.75%</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L+475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10,000,000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9,852,456</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9,900,000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Research Now Group, Inc.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03/18/2021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5.50%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L+450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6,895,000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6,867,800</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6,688,150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Robertshaw US Holding Corp.</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06/18/2019</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8"/>
              </w:rPr>
              <w:t>Consumer Goods: Durable</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8.50%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L+700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4,252,830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4,233,671</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4,258,699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Ryan,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08/07/2020</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7"/>
              </w:rPr>
              <w:t>Business Services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6.75%</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L+575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4,218,750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4,166,413</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4,163,400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Sensus USA,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04/05/2023</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90"/>
              </w:rPr>
              <w:t>Utilities: Water</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6.50%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9,975,000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9,692,511</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9,999,938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Snak Club,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07/19/2021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7"/>
              </w:rPr>
              <w:t>Beverage, Food and Tobacco</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6.00%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L+500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4,968,748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4,896,623</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4,919,060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(10)</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07/19/2021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7"/>
              </w:rPr>
              <w:t>Beverage, Food and Tobacco</w:t>
            </w:r>
          </w:p>
        </w:tc>
        <w:tc>
          <w:tcPr>
            <w:tcW w:w="9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500,000</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Software Paradigms International Group,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05/21/2021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6.50%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L+550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9,875,000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9,781,596</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9,825,625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Sotera Defense Solutions,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04/21/2017</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9.00%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L+750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5,668,843</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5,614,696</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5,640,499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Sundial Group Holdings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10/19/2021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7.25%</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L+625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7,312,500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7,200,786</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7,312,500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Survey Sampling International,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12/16/2020</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7"/>
              </w:rPr>
              <w:t>Business Services</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6.00%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7,446,562</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7,395,200</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7,409,329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Systems Maintenance Services Holding, Inc.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10/18/2019</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5.00%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L+400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5,850,000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5,834,217</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5,733,000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Tensar Corporation</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07/09/2021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92"/>
              </w:rPr>
              <w:t>Construction and Building</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5.75%</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L+475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4,822,723</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4,786,985</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4,071,198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The Original Cakerie, Co. </w:t>
            </w:r>
            <w:r>
              <w:rPr>
                <w:rFonts w:ascii="Arial" w:cs="Arial" w:eastAsia="Arial" w:hAnsi="Arial"/>
                <w:sz w:val="9"/>
                <w:szCs w:val="9"/>
                <w:color w:val="auto"/>
              </w:rPr>
              <w:t>(6), (11)</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07/20/2021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6.50%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L+550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3,092,295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3,062,366</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3,061,372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The Original Cakerie Ltd. </w:t>
            </w:r>
            <w:r>
              <w:rPr>
                <w:rFonts w:ascii="Arial" w:cs="Arial" w:eastAsia="Arial" w:hAnsi="Arial"/>
                <w:sz w:val="9"/>
                <w:szCs w:val="9"/>
                <w:color w:val="auto"/>
              </w:rPr>
              <w:t>(6), (11)</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07/20/2021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6.00%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5,986,002</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5,928,120</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5,926,142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(6), (8), (10), (11)</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07/20/2021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1,418,484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(7,092)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TOMS Shoes,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11/02/2020</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6.50%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1,970,000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1,825,559</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1,576,000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Triad Manufacturing, Inc.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12/28/2020</w:t>
            </w:r>
          </w:p>
        </w:tc>
        <w:tc>
          <w:tcPr>
            <w:tcW w:w="160" w:type="dxa"/>
            <w:vAlign w:val="bottom"/>
          </w:tcPr>
          <w:p>
            <w:pPr>
              <w:spacing w:after="0"/>
              <w:rPr>
                <w:sz w:val="11"/>
                <w:szCs w:val="11"/>
                <w:color w:val="auto"/>
              </w:rPr>
            </w:pPr>
          </w:p>
        </w:tc>
        <w:tc>
          <w:tcPr>
            <w:tcW w:w="216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9"/>
              </w:rPr>
              <w:t>Capital Equipment</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11.27%</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L+1,075</w:t>
            </w:r>
            <w:r>
              <w:rPr>
                <w:rFonts w:ascii="Arial" w:cs="Arial" w:eastAsia="Arial" w:hAnsi="Arial"/>
                <w:sz w:val="9"/>
                <w:szCs w:val="9"/>
                <w:color w:val="auto"/>
              </w:rPr>
              <w:t>(9)</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10,306,936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10,124,477</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6"/>
              </w:rPr>
              <w:t>10,306,936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7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01/14/2019</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29" w:lineRule="exact"/>
              <w:rPr>
                <w:sz w:val="20"/>
                <w:szCs w:val="20"/>
                <w:color w:val="auto"/>
              </w:rPr>
            </w:pPr>
            <w:r>
              <w:rPr>
                <w:rFonts w:ascii="Arial" w:cs="Arial" w:eastAsia="Arial" w:hAnsi="Arial"/>
                <w:sz w:val="12"/>
                <w:szCs w:val="12"/>
                <w:color w:val="auto"/>
                <w:w w:val="89"/>
              </w:rPr>
              <w:t>Telecommunications</w:t>
            </w:r>
          </w:p>
        </w:tc>
        <w:tc>
          <w:tcPr>
            <w:tcW w:w="92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2"/>
                <w:szCs w:val="12"/>
                <w:color w:val="auto"/>
              </w:rPr>
              <w:t>9.50%</w:t>
            </w:r>
          </w:p>
        </w:tc>
        <w:tc>
          <w:tcPr>
            <w:tcW w:w="880" w:type="dxa"/>
            <w:vAlign w:val="bottom"/>
            <w:gridSpan w:val="2"/>
            <w:shd w:val="clear" w:color="auto" w:fill="CCEEFF"/>
          </w:tcPr>
          <w:p>
            <w:pPr>
              <w:jc w:val="right"/>
              <w:ind w:right="320"/>
              <w:spacing w:after="0" w:line="129" w:lineRule="exact"/>
              <w:rPr>
                <w:sz w:val="20"/>
                <w:szCs w:val="20"/>
                <w:color w:val="auto"/>
              </w:rPr>
            </w:pPr>
            <w:r>
              <w:rPr>
                <w:rFonts w:ascii="Arial" w:cs="Arial" w:eastAsia="Arial" w:hAnsi="Arial"/>
                <w:sz w:val="12"/>
                <w:szCs w:val="12"/>
                <w:color w:val="auto"/>
              </w:rPr>
              <w:t>L+850</w:t>
            </w:r>
          </w:p>
        </w:tc>
        <w:tc>
          <w:tcPr>
            <w:tcW w:w="82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256,971</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2"/>
                <w:szCs w:val="12"/>
                <w:color w:val="auto"/>
              </w:rPr>
              <w:t>256,971</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256,971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(PIK 1.00%)</w:t>
            </w:r>
          </w:p>
        </w:tc>
        <w:tc>
          <w:tcPr>
            <w:tcW w:w="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01/14/2019</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8.50%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L+750</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599,702</w:t>
            </w:r>
          </w:p>
        </w:tc>
        <w:tc>
          <w:tcPr>
            <w:tcW w:w="8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562,432</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590,706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 (10)</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01/14/2019</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9"/>
              </w:rPr>
              <w:t>Telecommunications</w:t>
            </w:r>
          </w:p>
        </w:tc>
        <w:tc>
          <w:tcPr>
            <w:tcW w:w="9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151,090</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Universal Fiber Systems,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10/04/2021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8"/>
              </w:rPr>
              <w:t>Chemicals, Plastics and Rubber</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6.50%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L+550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4,962,500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4,919,423</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4,937,688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U.S. Anesthesia Partners,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12/31/2019</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6.00%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9,900,000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9,818,407</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9,850,500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(8)</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08/13/2021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10.00%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L+900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3,089,844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3,089,844</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3,089,844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Vistage Worldwide,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08/19/2021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8"/>
              </w:rPr>
              <w:t>Media: Broadcasting and Subscription</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6.50%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L+550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4,792,831</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4,752,002</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4,792,831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Winchester Electronics Corporation</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06/30/2022</w:t>
            </w:r>
          </w:p>
        </w:tc>
        <w:tc>
          <w:tcPr>
            <w:tcW w:w="160" w:type="dxa"/>
            <w:vAlign w:val="bottom"/>
          </w:tcPr>
          <w:p>
            <w:pPr>
              <w:spacing w:after="0"/>
              <w:rPr>
                <w:sz w:val="11"/>
                <w:szCs w:val="11"/>
                <w:color w:val="auto"/>
              </w:rPr>
            </w:pPr>
          </w:p>
        </w:tc>
        <w:tc>
          <w:tcPr>
            <w:tcW w:w="216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9"/>
              </w:rPr>
              <w:t>Capital Equipment</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7.50%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L+650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7,773,579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7,703,094</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7,668,171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Winchester Electronics Corporation </w:t>
            </w:r>
            <w:r>
              <w:rPr>
                <w:rFonts w:ascii="Arial" w:cs="Arial" w:eastAsia="Arial" w:hAnsi="Arial"/>
                <w:sz w:val="9"/>
                <w:szCs w:val="9"/>
                <w:color w:val="auto"/>
              </w:rPr>
              <w:t>(10)</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06/30/2022</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9"/>
              </w:rPr>
              <w:t>Capital Equipment</w:t>
            </w:r>
          </w:p>
        </w:tc>
        <w:tc>
          <w:tcPr>
            <w:tcW w:w="9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708,333</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(9,605)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gridSpan w:val="2"/>
          </w:tcPr>
          <w:p>
            <w:pPr>
              <w:spacing w:after="0" w:line="129" w:lineRule="exact"/>
              <w:rPr>
                <w:sz w:val="20"/>
                <w:szCs w:val="20"/>
                <w:color w:val="auto"/>
              </w:rPr>
            </w:pPr>
            <w:r>
              <w:rPr>
                <w:rFonts w:ascii="Arial" w:cs="Arial" w:eastAsia="Arial" w:hAnsi="Arial"/>
                <w:sz w:val="12"/>
                <w:szCs w:val="12"/>
                <w:color w:val="auto"/>
              </w:rPr>
              <w:t>Worley Claims Services, LLC</w:t>
            </w:r>
          </w:p>
        </w:tc>
        <w:tc>
          <w:tcPr>
            <w:tcW w:w="700" w:type="dxa"/>
            <w:vAlign w:val="bottom"/>
          </w:tcPr>
          <w:p>
            <w:pPr>
              <w:jc w:val="center"/>
              <w:spacing w:after="0" w:line="129" w:lineRule="exact"/>
              <w:rPr>
                <w:sz w:val="20"/>
                <w:szCs w:val="20"/>
                <w:color w:val="auto"/>
              </w:rPr>
            </w:pPr>
            <w:r>
              <w:rPr>
                <w:rFonts w:ascii="Arial" w:cs="Arial" w:eastAsia="Arial" w:hAnsi="Arial"/>
                <w:sz w:val="12"/>
                <w:szCs w:val="12"/>
                <w:color w:val="auto"/>
                <w:w w:val="89"/>
              </w:rPr>
              <w:t>10/30/2020</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29" w:lineRule="exact"/>
              <w:rPr>
                <w:sz w:val="20"/>
                <w:szCs w:val="20"/>
                <w:color w:val="auto"/>
              </w:rPr>
            </w:pPr>
            <w:r>
              <w:rPr>
                <w:rFonts w:ascii="Arial" w:cs="Arial" w:eastAsia="Arial" w:hAnsi="Arial"/>
                <w:sz w:val="12"/>
                <w:szCs w:val="12"/>
                <w:color w:val="auto"/>
                <w:w w:val="87"/>
              </w:rPr>
              <w:t>Banking, Finance, Insurance and Real</w:t>
            </w:r>
          </w:p>
        </w:tc>
        <w:tc>
          <w:tcPr>
            <w:tcW w:w="92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9.00%</w:t>
            </w:r>
          </w:p>
        </w:tc>
        <w:tc>
          <w:tcPr>
            <w:tcW w:w="88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L+800</w:t>
            </w:r>
          </w:p>
        </w:tc>
        <w:tc>
          <w:tcPr>
            <w:tcW w:w="580" w:type="dxa"/>
            <w:vAlign w:val="bottom"/>
          </w:tcPr>
          <w:p>
            <w:pPr>
              <w:jc w:val="right"/>
              <w:spacing w:after="0" w:line="129" w:lineRule="exact"/>
              <w:rPr>
                <w:sz w:val="20"/>
                <w:szCs w:val="20"/>
                <w:color w:val="auto"/>
              </w:rPr>
            </w:pPr>
            <w:r>
              <w:rPr>
                <w:rFonts w:ascii="Arial" w:cs="Arial" w:eastAsia="Arial" w:hAnsi="Arial"/>
                <w:sz w:val="12"/>
                <w:szCs w:val="12"/>
                <w:color w:val="auto"/>
              </w:rPr>
              <w:t>7,316,440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rPr>
              <w:t>7,259,010</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7,316,440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Estate</w:t>
            </w: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First Lien Secured Debt</w:t>
            </w: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w w:val="86"/>
              </w:rPr>
              <w:t>549,736,982</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86"/>
              </w:rPr>
              <w:t>548,410,095</w:t>
            </w:r>
          </w:p>
        </w:tc>
        <w:tc>
          <w:tcPr>
            <w:tcW w:w="0" w:type="dxa"/>
            <w:vAlign w:val="bottom"/>
          </w:tcPr>
          <w:p>
            <w:pPr>
              <w:spacing w:after="0"/>
              <w:rPr>
                <w:sz w:val="1"/>
                <w:szCs w:val="1"/>
                <w:color w:val="auto"/>
              </w:rPr>
            </w:pPr>
          </w:p>
        </w:tc>
      </w:tr>
      <w:tr>
        <w:trPr>
          <w:trHeight w:val="142"/>
        </w:trPr>
        <w:tc>
          <w:tcPr>
            <w:tcW w:w="4080" w:type="dxa"/>
            <w:vAlign w:val="bottom"/>
            <w:gridSpan w:val="3"/>
          </w:tcPr>
          <w:p>
            <w:pPr>
              <w:spacing w:after="0"/>
              <w:rPr>
                <w:sz w:val="20"/>
                <w:szCs w:val="20"/>
                <w:color w:val="auto"/>
              </w:rPr>
            </w:pPr>
            <w:r>
              <w:rPr>
                <w:rFonts w:ascii="Arial" w:cs="Arial" w:eastAsia="Arial" w:hAnsi="Arial"/>
                <w:sz w:val="12"/>
                <w:szCs w:val="12"/>
                <w:b w:val="1"/>
                <w:bCs w:val="1"/>
                <w:color w:val="auto"/>
              </w:rPr>
              <w:t>Second Lien Secured Debt—9.7%</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Affinion Group, Inc. </w:t>
            </w:r>
            <w:r>
              <w:rPr>
                <w:rFonts w:ascii="Arial" w:cs="Arial" w:eastAsia="Arial" w:hAnsi="Arial"/>
                <w:sz w:val="9"/>
                <w:szCs w:val="9"/>
                <w:color w:val="auto"/>
              </w:rPr>
              <w:t>(8)</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10/31/2018</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8"/>
              </w:rPr>
              <w:t>Consumer Goods: Durable</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8.50%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L+700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1,000,000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942,276</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879,170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 (8)</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09/01/2017</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92"/>
              </w:rPr>
              <w:t>Metals and Mining</w:t>
            </w:r>
          </w:p>
        </w:tc>
        <w:tc>
          <w:tcPr>
            <w:tcW w:w="9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(7)</w:t>
            </w:r>
          </w:p>
        </w:tc>
        <w:tc>
          <w:tcPr>
            <w:tcW w:w="88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1,000,000</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12/31/2020</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8"/>
              </w:rPr>
              <w:t>Chemicals, Plastics and Rubber</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11.34%</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L+1,050</w:t>
            </w:r>
            <w:r>
              <w:rPr>
                <w:rFonts w:ascii="Arial" w:cs="Arial" w:eastAsia="Arial" w:hAnsi="Arial"/>
                <w:sz w:val="9"/>
                <w:szCs w:val="9"/>
                <w:color w:val="auto"/>
              </w:rPr>
              <w:t>(9)</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2,000,000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1,971,030</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2,020,000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Howard Berger Co.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09/30/2020</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Wholesale</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11.00%</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L+1,000</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w w:val="93"/>
              </w:rPr>
              <w:t>11,000,000</w:t>
            </w:r>
          </w:p>
        </w:tc>
        <w:tc>
          <w:tcPr>
            <w:tcW w:w="8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w w:val="96"/>
              </w:rPr>
              <w:t>10,511,818</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9,900,000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MailSouth, Inc.</w:t>
            </w:r>
          </w:p>
        </w:tc>
        <w:tc>
          <w:tcPr>
            <w:tcW w:w="7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10/22/2021</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29" w:lineRule="exact"/>
              <w:rPr>
                <w:sz w:val="20"/>
                <w:szCs w:val="20"/>
                <w:color w:val="auto"/>
              </w:rPr>
            </w:pPr>
            <w:r>
              <w:rPr>
                <w:rFonts w:ascii="Arial" w:cs="Arial" w:eastAsia="Arial" w:hAnsi="Arial"/>
                <w:sz w:val="12"/>
                <w:szCs w:val="12"/>
                <w:color w:val="auto"/>
                <w:w w:val="90"/>
              </w:rPr>
              <w:t>Media: Advertising, Printing and</w:t>
            </w:r>
          </w:p>
        </w:tc>
        <w:tc>
          <w:tcPr>
            <w:tcW w:w="92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2"/>
                <w:szCs w:val="12"/>
                <w:color w:val="auto"/>
              </w:rPr>
              <w:t>11.50%</w:t>
            </w:r>
          </w:p>
        </w:tc>
        <w:tc>
          <w:tcPr>
            <w:tcW w:w="880" w:type="dxa"/>
            <w:vAlign w:val="bottom"/>
            <w:gridSpan w:val="2"/>
            <w:shd w:val="clear" w:color="auto" w:fill="CCEEFF"/>
          </w:tcPr>
          <w:p>
            <w:pPr>
              <w:jc w:val="right"/>
              <w:ind w:right="320"/>
              <w:spacing w:after="0" w:line="129" w:lineRule="exact"/>
              <w:rPr>
                <w:sz w:val="20"/>
                <w:szCs w:val="20"/>
                <w:color w:val="auto"/>
              </w:rPr>
            </w:pPr>
            <w:r>
              <w:rPr>
                <w:rFonts w:ascii="Arial" w:cs="Arial" w:eastAsia="Arial" w:hAnsi="Arial"/>
                <w:sz w:val="12"/>
                <w:szCs w:val="12"/>
                <w:color w:val="auto"/>
              </w:rPr>
              <w:t>L+1,050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3,775,000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3,703,724</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3,775,000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ind w:right="180"/>
              <w:spacing w:after="0"/>
              <w:rPr>
                <w:sz w:val="20"/>
                <w:szCs w:val="20"/>
                <w:color w:val="auto"/>
              </w:rPr>
            </w:pPr>
            <w:r>
              <w:rPr>
                <w:rFonts w:ascii="Arial" w:cs="Arial" w:eastAsia="Arial" w:hAnsi="Arial"/>
                <w:sz w:val="12"/>
                <w:szCs w:val="12"/>
                <w:color w:val="auto"/>
                <w:w w:val="90"/>
              </w:rPr>
              <w:t>Publishing</w:t>
            </w: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Novitex Acquisition,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07/07/2021</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7"/>
              </w:rPr>
              <w:t>Business Services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12.25%</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L+1,100</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w w:val="93"/>
              </w:rPr>
              <w:t>11,000,000</w:t>
            </w: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10,914,618</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6"/>
              </w:rPr>
              <w:t>11,000,000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Penton Media, Inc. </w:t>
            </w:r>
            <w:r>
              <w:rPr>
                <w:rFonts w:ascii="Arial" w:cs="Arial" w:eastAsia="Arial" w:hAnsi="Arial"/>
                <w:sz w:val="9"/>
                <w:szCs w:val="9"/>
                <w:color w:val="auto"/>
              </w:rPr>
              <w:t>(8)</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10/02/2020</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9.00%</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L+775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4,872,042</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4,826,926</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4,853,772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Sunshine Oilsands Ltd. </w:t>
            </w:r>
            <w:r>
              <w:rPr>
                <w:rFonts w:ascii="Arial" w:cs="Arial" w:eastAsia="Arial" w:hAnsi="Arial"/>
                <w:sz w:val="9"/>
                <w:szCs w:val="9"/>
                <w:color w:val="auto"/>
              </w:rPr>
              <w:t>(5), (6), (8), (11)</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08/01/2017</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6"/>
              </w:rPr>
              <w:t>Energy: Oil and Gas</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12.50%</w:t>
            </w:r>
          </w:p>
        </w:tc>
        <w:tc>
          <w:tcPr>
            <w:tcW w:w="88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2,812,500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2,756,732</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1,631,250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VT Buyer Acquisition Corp.</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01/30/2023</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7"/>
              </w:rPr>
              <w:t>Business Services</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10.75%</w:t>
            </w:r>
          </w:p>
        </w:tc>
        <w:tc>
          <w:tcPr>
            <w:tcW w:w="8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L+975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1,837,500</w:t>
            </w:r>
          </w:p>
        </w:tc>
        <w:tc>
          <w:tcPr>
            <w:tcW w:w="2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1,777,304</w:t>
            </w:r>
          </w:p>
        </w:tc>
        <w:tc>
          <w:tcPr>
            <w:tcW w:w="2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1,837,500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80" w:type="dxa"/>
            <w:vAlign w:val="bottom"/>
            <w:gridSpan w:val="3"/>
          </w:tcPr>
          <w:p>
            <w:pPr>
              <w:spacing w:after="0"/>
              <w:rPr>
                <w:sz w:val="20"/>
                <w:szCs w:val="20"/>
                <w:color w:val="auto"/>
              </w:rPr>
            </w:pPr>
            <w:r>
              <w:rPr>
                <w:rFonts w:ascii="Arial" w:cs="Arial" w:eastAsia="Arial" w:hAnsi="Arial"/>
                <w:sz w:val="12"/>
                <w:szCs w:val="12"/>
                <w:b w:val="1"/>
                <w:bCs w:val="1"/>
                <w:color w:val="auto"/>
              </w:rPr>
              <w:t>Total Second Lien Secured Debt</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6"/>
              </w:rPr>
              <w:t>38,404,428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w w:val="96"/>
              </w:rPr>
              <w:t>36,596,692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Subordinated Debt/Corporate Notes—0.8% </w:t>
            </w:r>
            <w:r>
              <w:rPr>
                <w:rFonts w:ascii="Arial" w:cs="Arial" w:eastAsia="Arial" w:hAnsi="Arial"/>
                <w:sz w:val="9"/>
                <w:szCs w:val="9"/>
                <w:b w:val="1"/>
                <w:bCs w:val="1"/>
                <w:color w:val="auto"/>
              </w:rPr>
              <w:t>(8)</w:t>
            </w: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gridSpan w:val="2"/>
          </w:tcPr>
          <w:p>
            <w:pPr>
              <w:spacing w:after="0" w:line="129" w:lineRule="exact"/>
              <w:rPr>
                <w:sz w:val="20"/>
                <w:szCs w:val="20"/>
                <w:color w:val="auto"/>
              </w:rPr>
            </w:pPr>
            <w:r>
              <w:rPr>
                <w:rFonts w:ascii="Arial" w:cs="Arial" w:eastAsia="Arial" w:hAnsi="Arial"/>
                <w:sz w:val="12"/>
                <w:szCs w:val="12"/>
                <w:color w:val="auto"/>
              </w:rPr>
              <w:t xml:space="preserve">Affinion International Holdings Limited </w:t>
            </w:r>
            <w:r>
              <w:rPr>
                <w:rFonts w:ascii="Arial" w:cs="Arial" w:eastAsia="Arial" w:hAnsi="Arial"/>
                <w:sz w:val="9"/>
                <w:szCs w:val="9"/>
                <w:color w:val="auto"/>
              </w:rPr>
              <w:t>(5), (6), (11)</w:t>
            </w:r>
          </w:p>
        </w:tc>
        <w:tc>
          <w:tcPr>
            <w:tcW w:w="700" w:type="dxa"/>
            <w:vAlign w:val="bottom"/>
          </w:tcPr>
          <w:p>
            <w:pPr>
              <w:jc w:val="center"/>
              <w:spacing w:after="0" w:line="129" w:lineRule="exact"/>
              <w:rPr>
                <w:sz w:val="20"/>
                <w:szCs w:val="20"/>
                <w:color w:val="auto"/>
              </w:rPr>
            </w:pPr>
            <w:r>
              <w:rPr>
                <w:rFonts w:ascii="Arial" w:cs="Arial" w:eastAsia="Arial" w:hAnsi="Arial"/>
                <w:sz w:val="12"/>
                <w:szCs w:val="12"/>
                <w:color w:val="auto"/>
                <w:w w:val="89"/>
              </w:rPr>
              <w:t>07/30/2018</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29" w:lineRule="exact"/>
              <w:rPr>
                <w:sz w:val="20"/>
                <w:szCs w:val="20"/>
                <w:color w:val="auto"/>
              </w:rPr>
            </w:pPr>
            <w:r>
              <w:rPr>
                <w:rFonts w:ascii="Arial" w:cs="Arial" w:eastAsia="Arial" w:hAnsi="Arial"/>
                <w:sz w:val="12"/>
                <w:szCs w:val="12"/>
                <w:color w:val="auto"/>
                <w:w w:val="88"/>
              </w:rPr>
              <w:t>Consumer Goods: Durable</w:t>
            </w:r>
          </w:p>
        </w:tc>
        <w:tc>
          <w:tcPr>
            <w:tcW w:w="92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7.50%</w:t>
            </w:r>
          </w:p>
        </w:tc>
        <w:tc>
          <w:tcPr>
            <w:tcW w:w="880" w:type="dxa"/>
            <w:vAlign w:val="bottom"/>
            <w:gridSpan w:val="2"/>
          </w:tcPr>
          <w:p>
            <w:pPr>
              <w:ind w:left="380"/>
              <w:spacing w:after="0" w:line="129"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29" w:lineRule="exact"/>
              <w:rPr>
                <w:sz w:val="20"/>
                <w:szCs w:val="20"/>
                <w:color w:val="auto"/>
              </w:rPr>
            </w:pPr>
            <w:r>
              <w:rPr>
                <w:rFonts w:ascii="Arial" w:cs="Arial" w:eastAsia="Arial" w:hAnsi="Arial"/>
                <w:sz w:val="12"/>
                <w:szCs w:val="12"/>
                <w:color w:val="auto"/>
              </w:rPr>
              <w:t>1,135,273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rPr>
              <w:t>1,030,320</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1,035,937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(PIK 4.00%)</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Credit Infonet, Inc.</w:t>
            </w:r>
          </w:p>
        </w:tc>
        <w:tc>
          <w:tcPr>
            <w:tcW w:w="700" w:type="dxa"/>
            <w:vAlign w:val="bottom"/>
            <w:shd w:val="clear" w:color="auto" w:fill="CCEEFF"/>
          </w:tcPr>
          <w:p>
            <w:pPr>
              <w:jc w:val="center"/>
              <w:spacing w:after="0" w:line="136" w:lineRule="exact"/>
              <w:rPr>
                <w:sz w:val="20"/>
                <w:szCs w:val="20"/>
                <w:color w:val="auto"/>
              </w:rPr>
            </w:pPr>
            <w:r>
              <w:rPr>
                <w:rFonts w:ascii="Arial" w:cs="Arial" w:eastAsia="Arial" w:hAnsi="Arial"/>
                <w:sz w:val="12"/>
                <w:szCs w:val="12"/>
                <w:color w:val="auto"/>
                <w:w w:val="89"/>
              </w:rPr>
              <w:t>10/26/2018</w:t>
            </w:r>
          </w:p>
        </w:tc>
        <w:tc>
          <w:tcPr>
            <w:tcW w:w="1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right="180"/>
              <w:spacing w:after="0" w:line="136" w:lineRule="exact"/>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13.00%</w:t>
            </w:r>
          </w:p>
        </w:tc>
        <w:tc>
          <w:tcPr>
            <w:tcW w:w="880" w:type="dxa"/>
            <w:vAlign w:val="bottom"/>
            <w:gridSpan w:val="2"/>
            <w:shd w:val="clear" w:color="auto" w:fill="CCEEFF"/>
          </w:tcPr>
          <w:p>
            <w:pPr>
              <w:ind w:left="380"/>
              <w:spacing w:after="0" w:line="136"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2,069,078</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2,050,767</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1,975,969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(PIK 1.75%)</w:t>
            </w:r>
          </w:p>
        </w:tc>
        <w:tc>
          <w:tcPr>
            <w:tcW w:w="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gridSpan w:val="2"/>
          </w:tcPr>
          <w:p>
            <w:pPr>
              <w:spacing w:after="0" w:line="129" w:lineRule="exact"/>
              <w:rPr>
                <w:sz w:val="20"/>
                <w:szCs w:val="20"/>
                <w:color w:val="auto"/>
              </w:rPr>
            </w:pPr>
            <w:r>
              <w:rPr>
                <w:rFonts w:ascii="Arial" w:cs="Arial" w:eastAsia="Arial" w:hAnsi="Arial"/>
                <w:sz w:val="12"/>
                <w:szCs w:val="12"/>
                <w:color w:val="auto"/>
              </w:rPr>
              <w:t>UniTek Global Services, Inc.</w:t>
            </w:r>
          </w:p>
        </w:tc>
        <w:tc>
          <w:tcPr>
            <w:tcW w:w="700" w:type="dxa"/>
            <w:vAlign w:val="bottom"/>
          </w:tcPr>
          <w:p>
            <w:pPr>
              <w:jc w:val="center"/>
              <w:spacing w:after="0" w:line="129" w:lineRule="exact"/>
              <w:rPr>
                <w:sz w:val="20"/>
                <w:szCs w:val="20"/>
                <w:color w:val="auto"/>
              </w:rPr>
            </w:pPr>
            <w:r>
              <w:rPr>
                <w:rFonts w:ascii="Arial" w:cs="Arial" w:eastAsia="Arial" w:hAnsi="Arial"/>
                <w:sz w:val="12"/>
                <w:szCs w:val="12"/>
                <w:color w:val="auto"/>
                <w:w w:val="89"/>
              </w:rPr>
              <w:t>07/15/2019</w:t>
            </w:r>
          </w:p>
        </w:tc>
        <w:tc>
          <w:tcPr>
            <w:tcW w:w="160" w:type="dxa"/>
            <w:vAlign w:val="bottom"/>
          </w:tcPr>
          <w:p>
            <w:pPr>
              <w:spacing w:after="0"/>
              <w:rPr>
                <w:sz w:val="11"/>
                <w:szCs w:val="11"/>
                <w:color w:val="auto"/>
              </w:rPr>
            </w:pPr>
          </w:p>
        </w:tc>
        <w:tc>
          <w:tcPr>
            <w:tcW w:w="2160" w:type="dxa"/>
            <w:vAlign w:val="bottom"/>
            <w:gridSpan w:val="2"/>
          </w:tcPr>
          <w:p>
            <w:pPr>
              <w:jc w:val="center"/>
              <w:ind w:right="180"/>
              <w:spacing w:after="0" w:line="129" w:lineRule="exact"/>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15.00%</w:t>
            </w:r>
          </w:p>
        </w:tc>
        <w:tc>
          <w:tcPr>
            <w:tcW w:w="880" w:type="dxa"/>
            <w:vAlign w:val="bottom"/>
            <w:gridSpan w:val="2"/>
          </w:tcPr>
          <w:p>
            <w:pPr>
              <w:ind w:left="38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146,996</w:t>
            </w:r>
          </w:p>
        </w:tc>
        <w:tc>
          <w:tcPr>
            <w:tcW w:w="80" w:type="dxa"/>
            <w:vAlign w:val="bottom"/>
          </w:tcPr>
          <w:p>
            <w:pPr>
              <w:spacing w:after="0"/>
              <w:rPr>
                <w:sz w:val="11"/>
                <w:szCs w:val="11"/>
                <w:color w:val="auto"/>
              </w:rPr>
            </w:pPr>
          </w:p>
        </w:tc>
        <w:tc>
          <w:tcPr>
            <w:tcW w:w="86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146,996</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148,466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w w:val="95"/>
              </w:rPr>
              <w:t>(PIK 15.00%)</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Subordinated Debt/Corporate Notes</w:t>
            </w: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3,228,083</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3,160,372</w:t>
            </w:r>
          </w:p>
        </w:tc>
        <w:tc>
          <w:tcPr>
            <w:tcW w:w="0" w:type="dxa"/>
            <w:vAlign w:val="bottom"/>
          </w:tcPr>
          <w:p>
            <w:pPr>
              <w:spacing w:after="0"/>
              <w:rPr>
                <w:sz w:val="1"/>
                <w:szCs w:val="1"/>
                <w:color w:val="auto"/>
              </w:rPr>
            </w:pPr>
          </w:p>
        </w:tc>
      </w:tr>
      <w:tr>
        <w:trPr>
          <w:trHeight w:val="142"/>
        </w:trPr>
        <w:tc>
          <w:tcPr>
            <w:tcW w:w="408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Preferred Equity—0.4% </w:t>
            </w:r>
            <w:r>
              <w:rPr>
                <w:rFonts w:ascii="Arial" w:cs="Arial" w:eastAsia="Arial" w:hAnsi="Arial"/>
                <w:sz w:val="9"/>
                <w:szCs w:val="9"/>
                <w:b w:val="1"/>
                <w:bCs w:val="1"/>
                <w:color w:val="auto"/>
              </w:rPr>
              <w:t>(7), (8)</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UniTek Global Services, Inc.</w:t>
            </w:r>
          </w:p>
        </w:tc>
        <w:tc>
          <w:tcPr>
            <w:tcW w:w="8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2"/>
                <w:szCs w:val="12"/>
                <w:color w:val="auto"/>
              </w:rPr>
              <w:t>—</w:t>
            </w: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9"/>
              </w:rPr>
              <w:t>Telecommunications</w:t>
            </w: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13.50%</w:t>
            </w:r>
          </w:p>
        </w:tc>
        <w:tc>
          <w:tcPr>
            <w:tcW w:w="88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1,047,317</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670,283</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1,319,308</w:t>
            </w:r>
          </w:p>
        </w:tc>
        <w:tc>
          <w:tcPr>
            <w:tcW w:w="0" w:type="dxa"/>
            <w:vAlign w:val="bottom"/>
          </w:tcPr>
          <w:p>
            <w:pPr>
              <w:spacing w:after="0"/>
              <w:rPr>
                <w:sz w:val="1"/>
                <w:szCs w:val="1"/>
                <w:color w:val="auto"/>
              </w:rPr>
            </w:pPr>
          </w:p>
        </w:tc>
      </w:tr>
      <w:tr>
        <w:trPr>
          <w:trHeight w:val="142"/>
        </w:trPr>
        <w:tc>
          <w:tcPr>
            <w:tcW w:w="408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Common Equity/Warrants—2.5% </w:t>
            </w:r>
            <w:r>
              <w:rPr>
                <w:rFonts w:ascii="Arial" w:cs="Arial" w:eastAsia="Arial" w:hAnsi="Arial"/>
                <w:sz w:val="9"/>
                <w:szCs w:val="9"/>
                <w:b w:val="1"/>
                <w:bCs w:val="1"/>
                <w:color w:val="auto"/>
              </w:rPr>
              <w:t>(7), (8)</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Affinion Group Holdings, Inc.</w:t>
            </w:r>
          </w:p>
        </w:tc>
        <w:tc>
          <w:tcPr>
            <w:tcW w:w="8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2"/>
                <w:szCs w:val="12"/>
                <w:color w:val="auto"/>
              </w:rPr>
              <w:t>—</w:t>
            </w: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8"/>
              </w:rPr>
              <w:t>Consumer Goods: Durable</w:t>
            </w:r>
          </w:p>
        </w:tc>
        <w:tc>
          <w:tcPr>
            <w:tcW w:w="9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99,029</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3,514,572</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3,700,216</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Basis Point</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Spread</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Issuer Name</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6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88"/>
              </w:rPr>
              <w:t>Industry</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Current</w:t>
            </w: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740" w:type="dxa"/>
            <w:vAlign w:val="bottom"/>
            <w:gridSpan w:val="2"/>
          </w:tcPr>
          <w:p>
            <w:pPr>
              <w:jc w:val="right"/>
              <w:ind w:right="400"/>
              <w:spacing w:after="0" w:line="135" w:lineRule="exact"/>
              <w:rPr>
                <w:sz w:val="20"/>
                <w:szCs w:val="20"/>
                <w:color w:val="auto"/>
              </w:rPr>
            </w:pPr>
            <w:r>
              <w:rPr>
                <w:rFonts w:ascii="Arial" w:cs="Arial" w:eastAsia="Arial" w:hAnsi="Arial"/>
                <w:sz w:val="12"/>
                <w:szCs w:val="12"/>
                <w:b w:val="1"/>
                <w:bCs w:val="1"/>
                <w:color w:val="auto"/>
              </w:rPr>
              <w:t>Par /</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380" w:type="dxa"/>
            <w:vAlign w:val="bottom"/>
            <w:gridSpan w:val="3"/>
            <w:vMerge w:val="continue"/>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Maturity</w:t>
            </w:r>
          </w:p>
        </w:tc>
        <w:tc>
          <w:tcPr>
            <w:tcW w:w="2160" w:type="dxa"/>
            <w:vAlign w:val="bottom"/>
            <w:gridSpan w:val="2"/>
            <w:vMerge w:val="continue"/>
          </w:tcPr>
          <w:p>
            <w:pPr>
              <w:spacing w:after="0"/>
              <w:rPr>
                <w:sz w:val="12"/>
                <w:szCs w:val="12"/>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Coupon</w:t>
            </w:r>
          </w:p>
        </w:tc>
        <w:tc>
          <w:tcPr>
            <w:tcW w:w="8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74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94"/>
              </w:rPr>
              <w:t>Shares</w:t>
            </w:r>
          </w:p>
        </w:tc>
        <w:tc>
          <w:tcPr>
            <w:tcW w:w="60" w:type="dxa"/>
            <w:vAlign w:val="bottom"/>
          </w:tcPr>
          <w:p>
            <w:pPr>
              <w:spacing w:after="0"/>
              <w:rPr>
                <w:sz w:val="12"/>
                <w:szCs w:val="12"/>
                <w:color w:val="auto"/>
              </w:rPr>
            </w:pPr>
          </w:p>
        </w:tc>
        <w:tc>
          <w:tcPr>
            <w:tcW w:w="740" w:type="dxa"/>
            <w:vAlign w:val="bottom"/>
            <w:gridSpan w:val="2"/>
          </w:tcPr>
          <w:p>
            <w:pPr>
              <w:ind w:left="160"/>
              <w:spacing w:after="0"/>
              <w:rPr>
                <w:sz w:val="20"/>
                <w:szCs w:val="20"/>
                <w:color w:val="auto"/>
              </w:rPr>
            </w:pPr>
            <w:r>
              <w:rPr>
                <w:rFonts w:ascii="Arial" w:cs="Arial" w:eastAsia="Arial" w:hAnsi="Arial"/>
                <w:sz w:val="12"/>
                <w:szCs w:val="12"/>
                <w:b w:val="1"/>
                <w:bCs w:val="1"/>
                <w:color w:val="auto"/>
              </w:rPr>
              <w:t>Cost</w:t>
            </w:r>
          </w:p>
        </w:tc>
        <w:tc>
          <w:tcPr>
            <w:tcW w:w="160" w:type="dxa"/>
            <w:vAlign w:val="bottom"/>
          </w:tcPr>
          <w:p>
            <w:pPr>
              <w:spacing w:after="0"/>
              <w:rPr>
                <w:sz w:val="12"/>
                <w:szCs w:val="12"/>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Affinion Group Holdings, Inc., Series C and Series D</w:t>
            </w:r>
          </w:p>
        </w:tc>
        <w:tc>
          <w:tcPr>
            <w:tcW w:w="1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ind w:left="320"/>
              <w:spacing w:after="0" w:line="129" w:lineRule="exact"/>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19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Consumer Goods: Durable</w:t>
            </w:r>
          </w:p>
        </w:tc>
        <w:tc>
          <w:tcPr>
            <w:tcW w:w="1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ind w:left="240"/>
              <w:spacing w:after="0" w:line="129" w:lineRule="exact"/>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ind w:left="400"/>
              <w:spacing w:after="0" w:line="129" w:lineRule="exact"/>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4,298</w:t>
            </w:r>
          </w:p>
        </w:tc>
        <w:tc>
          <w:tcPr>
            <w:tcW w:w="3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1,186,649</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20,096</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tcPr>
          <w:p>
            <w:pPr>
              <w:spacing w:after="0" w:line="135" w:lineRule="exact"/>
              <w:rPr>
                <w:sz w:val="20"/>
                <w:szCs w:val="20"/>
                <w:color w:val="auto"/>
              </w:rPr>
            </w:pPr>
            <w:r>
              <w:rPr>
                <w:rFonts w:ascii="Arial" w:cs="Arial" w:eastAsia="Arial" w:hAnsi="Arial"/>
                <w:sz w:val="12"/>
                <w:szCs w:val="12"/>
                <w:color w:val="auto"/>
              </w:rPr>
              <w:t>Corfin InvestCo, L.P.</w:t>
            </w:r>
          </w:p>
        </w:tc>
        <w:tc>
          <w:tcPr>
            <w:tcW w:w="940" w:type="dxa"/>
            <w:vAlign w:val="bottom"/>
            <w:gridSpan w:val="2"/>
          </w:tcPr>
          <w:p>
            <w:pPr>
              <w:ind w:left="320"/>
              <w:spacing w:after="0" w:line="135" w:lineRule="exact"/>
              <w:rPr>
                <w:sz w:val="20"/>
                <w:szCs w:val="20"/>
                <w:color w:val="auto"/>
              </w:rPr>
            </w:pPr>
            <w:r>
              <w:rPr>
                <w:rFonts w:ascii="Arial" w:cs="Arial" w:eastAsia="Arial" w:hAnsi="Arial"/>
                <w:sz w:val="12"/>
                <w:szCs w:val="12"/>
                <w:color w:val="auto"/>
              </w:rPr>
              <w:t>—</w:t>
            </w: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5"/>
              </w:rPr>
              <w:t>Aerospace and Defense</w:t>
            </w:r>
          </w:p>
        </w:tc>
        <w:tc>
          <w:tcPr>
            <w:tcW w:w="66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rPr>
              <w:t>3,000</w:t>
            </w:r>
          </w:p>
        </w:tc>
        <w:tc>
          <w:tcPr>
            <w:tcW w:w="6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300,000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621,550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(10)</w:t>
            </w:r>
          </w:p>
        </w:tc>
        <w:tc>
          <w:tcPr>
            <w:tcW w:w="94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2"/>
                <w:szCs w:val="12"/>
                <w:color w:val="auto"/>
              </w:rPr>
              <w:t>—</w:t>
            </w: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5"/>
              </w:rPr>
              <w:t>Aerospace and Defense</w:t>
            </w:r>
          </w:p>
        </w:tc>
        <w:tc>
          <w:tcPr>
            <w:tcW w:w="6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3,000</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tcPr>
          <w:p>
            <w:pPr>
              <w:spacing w:after="0" w:line="135" w:lineRule="exact"/>
              <w:rPr>
                <w:sz w:val="20"/>
                <w:szCs w:val="20"/>
                <w:color w:val="auto"/>
              </w:rPr>
            </w:pPr>
            <w:r>
              <w:rPr>
                <w:rFonts w:ascii="Arial" w:cs="Arial" w:eastAsia="Arial" w:hAnsi="Arial"/>
                <w:sz w:val="12"/>
                <w:szCs w:val="12"/>
                <w:color w:val="auto"/>
              </w:rPr>
              <w:t>e.l.f. Beauty, Inc. (f/k/a J.A. Cosmetics US, Inc.)</w:t>
            </w:r>
          </w:p>
        </w:tc>
        <w:tc>
          <w:tcPr>
            <w:tcW w:w="940" w:type="dxa"/>
            <w:vAlign w:val="bottom"/>
            <w:gridSpan w:val="2"/>
          </w:tcPr>
          <w:p>
            <w:pPr>
              <w:ind w:left="320"/>
              <w:spacing w:after="0" w:line="135" w:lineRule="exact"/>
              <w:rPr>
                <w:sz w:val="20"/>
                <w:szCs w:val="20"/>
                <w:color w:val="auto"/>
              </w:rPr>
            </w:pPr>
            <w:r>
              <w:rPr>
                <w:rFonts w:ascii="Arial" w:cs="Arial" w:eastAsia="Arial" w:hAnsi="Arial"/>
                <w:sz w:val="12"/>
                <w:szCs w:val="12"/>
                <w:color w:val="auto"/>
              </w:rPr>
              <w:t>—</w:t>
            </w:r>
          </w:p>
        </w:tc>
        <w:tc>
          <w:tcPr>
            <w:tcW w:w="216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8"/>
              </w:rPr>
              <w:t>Consumer Goods: Durable</w:t>
            </w:r>
          </w:p>
        </w:tc>
        <w:tc>
          <w:tcPr>
            <w:tcW w:w="66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300"/>
              <w:spacing w:after="0" w:line="135" w:lineRule="exact"/>
              <w:rPr>
                <w:sz w:val="20"/>
                <w:szCs w:val="20"/>
                <w:color w:val="auto"/>
              </w:rPr>
            </w:pPr>
            <w:r>
              <w:rPr>
                <w:rFonts w:ascii="Arial" w:cs="Arial" w:eastAsia="Arial" w:hAnsi="Arial"/>
                <w:sz w:val="12"/>
                <w:szCs w:val="12"/>
                <w:color w:val="auto"/>
                <w:w w:val="96"/>
              </w:rPr>
              <w:t>110,399</w:t>
            </w:r>
          </w:p>
        </w:tc>
        <w:tc>
          <w:tcPr>
            <w:tcW w:w="6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295,670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2,957,767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Faraday Holdings, LLC (Interior Specialists, Inc.)</w:t>
            </w:r>
          </w:p>
        </w:tc>
        <w:tc>
          <w:tcPr>
            <w:tcW w:w="94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2"/>
                <w:szCs w:val="12"/>
                <w:color w:val="auto"/>
              </w:rPr>
              <w:t>—</w:t>
            </w:r>
          </w:p>
        </w:tc>
        <w:tc>
          <w:tcPr>
            <w:tcW w:w="21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90"/>
              </w:rPr>
              <w:t>Construction and Building</w:t>
            </w:r>
          </w:p>
        </w:tc>
        <w:tc>
          <w:tcPr>
            <w:tcW w:w="6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rPr>
              <w:t>1,141</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58,044</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94,560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gridSpan w:val="2"/>
          </w:tcPr>
          <w:p>
            <w:pPr>
              <w:spacing w:after="0" w:line="129" w:lineRule="exact"/>
              <w:rPr>
                <w:sz w:val="20"/>
                <w:szCs w:val="20"/>
                <w:color w:val="auto"/>
              </w:rPr>
            </w:pPr>
            <w:r>
              <w:rPr>
                <w:rFonts w:ascii="Arial" w:cs="Arial" w:eastAsia="Arial" w:hAnsi="Arial"/>
                <w:sz w:val="12"/>
                <w:szCs w:val="12"/>
                <w:color w:val="auto"/>
              </w:rPr>
              <w:t>Patriot National, Inc.</w:t>
            </w:r>
          </w:p>
        </w:tc>
        <w:tc>
          <w:tcPr>
            <w:tcW w:w="940" w:type="dxa"/>
            <w:vAlign w:val="bottom"/>
            <w:gridSpan w:val="2"/>
          </w:tcPr>
          <w:p>
            <w:pPr>
              <w:ind w:left="320"/>
              <w:spacing w:after="0" w:line="129" w:lineRule="exact"/>
              <w:rPr>
                <w:sz w:val="20"/>
                <w:szCs w:val="20"/>
                <w:color w:val="auto"/>
              </w:rPr>
            </w:pPr>
            <w:r>
              <w:rPr>
                <w:rFonts w:ascii="Arial" w:cs="Arial" w:eastAsia="Arial" w:hAnsi="Arial"/>
                <w:sz w:val="12"/>
                <w:szCs w:val="12"/>
                <w:color w:val="auto"/>
              </w:rPr>
              <w:t>—</w:t>
            </w:r>
          </w:p>
        </w:tc>
        <w:tc>
          <w:tcPr>
            <w:tcW w:w="2160" w:type="dxa"/>
            <w:vAlign w:val="bottom"/>
            <w:gridSpan w:val="2"/>
          </w:tcPr>
          <w:p>
            <w:pPr>
              <w:jc w:val="center"/>
              <w:ind w:right="180"/>
              <w:spacing w:after="0" w:line="129" w:lineRule="exact"/>
              <w:rPr>
                <w:sz w:val="20"/>
                <w:szCs w:val="20"/>
                <w:color w:val="auto"/>
              </w:rPr>
            </w:pPr>
            <w:r>
              <w:rPr>
                <w:rFonts w:ascii="Arial" w:cs="Arial" w:eastAsia="Arial" w:hAnsi="Arial"/>
                <w:sz w:val="12"/>
                <w:szCs w:val="12"/>
                <w:color w:val="auto"/>
                <w:w w:val="87"/>
              </w:rPr>
              <w:t>Banking, Finance, Insurance and Real</w:t>
            </w:r>
          </w:p>
        </w:tc>
        <w:tc>
          <w:tcPr>
            <w:tcW w:w="66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40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11,867</w:t>
            </w:r>
          </w:p>
        </w:tc>
        <w:tc>
          <w:tcPr>
            <w:tcW w:w="60" w:type="dxa"/>
            <w:vAlign w:val="bottom"/>
          </w:tcPr>
          <w:p>
            <w:pPr>
              <w:spacing w:after="0"/>
              <w:rPr>
                <w:sz w:val="11"/>
                <w:szCs w:val="11"/>
                <w:color w:val="auto"/>
              </w:rPr>
            </w:pPr>
          </w:p>
        </w:tc>
        <w:tc>
          <w:tcPr>
            <w:tcW w:w="74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27,995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106,922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Estate</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TPC Broadband Investors, LP</w:t>
            </w:r>
          </w:p>
        </w:tc>
        <w:tc>
          <w:tcPr>
            <w:tcW w:w="940" w:type="dxa"/>
            <w:vAlign w:val="bottom"/>
            <w:gridSpan w:val="2"/>
            <w:shd w:val="clear" w:color="auto" w:fill="CCEEFF"/>
          </w:tcPr>
          <w:p>
            <w:pPr>
              <w:ind w:left="320"/>
              <w:spacing w:after="0" w:line="129" w:lineRule="exact"/>
              <w:rPr>
                <w:sz w:val="20"/>
                <w:szCs w:val="20"/>
                <w:color w:val="auto"/>
              </w:rPr>
            </w:pPr>
            <w:r>
              <w:rPr>
                <w:rFonts w:ascii="Arial" w:cs="Arial" w:eastAsia="Arial" w:hAnsi="Arial"/>
                <w:sz w:val="12"/>
                <w:szCs w:val="12"/>
                <w:color w:val="auto"/>
              </w:rPr>
              <w:t>—</w:t>
            </w:r>
          </w:p>
        </w:tc>
        <w:tc>
          <w:tcPr>
            <w:tcW w:w="2160" w:type="dxa"/>
            <w:vAlign w:val="bottom"/>
            <w:gridSpan w:val="2"/>
            <w:shd w:val="clear" w:color="auto" w:fill="CCEEFF"/>
          </w:tcPr>
          <w:p>
            <w:pPr>
              <w:jc w:val="center"/>
              <w:ind w:right="180"/>
              <w:spacing w:after="0" w:line="129" w:lineRule="exact"/>
              <w:rPr>
                <w:sz w:val="20"/>
                <w:szCs w:val="20"/>
                <w:color w:val="auto"/>
              </w:rPr>
            </w:pPr>
            <w:r>
              <w:rPr>
                <w:rFonts w:ascii="Arial" w:cs="Arial" w:eastAsia="Arial" w:hAnsi="Arial"/>
                <w:sz w:val="12"/>
                <w:szCs w:val="12"/>
                <w:color w:val="auto"/>
                <w:w w:val="89"/>
              </w:rPr>
              <w:t>Telecommunications</w:t>
            </w:r>
          </w:p>
        </w:tc>
        <w:tc>
          <w:tcPr>
            <w:tcW w:w="660" w:type="dxa"/>
            <w:vAlign w:val="bottom"/>
            <w:gridSpan w:val="2"/>
            <w:shd w:val="clear" w:color="auto" w:fill="CCEEFF"/>
          </w:tcPr>
          <w:p>
            <w:pPr>
              <w:ind w:lef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40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2"/>
                <w:szCs w:val="12"/>
                <w:color w:val="auto"/>
                <w:w w:val="96"/>
              </w:rPr>
              <w:t>430,666</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430,666</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430,666</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3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(Advanced Cable Communications, LLC)</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gridSpan w:val="2"/>
          </w:tcPr>
          <w:p>
            <w:pPr>
              <w:spacing w:after="0" w:line="129" w:lineRule="exact"/>
              <w:rPr>
                <w:sz w:val="20"/>
                <w:szCs w:val="20"/>
                <w:color w:val="auto"/>
              </w:rPr>
            </w:pPr>
            <w:r>
              <w:rPr>
                <w:rFonts w:ascii="Arial" w:cs="Arial" w:eastAsia="Arial" w:hAnsi="Arial"/>
                <w:sz w:val="12"/>
                <w:szCs w:val="12"/>
                <w:color w:val="auto"/>
              </w:rPr>
              <w:t>TPC Broadband Investors, LP</w:t>
            </w:r>
          </w:p>
        </w:tc>
        <w:tc>
          <w:tcPr>
            <w:tcW w:w="940" w:type="dxa"/>
            <w:vAlign w:val="bottom"/>
            <w:gridSpan w:val="2"/>
          </w:tcPr>
          <w:p>
            <w:pPr>
              <w:ind w:left="320"/>
              <w:spacing w:after="0" w:line="129" w:lineRule="exact"/>
              <w:rPr>
                <w:sz w:val="20"/>
                <w:szCs w:val="20"/>
                <w:color w:val="auto"/>
              </w:rPr>
            </w:pPr>
            <w:r>
              <w:rPr>
                <w:rFonts w:ascii="Arial" w:cs="Arial" w:eastAsia="Arial" w:hAnsi="Arial"/>
                <w:sz w:val="12"/>
                <w:szCs w:val="12"/>
                <w:color w:val="auto"/>
              </w:rPr>
              <w:t>—</w:t>
            </w:r>
          </w:p>
        </w:tc>
        <w:tc>
          <w:tcPr>
            <w:tcW w:w="2160" w:type="dxa"/>
            <w:vAlign w:val="bottom"/>
            <w:gridSpan w:val="2"/>
          </w:tcPr>
          <w:p>
            <w:pPr>
              <w:jc w:val="center"/>
              <w:ind w:right="180"/>
              <w:spacing w:after="0" w:line="129" w:lineRule="exact"/>
              <w:rPr>
                <w:sz w:val="20"/>
                <w:szCs w:val="20"/>
                <w:color w:val="auto"/>
              </w:rPr>
            </w:pPr>
            <w:r>
              <w:rPr>
                <w:rFonts w:ascii="Arial" w:cs="Arial" w:eastAsia="Arial" w:hAnsi="Arial"/>
                <w:sz w:val="12"/>
                <w:szCs w:val="12"/>
                <w:color w:val="auto"/>
                <w:w w:val="89"/>
              </w:rPr>
              <w:t>Telecommunications</w:t>
            </w:r>
          </w:p>
        </w:tc>
        <w:tc>
          <w:tcPr>
            <w:tcW w:w="66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40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w w:val="96"/>
              </w:rPr>
              <w:t>569,334</w:t>
            </w:r>
          </w:p>
        </w:tc>
        <w:tc>
          <w:tcPr>
            <w:tcW w:w="60" w:type="dxa"/>
            <w:vAlign w:val="bottom"/>
          </w:tcPr>
          <w:p>
            <w:pPr>
              <w:spacing w:after="0"/>
              <w:rPr>
                <w:sz w:val="11"/>
                <w:szCs w:val="11"/>
                <w:color w:val="auto"/>
              </w:rPr>
            </w:pPr>
          </w:p>
        </w:tc>
        <w:tc>
          <w:tcPr>
            <w:tcW w:w="740" w:type="dxa"/>
            <w:vAlign w:val="bottom"/>
            <w:gridSpan w:val="2"/>
          </w:tcPr>
          <w:p>
            <w:pPr>
              <w:ind w:left="420"/>
              <w:spacing w:after="0" w:line="129"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360" w:type="dxa"/>
            <w:vAlign w:val="bottom"/>
            <w:gridSpan w:val="2"/>
          </w:tcPr>
          <w:p>
            <w:pPr>
              <w:ind w:left="100"/>
              <w:spacing w:after="0"/>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(10)</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UniTek Global Services, Inc.</w:t>
            </w:r>
          </w:p>
        </w:tc>
        <w:tc>
          <w:tcPr>
            <w:tcW w:w="94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2"/>
                <w:szCs w:val="12"/>
                <w:color w:val="auto"/>
              </w:rPr>
              <w:t>—</w:t>
            </w:r>
          </w:p>
        </w:tc>
        <w:tc>
          <w:tcPr>
            <w:tcW w:w="216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9"/>
              </w:rPr>
              <w:t>Telecommunications</w:t>
            </w:r>
          </w:p>
        </w:tc>
        <w:tc>
          <w:tcPr>
            <w:tcW w:w="6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2"/>
                <w:szCs w:val="12"/>
                <w:color w:val="auto"/>
                <w:w w:val="96"/>
              </w:rPr>
              <w:t>149,617</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892,276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gridSpan w:val="2"/>
          </w:tcPr>
          <w:p>
            <w:pPr>
              <w:spacing w:after="0" w:line="129" w:lineRule="exact"/>
              <w:rPr>
                <w:sz w:val="20"/>
                <w:szCs w:val="20"/>
                <w:color w:val="auto"/>
              </w:rPr>
            </w:pPr>
            <w:r>
              <w:rPr>
                <w:rFonts w:ascii="Arial" w:cs="Arial" w:eastAsia="Arial" w:hAnsi="Arial"/>
                <w:sz w:val="12"/>
                <w:szCs w:val="12"/>
                <w:color w:val="auto"/>
              </w:rPr>
              <w:t>Vestcom Parent Holdings, Inc.</w:t>
            </w:r>
          </w:p>
        </w:tc>
        <w:tc>
          <w:tcPr>
            <w:tcW w:w="940" w:type="dxa"/>
            <w:vAlign w:val="bottom"/>
            <w:gridSpan w:val="2"/>
          </w:tcPr>
          <w:p>
            <w:pPr>
              <w:ind w:left="320"/>
              <w:spacing w:after="0" w:line="129" w:lineRule="exact"/>
              <w:rPr>
                <w:sz w:val="20"/>
                <w:szCs w:val="20"/>
                <w:color w:val="auto"/>
              </w:rPr>
            </w:pPr>
            <w:r>
              <w:rPr>
                <w:rFonts w:ascii="Arial" w:cs="Arial" w:eastAsia="Arial" w:hAnsi="Arial"/>
                <w:sz w:val="12"/>
                <w:szCs w:val="12"/>
                <w:color w:val="auto"/>
              </w:rPr>
              <w:t>—</w:t>
            </w:r>
          </w:p>
        </w:tc>
        <w:tc>
          <w:tcPr>
            <w:tcW w:w="2160" w:type="dxa"/>
            <w:vAlign w:val="bottom"/>
            <w:gridSpan w:val="2"/>
          </w:tcPr>
          <w:p>
            <w:pPr>
              <w:jc w:val="center"/>
              <w:ind w:right="180"/>
              <w:spacing w:after="0" w:line="129" w:lineRule="exact"/>
              <w:rPr>
                <w:sz w:val="20"/>
                <w:szCs w:val="20"/>
                <w:color w:val="auto"/>
              </w:rPr>
            </w:pPr>
            <w:r>
              <w:rPr>
                <w:rFonts w:ascii="Arial" w:cs="Arial" w:eastAsia="Arial" w:hAnsi="Arial"/>
                <w:sz w:val="12"/>
                <w:szCs w:val="12"/>
                <w:color w:val="auto"/>
                <w:w w:val="90"/>
              </w:rPr>
              <w:t>Media: Advertising, Printing and</w:t>
            </w:r>
          </w:p>
        </w:tc>
        <w:tc>
          <w:tcPr>
            <w:tcW w:w="66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40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15,179</w:t>
            </w:r>
          </w:p>
        </w:tc>
        <w:tc>
          <w:tcPr>
            <w:tcW w:w="60" w:type="dxa"/>
            <w:vAlign w:val="bottom"/>
          </w:tcPr>
          <w:p>
            <w:pPr>
              <w:spacing w:after="0"/>
              <w:rPr>
                <w:sz w:val="11"/>
                <w:szCs w:val="11"/>
                <w:color w:val="auto"/>
              </w:rPr>
            </w:pPr>
          </w:p>
        </w:tc>
        <w:tc>
          <w:tcPr>
            <w:tcW w:w="74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56,895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577,005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gridSpan w:val="2"/>
          </w:tcPr>
          <w:p>
            <w:pPr>
              <w:jc w:val="center"/>
              <w:ind w:right="180"/>
              <w:spacing w:after="0"/>
              <w:rPr>
                <w:sz w:val="20"/>
                <w:szCs w:val="20"/>
                <w:color w:val="auto"/>
              </w:rPr>
            </w:pPr>
            <w:r>
              <w:rPr>
                <w:rFonts w:ascii="Arial" w:cs="Arial" w:eastAsia="Arial" w:hAnsi="Arial"/>
                <w:sz w:val="12"/>
                <w:szCs w:val="12"/>
                <w:color w:val="auto"/>
                <w:w w:val="90"/>
              </w:rPr>
              <w:t>Publishing</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Common Equity/Warrants</w:t>
            </w: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5,870,491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9,401,058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80" w:type="dxa"/>
            <w:vAlign w:val="bottom"/>
            <w:gridSpan w:val="3"/>
          </w:tcPr>
          <w:p>
            <w:pPr>
              <w:spacing w:after="0"/>
              <w:rPr>
                <w:sz w:val="20"/>
                <w:szCs w:val="20"/>
                <w:color w:val="auto"/>
              </w:rPr>
            </w:pPr>
            <w:r>
              <w:rPr>
                <w:rFonts w:ascii="Arial" w:cs="Arial" w:eastAsia="Arial" w:hAnsi="Arial"/>
                <w:sz w:val="12"/>
                <w:szCs w:val="12"/>
                <w:b w:val="1"/>
                <w:bCs w:val="1"/>
                <w:color w:val="auto"/>
              </w:rPr>
              <w:t>Total Investments in Non-Controlled, Non-Affiliated Portfolio Companies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w w:val="86"/>
              </w:rPr>
              <w:t>597,910,267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w w:val="92"/>
              </w:rPr>
              <w:t>598,887,525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and Cash Equivalents—7.7%</w:t>
            </w: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tcPr>
          <w:p>
            <w:pPr>
              <w:spacing w:after="0" w:line="135" w:lineRule="exact"/>
              <w:rPr>
                <w:sz w:val="20"/>
                <w:szCs w:val="20"/>
                <w:color w:val="auto"/>
              </w:rPr>
            </w:pPr>
            <w:r>
              <w:rPr>
                <w:rFonts w:ascii="Arial" w:cs="Arial" w:eastAsia="Arial" w:hAnsi="Arial"/>
                <w:sz w:val="12"/>
                <w:szCs w:val="12"/>
                <w:color w:val="auto"/>
              </w:rPr>
              <w:t>BlackRock Liquidity Funds, Temp Cash and Temp Fund, Institutional Shares</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w w:val="96"/>
              </w:rPr>
              <w:t>28,212,041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28,212,041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BNY Mellon Cash Reserve and Cash</w:t>
            </w: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691,318</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698,932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80" w:type="dxa"/>
            <w:vAlign w:val="bottom"/>
            <w:gridSpan w:val="3"/>
          </w:tcPr>
          <w:p>
            <w:pPr>
              <w:spacing w:after="0"/>
              <w:rPr>
                <w:sz w:val="20"/>
                <w:szCs w:val="20"/>
                <w:color w:val="auto"/>
              </w:rPr>
            </w:pPr>
            <w:r>
              <w:rPr>
                <w:rFonts w:ascii="Arial" w:cs="Arial" w:eastAsia="Arial" w:hAnsi="Arial"/>
                <w:sz w:val="12"/>
                <w:szCs w:val="12"/>
                <w:b w:val="1"/>
                <w:bCs w:val="1"/>
                <w:color w:val="auto"/>
              </w:rPr>
              <w:t>Total Cash and Cash Equivalents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28,903,359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28,910,973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and Cash Equivalents—167.0%</w:t>
            </w: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6"/>
              </w:rPr>
              <w:t>626,813,626</w:t>
            </w:r>
          </w:p>
        </w:tc>
        <w:tc>
          <w:tcPr>
            <w:tcW w:w="14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2"/>
              </w:rPr>
              <w:t>627,798,498</w:t>
            </w:r>
          </w:p>
        </w:tc>
        <w:tc>
          <w:tcPr>
            <w:tcW w:w="0" w:type="dxa"/>
            <w:vAlign w:val="bottom"/>
          </w:tcPr>
          <w:p>
            <w:pPr>
              <w:spacing w:after="0"/>
              <w:rPr>
                <w:sz w:val="1"/>
                <w:szCs w:val="1"/>
                <w:color w:val="auto"/>
              </w:rPr>
            </w:pPr>
          </w:p>
        </w:tc>
      </w:tr>
      <w:tr>
        <w:trPr>
          <w:trHeight w:val="20"/>
        </w:trPr>
        <w:tc>
          <w:tcPr>
            <w:tcW w:w="4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Liabilities in Excess of Other Assets—(67.0)%</w:t>
            </w: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38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w w:val="88"/>
              </w:rPr>
              <w:t>(251,891,670)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Net Assets—100.0%</w:t>
            </w: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2"/>
              </w:rPr>
              <w:t>375,906,828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51765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6" w:lineRule="exact"/>
        <w:rPr>
          <w:sz w:val="20"/>
          <w:szCs w:val="20"/>
          <w:color w:val="auto"/>
        </w:rPr>
      </w:pPr>
    </w:p>
    <w:p>
      <w:pPr>
        <w:ind w:left="340" w:right="380" w:hanging="332"/>
        <w:spacing w:after="0" w:line="243" w:lineRule="auto"/>
        <w:tabs>
          <w:tab w:leader="none" w:pos="340" w:val="left"/>
        </w:tabs>
        <w:numPr>
          <w:ilvl w:val="0"/>
          <w:numId w:val="8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 The spread provided includes payment-in-kind, or PIK, interest and other fee rates, if any.</w:t>
      </w:r>
    </w:p>
    <w:p>
      <w:pPr>
        <w:ind w:left="340" w:hanging="332"/>
        <w:spacing w:after="0" w:line="234" w:lineRule="auto"/>
        <w:tabs>
          <w:tab w:leader="none" w:pos="340" w:val="left"/>
        </w:tabs>
        <w:numPr>
          <w:ilvl w:val="0"/>
          <w:numId w:val="84"/>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right="200" w:hanging="332"/>
        <w:spacing w:after="0" w:line="234" w:lineRule="auto"/>
        <w:tabs>
          <w:tab w:leader="none" w:pos="340" w:val="left"/>
        </w:tabs>
        <w:numPr>
          <w:ilvl w:val="0"/>
          <w:numId w:val="8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1" w:lineRule="exact"/>
        <w:rPr>
          <w:rFonts w:ascii="Arial" w:cs="Arial" w:eastAsia="Arial" w:hAnsi="Arial"/>
          <w:sz w:val="12"/>
          <w:szCs w:val="12"/>
          <w:color w:val="auto"/>
        </w:rPr>
      </w:pPr>
    </w:p>
    <w:p>
      <w:pPr>
        <w:ind w:left="340" w:right="220" w:hanging="332"/>
        <w:spacing w:after="0" w:line="234" w:lineRule="auto"/>
        <w:tabs>
          <w:tab w:leader="none" w:pos="340" w:val="left"/>
        </w:tabs>
        <w:numPr>
          <w:ilvl w:val="0"/>
          <w:numId w:val="8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1" w:lineRule="exact"/>
        <w:rPr>
          <w:rFonts w:ascii="Arial" w:cs="Arial" w:eastAsia="Arial" w:hAnsi="Arial"/>
          <w:sz w:val="12"/>
          <w:szCs w:val="12"/>
          <w:color w:val="auto"/>
        </w:rPr>
      </w:pPr>
    </w:p>
    <w:p>
      <w:pPr>
        <w:ind w:left="340" w:right="120" w:hanging="332"/>
        <w:spacing w:after="0" w:line="234" w:lineRule="auto"/>
        <w:tabs>
          <w:tab w:leader="none" w:pos="340" w:val="left"/>
        </w:tabs>
        <w:numPr>
          <w:ilvl w:val="0"/>
          <w:numId w:val="84"/>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spacing w:after="0" w:line="1" w:lineRule="exact"/>
        <w:rPr>
          <w:rFonts w:ascii="Arial" w:cs="Arial" w:eastAsia="Arial" w:hAnsi="Arial"/>
          <w:sz w:val="12"/>
          <w:szCs w:val="12"/>
          <w:color w:val="auto"/>
        </w:rPr>
      </w:pPr>
    </w:p>
    <w:p>
      <w:pPr>
        <w:ind w:left="340" w:hanging="332"/>
        <w:spacing w:after="0" w:line="234" w:lineRule="auto"/>
        <w:tabs>
          <w:tab w:leader="none" w:pos="340" w:val="left"/>
        </w:tabs>
        <w:numPr>
          <w:ilvl w:val="0"/>
          <w:numId w:val="8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40" w:hanging="332"/>
        <w:spacing w:after="0" w:line="234" w:lineRule="auto"/>
        <w:tabs>
          <w:tab w:leader="none" w:pos="340" w:val="left"/>
        </w:tabs>
        <w:numPr>
          <w:ilvl w:val="0"/>
          <w:numId w:val="84"/>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84"/>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ind w:left="340" w:hanging="332"/>
        <w:spacing w:after="0" w:line="234" w:lineRule="auto"/>
        <w:tabs>
          <w:tab w:leader="none" w:pos="340" w:val="left"/>
        </w:tabs>
        <w:numPr>
          <w:ilvl w:val="0"/>
          <w:numId w:val="84"/>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40" w:hanging="332"/>
        <w:spacing w:after="0"/>
        <w:tabs>
          <w:tab w:leader="none" w:pos="340" w:val="left"/>
        </w:tabs>
        <w:numPr>
          <w:ilvl w:val="0"/>
          <w:numId w:val="84"/>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40" w:right="220" w:hanging="332"/>
        <w:spacing w:after="0" w:line="234" w:lineRule="auto"/>
        <w:tabs>
          <w:tab w:leader="none" w:pos="340" w:val="left"/>
        </w:tabs>
        <w:numPr>
          <w:ilvl w:val="0"/>
          <w:numId w:val="84"/>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1" w:lineRule="exact"/>
        <w:rPr>
          <w:rFonts w:ascii="Arial" w:cs="Arial" w:eastAsia="Arial" w:hAnsi="Arial"/>
          <w:sz w:val="12"/>
          <w:szCs w:val="12"/>
          <w:color w:val="auto"/>
        </w:rPr>
      </w:pPr>
    </w:p>
    <w:p>
      <w:pPr>
        <w:ind w:left="340" w:hanging="332"/>
        <w:spacing w:after="0"/>
        <w:tabs>
          <w:tab w:leader="none" w:pos="340" w:val="left"/>
        </w:tabs>
        <w:numPr>
          <w:ilvl w:val="0"/>
          <w:numId w:val="84"/>
        </w:numPr>
        <w:rPr>
          <w:rFonts w:ascii="Arial" w:cs="Arial" w:eastAsia="Arial" w:hAnsi="Arial"/>
          <w:sz w:val="12"/>
          <w:szCs w:val="12"/>
          <w:color w:val="auto"/>
        </w:rPr>
      </w:pPr>
      <w:r>
        <w:rPr>
          <w:rFonts w:ascii="Arial" w:cs="Arial" w:eastAsia="Arial" w:hAnsi="Arial"/>
          <w:sz w:val="12"/>
          <w:szCs w:val="12"/>
          <w:color w:val="auto"/>
        </w:rPr>
        <w:t>Par amount is denominated in Canadian Dollars.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 SEPTEMBER 30, 2015</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jc w:val="center"/>
              <w:ind w:right="102"/>
              <w:spacing w:after="0"/>
              <w:rPr>
                <w:sz w:val="20"/>
                <w:szCs w:val="20"/>
                <w:color w:val="auto"/>
              </w:rPr>
            </w:pPr>
            <w:r>
              <w:rPr>
                <w:rFonts w:ascii="Arial" w:cs="Arial" w:eastAsia="Arial" w:hAnsi="Arial"/>
                <w:sz w:val="12"/>
                <w:szCs w:val="12"/>
                <w:b w:val="1"/>
                <w:bCs w:val="1"/>
                <w:color w:val="auto"/>
                <w:w w:val="85"/>
              </w:rPr>
              <w:t>Basis Point</w:t>
            </w: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jc w:val="center"/>
              <w:ind w:right="102"/>
              <w:spacing w:after="0" w:line="135" w:lineRule="exact"/>
              <w:rPr>
                <w:sz w:val="20"/>
                <w:szCs w:val="20"/>
                <w:color w:val="auto"/>
              </w:rPr>
            </w:pPr>
            <w:r>
              <w:rPr>
                <w:rFonts w:ascii="Arial" w:cs="Arial" w:eastAsia="Arial" w:hAnsi="Arial"/>
                <w:sz w:val="12"/>
                <w:szCs w:val="12"/>
                <w:b w:val="1"/>
                <w:bCs w:val="1"/>
                <w:color w:val="auto"/>
                <w:w w:val="88"/>
              </w:rPr>
              <w:t>Spread</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0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Current</w:t>
            </w:r>
          </w:p>
        </w:tc>
        <w:tc>
          <w:tcPr>
            <w:tcW w:w="920" w:type="dxa"/>
            <w:vAlign w:val="bottom"/>
          </w:tcPr>
          <w:p>
            <w:pPr>
              <w:jc w:val="center"/>
              <w:ind w:right="102"/>
              <w:spacing w:after="0" w:line="135" w:lineRule="exact"/>
              <w:rPr>
                <w:sz w:val="20"/>
                <w:szCs w:val="20"/>
                <w:color w:val="auto"/>
              </w:rPr>
            </w:pPr>
            <w:r>
              <w:rPr>
                <w:rFonts w:ascii="Arial" w:cs="Arial" w:eastAsia="Arial" w:hAnsi="Arial"/>
                <w:sz w:val="12"/>
                <w:szCs w:val="12"/>
                <w:b w:val="1"/>
                <w:bCs w:val="1"/>
                <w:color w:val="auto"/>
                <w:w w:val="87"/>
              </w:rPr>
              <w:t>Above</w:t>
            </w:r>
          </w:p>
        </w:tc>
        <w:tc>
          <w:tcPr>
            <w:tcW w:w="700" w:type="dxa"/>
            <w:vAlign w:val="bottom"/>
          </w:tcPr>
          <w:p>
            <w:pPr>
              <w:jc w:val="right"/>
              <w:ind w:right="202"/>
              <w:spacing w:after="0" w:line="135" w:lineRule="exact"/>
              <w:rPr>
                <w:sz w:val="20"/>
                <w:szCs w:val="20"/>
                <w:color w:val="auto"/>
              </w:rPr>
            </w:pPr>
            <w:r>
              <w:rPr>
                <w:rFonts w:ascii="Arial" w:cs="Arial" w:eastAsia="Arial" w:hAnsi="Arial"/>
                <w:sz w:val="12"/>
                <w:szCs w:val="12"/>
                <w:b w:val="1"/>
                <w:bCs w:val="1"/>
                <w:color w:val="auto"/>
              </w:rPr>
              <w:t>Par /</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600" w:type="dxa"/>
            <w:vAlign w:val="bottom"/>
            <w:vMerge w:val="continue"/>
          </w:tcPr>
          <w:p>
            <w:pPr>
              <w:spacing w:after="0"/>
              <w:rPr>
                <w:sz w:val="12"/>
                <w:szCs w:val="12"/>
                <w:color w:val="auto"/>
              </w:rPr>
            </w:pPr>
          </w:p>
        </w:tc>
        <w:tc>
          <w:tcPr>
            <w:tcW w:w="1000" w:type="dxa"/>
            <w:vAlign w:val="bottom"/>
          </w:tcPr>
          <w:p>
            <w:pPr>
              <w:ind w:left="460"/>
              <w:spacing w:after="0"/>
              <w:rPr>
                <w:sz w:val="20"/>
                <w:szCs w:val="20"/>
                <w:color w:val="auto"/>
              </w:rPr>
            </w:pPr>
            <w:r>
              <w:rPr>
                <w:rFonts w:ascii="Arial" w:cs="Arial" w:eastAsia="Arial" w:hAnsi="Arial"/>
                <w:sz w:val="12"/>
                <w:szCs w:val="12"/>
                <w:b w:val="1"/>
                <w:bCs w:val="1"/>
                <w:color w:val="auto"/>
              </w:rPr>
              <w:t>Maturity</w:t>
            </w:r>
          </w:p>
        </w:tc>
        <w:tc>
          <w:tcPr>
            <w:tcW w:w="168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Coupon</w:t>
            </w:r>
          </w:p>
        </w:tc>
        <w:tc>
          <w:tcPr>
            <w:tcW w:w="920" w:type="dxa"/>
            <w:vAlign w:val="bottom"/>
          </w:tcPr>
          <w:p>
            <w:pPr>
              <w:jc w:val="center"/>
              <w:ind w:right="102"/>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700" w:type="dxa"/>
            <w:vAlign w:val="bottom"/>
          </w:tcPr>
          <w:p>
            <w:pPr>
              <w:jc w:val="right"/>
              <w:ind w:right="142"/>
              <w:spacing w:after="0"/>
              <w:rPr>
                <w:sz w:val="20"/>
                <w:szCs w:val="20"/>
                <w:color w:val="auto"/>
              </w:rPr>
            </w:pPr>
            <w:r>
              <w:rPr>
                <w:rFonts w:ascii="Arial" w:cs="Arial" w:eastAsia="Arial" w:hAnsi="Arial"/>
                <w:sz w:val="12"/>
                <w:szCs w:val="12"/>
                <w:b w:val="1"/>
                <w:bCs w:val="1"/>
                <w:color w:val="auto"/>
              </w:rPr>
              <w:t>Shares</w:t>
            </w:r>
          </w:p>
        </w:tc>
        <w:tc>
          <w:tcPr>
            <w:tcW w:w="840" w:type="dxa"/>
            <w:vAlign w:val="bottom"/>
          </w:tcPr>
          <w:p>
            <w:pPr>
              <w:jc w:val="right"/>
              <w:ind w:right="242"/>
              <w:spacing w:after="0"/>
              <w:rPr>
                <w:sz w:val="20"/>
                <w:szCs w:val="20"/>
                <w:color w:val="auto"/>
              </w:rPr>
            </w:pPr>
            <w:r>
              <w:rPr>
                <w:rFonts w:ascii="Arial" w:cs="Arial" w:eastAsia="Arial" w:hAnsi="Arial"/>
                <w:sz w:val="12"/>
                <w:szCs w:val="12"/>
                <w:b w:val="1"/>
                <w:bCs w:val="1"/>
                <w:color w:val="auto"/>
              </w:rPr>
              <w:t>Cost</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20"/>
        </w:trPr>
        <w:tc>
          <w:tcPr>
            <w:tcW w:w="460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2"/>
                <w:szCs w:val="12"/>
                <w:b w:val="1"/>
                <w:bCs w:val="1"/>
                <w:color w:val="auto"/>
                <w:w w:val="98"/>
              </w:rPr>
              <w:t xml:space="preserve">Investments in Non-Controlled, Non-Affiliated Portfolio Companies—104.2% </w:t>
            </w:r>
            <w:r>
              <w:rPr>
                <w:rFonts w:ascii="Arial" w:cs="Arial" w:eastAsia="Arial" w:hAnsi="Arial"/>
                <w:sz w:val="9"/>
                <w:szCs w:val="9"/>
                <w:b w:val="1"/>
                <w:bCs w:val="1"/>
                <w:color w:val="auto"/>
                <w:w w:val="98"/>
              </w:rPr>
              <w:t>(3), (4)</w:t>
            </w:r>
          </w:p>
        </w:tc>
        <w:tc>
          <w:tcPr>
            <w:tcW w:w="1000" w:type="dxa"/>
            <w:vAlign w:val="bottom"/>
            <w:tcBorders>
              <w:top w:val="single" w:sz="8" w:color="auto"/>
            </w:tcBorders>
            <w:shd w:val="clear" w:color="auto" w:fill="CCEEFF"/>
          </w:tcPr>
          <w:p>
            <w:pPr>
              <w:spacing w:after="0"/>
              <w:rPr>
                <w:sz w:val="10"/>
                <w:szCs w:val="10"/>
                <w:color w:val="auto"/>
              </w:rPr>
            </w:pPr>
          </w:p>
        </w:tc>
        <w:tc>
          <w:tcPr>
            <w:tcW w:w="16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First Lien Secured Debt—89.1%</w:t>
            </w:r>
          </w:p>
        </w:tc>
        <w:tc>
          <w:tcPr>
            <w:tcW w:w="10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AKA Diversified Holdings,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04/02/2018</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11.97%</w:t>
            </w:r>
          </w:p>
        </w:tc>
        <w:tc>
          <w:tcPr>
            <w:tcW w:w="9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L+1,175</w:t>
            </w:r>
            <w:r>
              <w:rPr>
                <w:rFonts w:ascii="Arial" w:cs="Arial" w:eastAsia="Arial" w:hAnsi="Arial"/>
                <w:sz w:val="9"/>
                <w:szCs w:val="9"/>
                <w:color w:val="auto"/>
              </w:rPr>
              <w:t>(9)</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9"/>
              </w:rPr>
              <w:t>10,734,388</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  10,555,953</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  10,895,404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AKA Diversified Holdings, Inc. (Revolver) </w:t>
            </w:r>
            <w:r>
              <w:rPr>
                <w:rFonts w:ascii="Arial" w:cs="Arial" w:eastAsia="Arial" w:hAnsi="Arial"/>
                <w:sz w:val="9"/>
                <w:szCs w:val="9"/>
                <w:color w:val="auto"/>
              </w:rPr>
              <w:t>(10)</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04/02/2018</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78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1,165,725</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17,486</w:t>
            </w: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ALG USA Holdings, LLC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02/28/2019</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Hotel, Gaming and Leisure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7.00%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7,136,577</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7,101,328</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7,118,736</w:t>
            </w: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(6), (11)</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04/04/2022</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6.00%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3,900,038</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3,881,182</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3,880,538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Ancile Solutions,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07/16/2018</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6.25%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2,990,287</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2,971,513</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2,975,336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AP Gaming I, LLC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12/21/2020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Hotel, Gaming and Leisure</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9.25%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L+825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6,602,074</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6,517,717</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6,492,018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ARC Automotive Group,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10/12/2020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93"/>
              </w:rPr>
              <w:t>Automotive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3,970,000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3,935,708</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3,930,300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Azure Midstream Energy LLC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11/15/2018</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Energy: Oil and Gas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7.50%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L+650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5,310,750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5,189,661</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4,514,138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Blue Bird Body Company</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06/29/2020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93"/>
              </w:rPr>
              <w:t>Automotive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6.50%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4,280,585</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4,227,278</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4,264,533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Bowlmor AMF Corp.</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09/17/2021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7.25%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L+625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99"/>
              </w:rPr>
              <w:t>12,902,393</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12,820,758</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12,805,625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Camin Cargo Control,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06/30/2021</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Transportation: Cargo</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5.75%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2,493,750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2,469,351</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2,468,812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CareCentrix,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07/08/2021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6.00%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5,000,000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4,878,103</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4,870,850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 xml:space="preserve">CBAC Borrower, LLC </w:t>
            </w:r>
            <w:r>
              <w:rPr>
                <w:rFonts w:ascii="Arial" w:cs="Arial" w:eastAsia="Arial" w:hAnsi="Arial"/>
                <w:sz w:val="9"/>
                <w:szCs w:val="9"/>
                <w:color w:val="auto"/>
              </w:rPr>
              <w:t>(8)</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07/02/2020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Hotel, Gaming and Leisure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8.25%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L+700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5,000,000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4,961,991</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4,700,000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Charming Charlie LLC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12/24/2019</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9.00%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L+800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4,432,500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4,381,480</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4,210,875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00" w:type="dxa"/>
            <w:vAlign w:val="bottom"/>
          </w:tcPr>
          <w:p>
            <w:pPr>
              <w:spacing w:after="0" w:line="129" w:lineRule="exact"/>
              <w:rPr>
                <w:sz w:val="20"/>
                <w:szCs w:val="20"/>
                <w:color w:val="auto"/>
              </w:rPr>
            </w:pPr>
            <w:r>
              <w:rPr>
                <w:rFonts w:ascii="Arial" w:cs="Arial" w:eastAsia="Arial" w:hAnsi="Arial"/>
                <w:sz w:val="12"/>
                <w:szCs w:val="12"/>
                <w:color w:val="auto"/>
              </w:rPr>
              <w:t>Chicken Soup for the Soul Publishing, LLC</w:t>
            </w:r>
          </w:p>
        </w:tc>
        <w:tc>
          <w:tcPr>
            <w:tcW w:w="1000" w:type="dxa"/>
            <w:vAlign w:val="bottom"/>
          </w:tcPr>
          <w:p>
            <w:pPr>
              <w:ind w:left="420"/>
              <w:spacing w:after="0" w:line="129" w:lineRule="exact"/>
              <w:rPr>
                <w:sz w:val="20"/>
                <w:szCs w:val="20"/>
                <w:color w:val="auto"/>
              </w:rPr>
            </w:pPr>
            <w:r>
              <w:rPr>
                <w:rFonts w:ascii="Arial" w:cs="Arial" w:eastAsia="Arial" w:hAnsi="Arial"/>
                <w:sz w:val="12"/>
                <w:szCs w:val="12"/>
                <w:color w:val="auto"/>
                <w:w w:val="93"/>
              </w:rPr>
              <w:t>01/08/2019</w:t>
            </w:r>
          </w:p>
        </w:tc>
        <w:tc>
          <w:tcPr>
            <w:tcW w:w="1680" w:type="dxa"/>
            <w:vAlign w:val="bottom"/>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780" w:type="dxa"/>
            <w:vAlign w:val="bottom"/>
          </w:tcPr>
          <w:p>
            <w:pPr>
              <w:jc w:val="right"/>
              <w:ind w:right="82"/>
              <w:spacing w:after="0" w:line="129" w:lineRule="exact"/>
              <w:rPr>
                <w:sz w:val="20"/>
                <w:szCs w:val="20"/>
                <w:color w:val="auto"/>
              </w:rPr>
            </w:pPr>
            <w:r>
              <w:rPr>
                <w:rFonts w:ascii="Arial" w:cs="Arial" w:eastAsia="Arial" w:hAnsi="Arial"/>
                <w:sz w:val="12"/>
                <w:szCs w:val="12"/>
                <w:color w:val="auto"/>
              </w:rPr>
              <w:t>7.25%</w:t>
            </w:r>
          </w:p>
        </w:tc>
        <w:tc>
          <w:tcPr>
            <w:tcW w:w="92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L+600</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4,925,000</w:t>
            </w:r>
          </w:p>
        </w:tc>
        <w:tc>
          <w:tcPr>
            <w:tcW w:w="840" w:type="dxa"/>
            <w:vAlign w:val="bottom"/>
          </w:tcPr>
          <w:p>
            <w:pPr>
              <w:jc w:val="right"/>
              <w:ind w:right="22"/>
              <w:spacing w:after="0" w:line="129" w:lineRule="exact"/>
              <w:rPr>
                <w:sz w:val="20"/>
                <w:szCs w:val="20"/>
                <w:color w:val="auto"/>
              </w:rPr>
            </w:pPr>
            <w:r>
              <w:rPr>
                <w:rFonts w:ascii="Arial" w:cs="Arial" w:eastAsia="Arial" w:hAnsi="Arial"/>
                <w:sz w:val="12"/>
                <w:szCs w:val="12"/>
                <w:color w:val="auto"/>
              </w:rPr>
              <w:t>4,887,389</w:t>
            </w: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4,925,000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Arial" w:cs="Arial" w:eastAsia="Arial" w:hAnsi="Arial"/>
                <w:sz w:val="12"/>
                <w:szCs w:val="12"/>
                <w:color w:val="auto"/>
                <w:w w:val="90"/>
              </w:rPr>
              <w:t>Publishing</w:t>
            </w: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CRGT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12/21/2020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7.50%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L+650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99"/>
              </w:rPr>
              <w:t>11,861,946</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11,755,521</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11,743,327</w:t>
            </w: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Curo Health Services Holdings,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02/07/2022</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6.50%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1,990,000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1,971,403</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1,988,348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DCS Business Services,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03/19/2018</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7.25%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2,976,683</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2,952,648</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3,017,613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DISA Global Solutions,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12/09/2020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5.50%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4,975,000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4,931,287</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4,875,500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268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06/30/2020   Chemicals, Plastics and Rubber</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5.75%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4,937,500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4,901,367</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4,937,500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 xml:space="preserve">Driven Performance Brands, Inc. </w:t>
            </w:r>
            <w:r>
              <w:rPr>
                <w:rFonts w:ascii="Arial" w:cs="Arial" w:eastAsia="Arial" w:hAnsi="Arial"/>
                <w:sz w:val="9"/>
                <w:szCs w:val="9"/>
                <w:color w:val="auto"/>
              </w:rPr>
              <w:t>(8)</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09/10/2020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5.75%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9,000,000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8,955,000</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8,955,000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Driven Performance Brands, Inc. (Revolver) </w:t>
            </w:r>
            <w:r>
              <w:rPr>
                <w:rFonts w:ascii="Arial" w:cs="Arial" w:eastAsia="Arial" w:hAnsi="Arial"/>
                <w:sz w:val="9"/>
                <w:szCs w:val="9"/>
                <w:color w:val="auto"/>
              </w:rPr>
              <w:t>(8), (10)</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09/10/2020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8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1,000,000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Emerging Markets Communications, LLC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07/01/2021</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7"/>
              </w:rPr>
              <w:t>Telecommunications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6.75%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4,987,500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4,914,374</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4,862,812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FHC Health Systems,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12/23/2021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5.00%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4,975,000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4,927,105</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4,897,290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GlobalLogic Holdings,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05/31/2019</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6.25%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L+525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3,930,000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3,900,641</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3,910,350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Granite Broadcasting Corporation</w:t>
            </w:r>
          </w:p>
        </w:tc>
        <w:tc>
          <w:tcPr>
            <w:tcW w:w="1000" w:type="dxa"/>
            <w:vAlign w:val="bottom"/>
            <w:shd w:val="clear" w:color="auto" w:fill="CCEEFF"/>
          </w:tcPr>
          <w:p>
            <w:pPr>
              <w:ind w:left="420"/>
              <w:spacing w:after="0" w:line="129" w:lineRule="exact"/>
              <w:rPr>
                <w:sz w:val="20"/>
                <w:szCs w:val="20"/>
                <w:color w:val="auto"/>
              </w:rPr>
            </w:pPr>
            <w:r>
              <w:rPr>
                <w:rFonts w:ascii="Arial" w:cs="Arial" w:eastAsia="Arial" w:hAnsi="Arial"/>
                <w:sz w:val="12"/>
                <w:szCs w:val="12"/>
                <w:color w:val="auto"/>
                <w:w w:val="93"/>
              </w:rPr>
              <w:t>05/23/2018</w:t>
            </w:r>
          </w:p>
        </w:tc>
        <w:tc>
          <w:tcPr>
            <w:tcW w:w="16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Media: Broadcasting and</w:t>
            </w:r>
          </w:p>
        </w:tc>
        <w:tc>
          <w:tcPr>
            <w:tcW w:w="78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6.75%</w:t>
            </w:r>
          </w:p>
        </w:tc>
        <w:tc>
          <w:tcPr>
            <w:tcW w:w="92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L+550</w:t>
            </w:r>
          </w:p>
        </w:tc>
        <w:tc>
          <w:tcPr>
            <w:tcW w:w="70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1,091,582</w:t>
            </w:r>
          </w:p>
        </w:tc>
        <w:tc>
          <w:tcPr>
            <w:tcW w:w="84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1,090,547</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1,088,177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6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Subscription</w:t>
            </w:r>
          </w:p>
        </w:tc>
        <w:tc>
          <w:tcPr>
            <w:tcW w:w="7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Greenway Health, LLC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11/04/2020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6,877,500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6,827,661</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6,739,950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Help/Systems Holdings,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06/28/2019</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5.50%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L+450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4,900,000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4,866,257</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4,851,000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Hollander Sleep Products, LLC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10/21/2020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9.00%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L+800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1,194,000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1,178,322</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1,194,000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Hostway Corporation</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12/13/2019</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6.00%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2,753,737</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2,734,900</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2,726,199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Hunter Defense Technologies,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08/05/2019</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6.50%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6,650,000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6,598,073</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6,641,687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ICC-Nexergy,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04/30/2020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6.50%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L+550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4,987,500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4,941,329</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4,937,625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 xml:space="preserve">Icynene U.S. Acquisition Corp. </w:t>
            </w:r>
            <w:r>
              <w:rPr>
                <w:rFonts w:ascii="Arial" w:cs="Arial" w:eastAsia="Arial" w:hAnsi="Arial"/>
                <w:sz w:val="9"/>
                <w:szCs w:val="9"/>
                <w:color w:val="auto"/>
              </w:rPr>
              <w:t>(6), (11)</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11/04/2020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7.25%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L+625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6,965,000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6,842,099</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6,965,000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(6), (11)</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05/01/2019</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7.25%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L+600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99"/>
              </w:rPr>
              <w:t>10,094,315</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10,001,190</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9,084,884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00" w:type="dxa"/>
            <w:vAlign w:val="bottom"/>
          </w:tcPr>
          <w:p>
            <w:pPr>
              <w:spacing w:after="0" w:line="129" w:lineRule="exact"/>
              <w:rPr>
                <w:sz w:val="20"/>
                <w:szCs w:val="20"/>
                <w:color w:val="auto"/>
              </w:rPr>
            </w:pPr>
            <w:r>
              <w:rPr>
                <w:rFonts w:ascii="Arial" w:cs="Arial" w:eastAsia="Arial" w:hAnsi="Arial"/>
                <w:sz w:val="12"/>
                <w:szCs w:val="12"/>
                <w:color w:val="auto"/>
              </w:rPr>
              <w:t>Instant Web, LLC, Term Loan A</w:t>
            </w:r>
          </w:p>
        </w:tc>
        <w:tc>
          <w:tcPr>
            <w:tcW w:w="1000" w:type="dxa"/>
            <w:vAlign w:val="bottom"/>
          </w:tcPr>
          <w:p>
            <w:pPr>
              <w:ind w:left="420"/>
              <w:spacing w:after="0" w:line="129" w:lineRule="exact"/>
              <w:rPr>
                <w:sz w:val="20"/>
                <w:szCs w:val="20"/>
                <w:color w:val="auto"/>
              </w:rPr>
            </w:pPr>
            <w:r>
              <w:rPr>
                <w:rFonts w:ascii="Arial" w:cs="Arial" w:eastAsia="Arial" w:hAnsi="Arial"/>
                <w:sz w:val="12"/>
                <w:szCs w:val="12"/>
                <w:color w:val="auto"/>
                <w:w w:val="93"/>
              </w:rPr>
              <w:t>03/28/2019</w:t>
            </w:r>
          </w:p>
        </w:tc>
        <w:tc>
          <w:tcPr>
            <w:tcW w:w="1680" w:type="dxa"/>
            <w:vAlign w:val="bottom"/>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780" w:type="dxa"/>
            <w:vAlign w:val="bottom"/>
          </w:tcPr>
          <w:p>
            <w:pPr>
              <w:jc w:val="right"/>
              <w:ind w:right="82"/>
              <w:spacing w:after="0" w:line="129" w:lineRule="exact"/>
              <w:rPr>
                <w:sz w:val="20"/>
                <w:szCs w:val="20"/>
                <w:color w:val="auto"/>
              </w:rPr>
            </w:pPr>
            <w:r>
              <w:rPr>
                <w:rFonts w:ascii="Arial" w:cs="Arial" w:eastAsia="Arial" w:hAnsi="Arial"/>
                <w:sz w:val="12"/>
                <w:szCs w:val="12"/>
                <w:color w:val="auto"/>
              </w:rPr>
              <w:t>5.50%</w:t>
            </w:r>
          </w:p>
        </w:tc>
        <w:tc>
          <w:tcPr>
            <w:tcW w:w="92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L+450</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5,366,227</w:t>
            </w:r>
          </w:p>
        </w:tc>
        <w:tc>
          <w:tcPr>
            <w:tcW w:w="840" w:type="dxa"/>
            <w:vAlign w:val="bottom"/>
          </w:tcPr>
          <w:p>
            <w:pPr>
              <w:jc w:val="right"/>
              <w:ind w:right="22"/>
              <w:spacing w:after="0" w:line="129" w:lineRule="exact"/>
              <w:rPr>
                <w:sz w:val="20"/>
                <w:szCs w:val="20"/>
                <w:color w:val="auto"/>
              </w:rPr>
            </w:pPr>
            <w:r>
              <w:rPr>
                <w:rFonts w:ascii="Arial" w:cs="Arial" w:eastAsia="Arial" w:hAnsi="Arial"/>
                <w:sz w:val="12"/>
                <w:szCs w:val="12"/>
                <w:color w:val="auto"/>
              </w:rPr>
              <w:t>5,306,494</w:t>
            </w: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5,366,227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Arial" w:cs="Arial" w:eastAsia="Arial" w:hAnsi="Arial"/>
                <w:sz w:val="12"/>
                <w:szCs w:val="12"/>
                <w:color w:val="auto"/>
                <w:w w:val="90"/>
              </w:rPr>
              <w:t>Publishing</w:t>
            </w: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6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Instant Web, LLC, Term Loan B</w:t>
            </w:r>
          </w:p>
        </w:tc>
        <w:tc>
          <w:tcPr>
            <w:tcW w:w="1000" w:type="dxa"/>
            <w:vAlign w:val="bottom"/>
            <w:shd w:val="clear" w:color="auto" w:fill="CCEEFF"/>
          </w:tcPr>
          <w:p>
            <w:pPr>
              <w:ind w:left="420"/>
              <w:spacing w:after="0" w:line="129" w:lineRule="exact"/>
              <w:rPr>
                <w:sz w:val="20"/>
                <w:szCs w:val="20"/>
                <w:color w:val="auto"/>
              </w:rPr>
            </w:pPr>
            <w:r>
              <w:rPr>
                <w:rFonts w:ascii="Arial" w:cs="Arial" w:eastAsia="Arial" w:hAnsi="Arial"/>
                <w:sz w:val="12"/>
                <w:szCs w:val="12"/>
                <w:color w:val="auto"/>
                <w:w w:val="93"/>
              </w:rPr>
              <w:t>03/28/2019</w:t>
            </w:r>
          </w:p>
        </w:tc>
        <w:tc>
          <w:tcPr>
            <w:tcW w:w="16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78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12.00%</w:t>
            </w:r>
          </w:p>
        </w:tc>
        <w:tc>
          <w:tcPr>
            <w:tcW w:w="92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L+1,100</w:t>
            </w:r>
          </w:p>
        </w:tc>
        <w:tc>
          <w:tcPr>
            <w:tcW w:w="70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4,500,000</w:t>
            </w:r>
          </w:p>
        </w:tc>
        <w:tc>
          <w:tcPr>
            <w:tcW w:w="84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4,447,058</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4,500,000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6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Publishing</w:t>
            </w:r>
          </w:p>
        </w:tc>
        <w:tc>
          <w:tcPr>
            <w:tcW w:w="7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Interior Specialists,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06/30/2020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9.00%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L+800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6,800,000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6,734,452</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6,800,000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Jackson Hewitt Tax Service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07/30/2020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Consumer Services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8.00%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L+700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5,000,000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4,901,996</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4,900,000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(8)</w:t>
            </w:r>
          </w:p>
        </w:tc>
        <w:tc>
          <w:tcPr>
            <w:tcW w:w="2680" w:type="dxa"/>
            <w:vAlign w:val="bottom"/>
            <w:gridSpan w:val="2"/>
          </w:tcPr>
          <w:p>
            <w:pPr>
              <w:ind w:left="420"/>
              <w:spacing w:after="0" w:line="135" w:lineRule="exact"/>
              <w:rPr>
                <w:sz w:val="20"/>
                <w:szCs w:val="20"/>
                <w:color w:val="auto"/>
              </w:rPr>
            </w:pPr>
            <w:r>
              <w:rPr>
                <w:rFonts w:ascii="Arial" w:cs="Arial" w:eastAsia="Arial" w:hAnsi="Arial"/>
                <w:sz w:val="12"/>
                <w:szCs w:val="12"/>
                <w:color w:val="auto"/>
                <w:w w:val="93"/>
              </w:rPr>
              <w:t>08/19/2019   Chemicals, Plastics and Rubber</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11.00%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L+1,000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5,965,222</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5,874,403</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5,537,227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Kendra Scott, LLC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07/17/2020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7.00%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L+600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3,000,000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2,970,849</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2,977,500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Lanyon Solutions,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11/13/2020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5.50%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1,965,012</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1,958,874</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1,943,731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(8)</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11/30/2018</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6.50%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L+525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5,789,068</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5,735,375</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5,736,619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 xml:space="preserve">Lindblad Expeditions, Inc. </w:t>
            </w:r>
            <w:r>
              <w:rPr>
                <w:rFonts w:ascii="Arial" w:cs="Arial" w:eastAsia="Arial" w:hAnsi="Arial"/>
                <w:sz w:val="9"/>
                <w:szCs w:val="9"/>
                <w:color w:val="auto"/>
              </w:rPr>
              <w:t>(11)</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05/10/2021</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Hotel, Gaming and Leisure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5.50%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2,208,750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2,197,809</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2,197,706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Lindblad Maritime Enterprises, Ltd. </w:t>
            </w:r>
            <w:r>
              <w:rPr>
                <w:rFonts w:ascii="Arial" w:cs="Arial" w:eastAsia="Arial" w:hAnsi="Arial"/>
                <w:sz w:val="9"/>
                <w:szCs w:val="9"/>
                <w:color w:val="auto"/>
              </w:rPr>
              <w:t>(6), (11)</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05/10/2021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Hotel, Gaming and Leisure</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5.50%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L+450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285,000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283,588</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283,575</w:t>
            </w: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LTI Holdings, Inc.</w:t>
            </w:r>
          </w:p>
        </w:tc>
        <w:tc>
          <w:tcPr>
            <w:tcW w:w="2680" w:type="dxa"/>
            <w:vAlign w:val="bottom"/>
            <w:gridSpan w:val="2"/>
          </w:tcPr>
          <w:p>
            <w:pPr>
              <w:ind w:left="420"/>
              <w:spacing w:after="0" w:line="135" w:lineRule="exact"/>
              <w:rPr>
                <w:sz w:val="20"/>
                <w:szCs w:val="20"/>
                <w:color w:val="auto"/>
              </w:rPr>
            </w:pPr>
            <w:r>
              <w:rPr>
                <w:rFonts w:ascii="Arial" w:cs="Arial" w:eastAsia="Arial" w:hAnsi="Arial"/>
                <w:sz w:val="12"/>
                <w:szCs w:val="12"/>
                <w:color w:val="auto"/>
                <w:w w:val="93"/>
              </w:rPr>
              <w:t>04/18/2022   Chemicals, Plastics and Rubber</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5.25%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L+425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1,995,000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1,985,364</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1,973,175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New Trident HoldCorp,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07/31/2019</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6.50%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L+525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8,917,647</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8,854,192</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8,566,559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 xml:space="preserve">Physiotherapy Corporation </w:t>
            </w:r>
            <w:r>
              <w:rPr>
                <w:rFonts w:ascii="Arial" w:cs="Arial" w:eastAsia="Arial" w:hAnsi="Arial"/>
                <w:sz w:val="9"/>
                <w:szCs w:val="9"/>
                <w:color w:val="auto"/>
              </w:rPr>
              <w:t>(8)</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06/04/2021</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5.75%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3,500,000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3,482,889</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3,491,250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PlayPower,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06/23/2021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5.75%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3,990,000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3,951,094</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3,970,050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Polyconcept Finance B.V.</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06/28/2019</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9"/>
              </w:rPr>
              <w:t>11,482,697</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11,430,576</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11,425,283</w:t>
            </w: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Premier Dental Services,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11/01/2018</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Consumer Services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6.00%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8,219,601</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8,131,135</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7,109,955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Profile Products LLC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05/20/2021</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Environmental Industries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7,470,287</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7,398,025</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7,470,287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(8), (10)</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05/20/2020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Environmental Industries</w:t>
            </w:r>
          </w:p>
        </w:tc>
        <w:tc>
          <w:tcPr>
            <w:tcW w:w="78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2,459,016</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Quality Home Brands Holdings LLC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12/17/2018</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7.75%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L+650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4,912,500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4,880,217</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4,914,563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Research Now Group, Inc.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03/18/2021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5.50%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L+450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6,965,000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6,931,604</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6,912,763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Robertshaw US Holding Corp.</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06/18/2019</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9.00%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L+750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3,582,758</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3,557,217</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3,575,247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Ryan, LLC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08/07/2020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6.75%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4,443,750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4,378,244</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4,382,648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Sotera Defense Solutions,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04/21/2017</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9.00%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L+750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6,101,682</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5,946,657</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5,491,514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St. George’s University Scholastic Services LLC </w:t>
            </w:r>
            <w:r>
              <w:rPr>
                <w:rFonts w:ascii="Arial" w:cs="Arial" w:eastAsia="Arial" w:hAnsi="Arial"/>
                <w:sz w:val="9"/>
                <w:szCs w:val="9"/>
                <w:color w:val="auto"/>
              </w:rPr>
              <w:t>(6), (11)</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08/09/2021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Consumer Services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5.75%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714,200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711,056</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714,200</w:t>
            </w: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Surgical Specialties Corporation (US),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08/22/2018</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7.25%</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9"/>
              </w:rPr>
              <w:t>10,037,432</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10,017,760</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9,937,058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Survey Sampling International, LLC</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12/16/2020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6.00%</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6,218,750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6,171,308</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6,164,336</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Systems Maintenance Services Holding, Inc.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10/18/2019</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5.00%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5,895,000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5,875,736</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5,895,000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Tensar Corporation</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07/09/2021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7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5.75%</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4,950,000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4,906,969</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4,588,056</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TOMS Shoes, LLC</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11/02/2020</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6.50%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1,990,000</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1,814,920</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1,845,725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1000" w:type="dxa"/>
            <w:vAlign w:val="bottom"/>
            <w:shd w:val="clear" w:color="auto" w:fill="CCEEFF"/>
          </w:tcPr>
          <w:p>
            <w:pPr>
              <w:ind w:left="420"/>
              <w:spacing w:after="0" w:line="129" w:lineRule="exact"/>
              <w:rPr>
                <w:sz w:val="20"/>
                <w:szCs w:val="20"/>
                <w:color w:val="auto"/>
              </w:rPr>
            </w:pPr>
            <w:r>
              <w:rPr>
                <w:rFonts w:ascii="Arial" w:cs="Arial" w:eastAsia="Arial" w:hAnsi="Arial"/>
                <w:sz w:val="12"/>
                <w:szCs w:val="12"/>
                <w:color w:val="auto"/>
                <w:w w:val="93"/>
              </w:rPr>
              <w:t>01/14/2019</w:t>
            </w:r>
          </w:p>
        </w:tc>
        <w:tc>
          <w:tcPr>
            <w:tcW w:w="16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7"/>
              </w:rPr>
              <w:t>Telecommunications</w:t>
            </w:r>
          </w:p>
        </w:tc>
        <w:tc>
          <w:tcPr>
            <w:tcW w:w="78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9.50%</w:t>
            </w:r>
          </w:p>
        </w:tc>
        <w:tc>
          <w:tcPr>
            <w:tcW w:w="92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L+850</w:t>
            </w:r>
          </w:p>
        </w:tc>
        <w:tc>
          <w:tcPr>
            <w:tcW w:w="70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430,126</w:t>
            </w:r>
          </w:p>
        </w:tc>
        <w:tc>
          <w:tcPr>
            <w:tcW w:w="84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430,126</w:t>
            </w:r>
          </w:p>
        </w:tc>
        <w:tc>
          <w:tcPr>
            <w:tcW w:w="9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430,126</w:t>
            </w:r>
          </w:p>
        </w:tc>
        <w:tc>
          <w:tcPr>
            <w:tcW w:w="0" w:type="dxa"/>
            <w:vAlign w:val="bottom"/>
          </w:tcPr>
          <w:p>
            <w:pPr>
              <w:spacing w:after="0"/>
              <w:rPr>
                <w:sz w:val="1"/>
                <w:szCs w:val="1"/>
                <w:color w:val="auto"/>
              </w:rPr>
            </w:pPr>
          </w:p>
        </w:tc>
      </w:tr>
      <w:tr>
        <w:trPr>
          <w:trHeight w:val="155"/>
        </w:trPr>
        <w:tc>
          <w:tcPr>
            <w:tcW w:w="46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780" w:type="dxa"/>
            <w:vAlign w:val="bottom"/>
            <w:shd w:val="clear" w:color="auto" w:fill="CCEEFF"/>
          </w:tcPr>
          <w:p>
            <w:pPr>
              <w:ind w:left="80"/>
              <w:spacing w:after="0"/>
              <w:rPr>
                <w:sz w:val="20"/>
                <w:szCs w:val="20"/>
                <w:color w:val="auto"/>
              </w:rPr>
            </w:pPr>
            <w:r>
              <w:rPr>
                <w:rFonts w:ascii="Arial" w:cs="Arial" w:eastAsia="Arial" w:hAnsi="Arial"/>
                <w:sz w:val="12"/>
                <w:szCs w:val="12"/>
                <w:color w:val="auto"/>
              </w:rPr>
              <w:t>(PIK 1.00%)</w:t>
            </w:r>
          </w:p>
        </w:tc>
        <w:tc>
          <w:tcPr>
            <w:tcW w:w="9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1000" w:type="dxa"/>
            <w:vAlign w:val="bottom"/>
          </w:tcPr>
          <w:p>
            <w:pPr>
              <w:ind w:left="420"/>
              <w:spacing w:after="0" w:line="135" w:lineRule="exact"/>
              <w:rPr>
                <w:sz w:val="20"/>
                <w:szCs w:val="20"/>
                <w:color w:val="auto"/>
              </w:rPr>
            </w:pPr>
            <w:r>
              <w:rPr>
                <w:rFonts w:ascii="Arial" w:cs="Arial" w:eastAsia="Arial" w:hAnsi="Arial"/>
                <w:sz w:val="12"/>
                <w:szCs w:val="12"/>
                <w:color w:val="auto"/>
                <w:w w:val="93"/>
              </w:rPr>
              <w:t>01/14/2019</w:t>
            </w:r>
          </w:p>
        </w:tc>
        <w:tc>
          <w:tcPr>
            <w:tcW w:w="1680" w:type="dxa"/>
            <w:vAlign w:val="bottom"/>
          </w:tcPr>
          <w:p>
            <w:pPr>
              <w:jc w:val="center"/>
              <w:spacing w:after="0" w:line="135" w:lineRule="exact"/>
              <w:rPr>
                <w:sz w:val="20"/>
                <w:szCs w:val="20"/>
                <w:color w:val="auto"/>
              </w:rPr>
            </w:pPr>
            <w:r>
              <w:rPr>
                <w:rFonts w:ascii="Arial" w:cs="Arial" w:eastAsia="Arial" w:hAnsi="Arial"/>
                <w:sz w:val="12"/>
                <w:szCs w:val="12"/>
                <w:color w:val="auto"/>
                <w:w w:val="87"/>
              </w:rPr>
              <w:t>Telecommunications</w:t>
            </w:r>
          </w:p>
        </w:tc>
        <w:tc>
          <w:tcPr>
            <w:tcW w:w="7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8.50%</w:t>
            </w:r>
          </w:p>
        </w:tc>
        <w:tc>
          <w:tcPr>
            <w:tcW w:w="92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L+750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599,702</w:t>
            </w: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548,736</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569,717</w:t>
            </w: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 (10)</w:t>
            </w:r>
          </w:p>
        </w:tc>
        <w:tc>
          <w:tcPr>
            <w:tcW w:w="1000" w:type="dxa"/>
            <w:vAlign w:val="bottom"/>
            <w:shd w:val="clear" w:color="auto" w:fill="CCEEFF"/>
          </w:tcPr>
          <w:p>
            <w:pPr>
              <w:ind w:left="420"/>
              <w:spacing w:after="0" w:line="135" w:lineRule="exact"/>
              <w:rPr>
                <w:sz w:val="20"/>
                <w:szCs w:val="20"/>
                <w:color w:val="auto"/>
              </w:rPr>
            </w:pPr>
            <w:r>
              <w:rPr>
                <w:rFonts w:ascii="Arial" w:cs="Arial" w:eastAsia="Arial" w:hAnsi="Arial"/>
                <w:sz w:val="12"/>
                <w:szCs w:val="12"/>
                <w:color w:val="auto"/>
                <w:w w:val="93"/>
              </w:rPr>
              <w:t>01/14/2019</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Telecommunications</w:t>
            </w:r>
          </w:p>
        </w:tc>
        <w:tc>
          <w:tcPr>
            <w:tcW w:w="780" w:type="dxa"/>
            <w:vAlign w:val="bottom"/>
            <w:shd w:val="clear" w:color="auto" w:fill="CCEEFF"/>
          </w:tcPr>
          <w:p>
            <w:pPr>
              <w:jc w:val="right"/>
              <w:ind w:right="182"/>
              <w:spacing w:after="0" w:line="135"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151,090</w:t>
            </w:r>
          </w:p>
        </w:tc>
        <w:tc>
          <w:tcPr>
            <w:tcW w:w="8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2015</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Basis Point</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8"/>
              </w:rPr>
              <w:t>Spread</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Issuer Name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302"/>
              <w:spacing w:after="0" w:line="135" w:lineRule="exact"/>
              <w:rPr>
                <w:sz w:val="20"/>
                <w:szCs w:val="20"/>
                <w:color w:val="auto"/>
              </w:rPr>
            </w:pPr>
            <w:r>
              <w:rPr>
                <w:rFonts w:ascii="Arial" w:cs="Arial" w:eastAsia="Arial" w:hAnsi="Arial"/>
                <w:sz w:val="12"/>
                <w:szCs w:val="12"/>
                <w:b w:val="1"/>
                <w:bCs w:val="1"/>
                <w:color w:val="auto"/>
              </w:rPr>
              <w:t>Current</w:t>
            </w: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Above</w:t>
            </w: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92"/>
              </w:rPr>
              <w:t>Par /</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700" w:type="dxa"/>
            <w:vAlign w:val="bottom"/>
            <w:gridSpan w:val="3"/>
            <w:vMerge w:val="continue"/>
          </w:tcPr>
          <w:p>
            <w:pPr>
              <w:spacing w:after="0"/>
              <w:rPr>
                <w:sz w:val="12"/>
                <w:szCs w:val="12"/>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Maturity</w:t>
            </w:r>
          </w:p>
        </w:tc>
        <w:tc>
          <w:tcPr>
            <w:tcW w:w="19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Industry</w:t>
            </w:r>
          </w:p>
        </w:tc>
        <w:tc>
          <w:tcPr>
            <w:tcW w:w="860" w:type="dxa"/>
            <w:vAlign w:val="bottom"/>
            <w:gridSpan w:val="2"/>
          </w:tcPr>
          <w:p>
            <w:pPr>
              <w:jc w:val="right"/>
              <w:ind w:right="302"/>
              <w:spacing w:after="0"/>
              <w:rPr>
                <w:sz w:val="20"/>
                <w:szCs w:val="20"/>
                <w:color w:val="auto"/>
              </w:rPr>
            </w:pPr>
            <w:r>
              <w:rPr>
                <w:rFonts w:ascii="Arial" w:cs="Arial" w:eastAsia="Arial" w:hAnsi="Arial"/>
                <w:sz w:val="12"/>
                <w:szCs w:val="12"/>
                <w:b w:val="1"/>
                <w:bCs w:val="1"/>
                <w:color w:val="auto"/>
              </w:rPr>
              <w:t>Coupon</w:t>
            </w:r>
          </w:p>
        </w:tc>
        <w:tc>
          <w:tcPr>
            <w:tcW w:w="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7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Cost</w:t>
            </w:r>
          </w:p>
        </w:tc>
        <w:tc>
          <w:tcPr>
            <w:tcW w:w="80" w:type="dxa"/>
            <w:vAlign w:val="bottom"/>
          </w:tcPr>
          <w:p>
            <w:pPr>
              <w:spacing w:after="0"/>
              <w:rPr>
                <w:sz w:val="12"/>
                <w:szCs w:val="12"/>
                <w:color w:val="auto"/>
              </w:rPr>
            </w:pP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U.S. Farathane, LLC</w:t>
            </w: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02/07/2022</w:t>
            </w:r>
          </w:p>
        </w:tc>
        <w:tc>
          <w:tcPr>
            <w:tcW w:w="100" w:type="dxa"/>
            <w:vAlign w:val="bottom"/>
            <w:tcBorders>
              <w:top w:val="single" w:sz="8" w:color="CCEEFF"/>
            </w:tcBorders>
            <w:shd w:val="clear" w:color="auto" w:fill="CCEEFF"/>
          </w:tcPr>
          <w:p>
            <w:pPr>
              <w:spacing w:after="0"/>
              <w:rPr>
                <w:sz w:val="11"/>
                <w:szCs w:val="11"/>
                <w:color w:val="auto"/>
              </w:rPr>
            </w:pPr>
          </w:p>
        </w:tc>
        <w:tc>
          <w:tcPr>
            <w:tcW w:w="18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93"/>
              </w:rPr>
              <w:t>Automotive</w:t>
            </w: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6.75</w:t>
            </w:r>
          </w:p>
        </w:tc>
        <w:tc>
          <w:tcPr>
            <w:tcW w:w="280" w:type="dxa"/>
            <w:vAlign w:val="bottom"/>
            <w:tcBorders>
              <w:top w:val="single" w:sz="8" w:color="CCEEFF"/>
            </w:tcBorders>
            <w:shd w:val="clear" w:color="auto" w:fill="CCEEFF"/>
          </w:tcPr>
          <w:p>
            <w:pPr>
              <w:jc w:val="right"/>
              <w:ind w:right="122"/>
              <w:spacing w:after="0" w:line="128" w:lineRule="exact"/>
              <w:rPr>
                <w:sz w:val="20"/>
                <w:szCs w:val="20"/>
                <w:color w:val="auto"/>
              </w:rPr>
            </w:pPr>
            <w:r>
              <w:rPr>
                <w:rFonts w:ascii="Arial" w:cs="Arial" w:eastAsia="Arial" w:hAnsi="Arial"/>
                <w:sz w:val="12"/>
                <w:szCs w:val="12"/>
                <w:color w:val="auto"/>
                <w:w w:val="74"/>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L+575</w:t>
            </w:r>
          </w:p>
        </w:tc>
        <w:tc>
          <w:tcPr>
            <w:tcW w:w="2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3,800,641</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3,729,952</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3,807,672</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(8)</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08/13/2021</w:t>
            </w:r>
          </w:p>
        </w:tc>
        <w:tc>
          <w:tcPr>
            <w:tcW w:w="100" w:type="dxa"/>
            <w:vAlign w:val="bottom"/>
          </w:tcPr>
          <w:p>
            <w:pPr>
              <w:spacing w:after="0"/>
              <w:rPr>
                <w:sz w:val="11"/>
                <w:szCs w:val="11"/>
                <w:color w:val="auto"/>
              </w:rPr>
            </w:pPr>
          </w:p>
        </w:tc>
        <w:tc>
          <w:tcPr>
            <w:tcW w:w="190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6"/>
              </w:rPr>
              <w:t>Healthcare and Pharmaceuticals</w:t>
            </w:r>
          </w:p>
        </w:tc>
        <w:tc>
          <w:tcPr>
            <w:tcW w:w="86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10.00%</w:t>
            </w: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L+900</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3,121,094</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3,121,094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3,121,094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Vistage Worldwide, Inc. </w:t>
            </w:r>
            <w:r>
              <w:rPr>
                <w:rFonts w:ascii="Arial" w:cs="Arial" w:eastAsia="Arial" w:hAnsi="Arial"/>
                <w:sz w:val="9"/>
                <w:szCs w:val="9"/>
                <w:color w:val="auto"/>
              </w:rPr>
              <w:t>(8)</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08/19/2021</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Media: Broadcasting and Subscription</w:t>
            </w:r>
          </w:p>
        </w:tc>
        <w:tc>
          <w:tcPr>
            <w:tcW w:w="8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6.50%</w:t>
            </w: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L+550</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5,000,000</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4,950,477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4,975,000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Wilton Brands,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08/30/2018</w:t>
            </w: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7"/>
              </w:rPr>
              <w:t>Consumer Goods: Non-Durable</w:t>
            </w:r>
          </w:p>
        </w:tc>
        <w:tc>
          <w:tcPr>
            <w:tcW w:w="86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8.50%</w:t>
            </w: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L+725</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2,703,000</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2,674,736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2,630,370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Worley Claims Services, LLC</w:t>
            </w:r>
          </w:p>
        </w:tc>
        <w:tc>
          <w:tcPr>
            <w:tcW w:w="7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10/30/2020</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80"/>
              <w:spacing w:after="0" w:line="129" w:lineRule="exact"/>
              <w:rPr>
                <w:sz w:val="20"/>
                <w:szCs w:val="20"/>
                <w:color w:val="auto"/>
              </w:rPr>
            </w:pPr>
            <w:r>
              <w:rPr>
                <w:rFonts w:ascii="Arial" w:cs="Arial" w:eastAsia="Arial" w:hAnsi="Arial"/>
                <w:sz w:val="12"/>
                <w:szCs w:val="12"/>
                <w:color w:val="auto"/>
                <w:w w:val="87"/>
              </w:rPr>
              <w:t>Banking, Finance, Insurance and Real</w:t>
            </w:r>
          </w:p>
        </w:tc>
        <w:tc>
          <w:tcPr>
            <w:tcW w:w="860" w:type="dxa"/>
            <w:vAlign w:val="bottom"/>
            <w:gridSpan w:val="2"/>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9.00%</w:t>
            </w:r>
          </w:p>
        </w:tc>
        <w:tc>
          <w:tcPr>
            <w:tcW w:w="82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2"/>
                <w:szCs w:val="12"/>
                <w:color w:val="auto"/>
              </w:rPr>
              <w:t>L+800</w:t>
            </w:r>
          </w:p>
        </w:tc>
        <w:tc>
          <w:tcPr>
            <w:tcW w:w="74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6,490,688</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6,429,955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6,490,688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2"/>
              </w:rPr>
              <w:t>Estate</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rPr>
                <w:sz w:val="20"/>
                <w:szCs w:val="20"/>
                <w:color w:val="auto"/>
              </w:rPr>
            </w:pPr>
            <w:r>
              <w:rPr>
                <w:rFonts w:ascii="Arial" w:cs="Arial" w:eastAsia="Arial" w:hAnsi="Arial"/>
                <w:sz w:val="12"/>
                <w:szCs w:val="12"/>
                <w:b w:val="1"/>
                <w:bCs w:val="1"/>
                <w:color w:val="auto"/>
              </w:rPr>
              <w:t>Total First Lien Secured Debt</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w w:val="83"/>
              </w:rPr>
              <w:t>335,790,073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w w:val="86"/>
              </w:rPr>
              <w:t>332,180,834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Second Lien Secured Debt—12.8%</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Affinion Group, Inc. </w:t>
            </w:r>
            <w:r>
              <w:rPr>
                <w:rFonts w:ascii="Arial" w:cs="Arial" w:eastAsia="Arial" w:hAnsi="Arial"/>
                <w:sz w:val="9"/>
                <w:szCs w:val="9"/>
                <w:color w:val="auto"/>
              </w:rPr>
              <w:t>(8)</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10/31/2018</w:t>
            </w: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Consumer Goods: Durable</w:t>
            </w:r>
          </w:p>
        </w:tc>
        <w:tc>
          <w:tcPr>
            <w:tcW w:w="86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8.50%</w:t>
            </w: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L+700</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1,000,000</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919,155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893,130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 (8)</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09/01/2017</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0"/>
              </w:rPr>
              <w:t>Metals and Mining</w:t>
            </w:r>
          </w:p>
        </w:tc>
        <w:tc>
          <w:tcPr>
            <w:tcW w:w="8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11.50%</w:t>
            </w: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1,000,000</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1,000,000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950,000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12/31/2020</w:t>
            </w: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7"/>
              </w:rPr>
              <w:t>Chemicals, Plastics and Rubber</w:t>
            </w:r>
          </w:p>
        </w:tc>
        <w:tc>
          <w:tcPr>
            <w:tcW w:w="86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11.00%</w:t>
            </w: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L+1,050</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2,000,000</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1,965,770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Howard Berger Co.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09/30/2020</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5"/>
              </w:rPr>
              <w:t>Wholesale</w:t>
            </w:r>
          </w:p>
        </w:tc>
        <w:tc>
          <w:tcPr>
            <w:tcW w:w="8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11.00%</w:t>
            </w: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L+1,000</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w w:val="93"/>
              </w:rPr>
              <w:t>11,000,000</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93"/>
              </w:rPr>
              <w:t>10,423,463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6"/>
              </w:rPr>
              <w:t>10,670,000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J.A. Cosmetics Holdings, Inc. </w:t>
            </w:r>
            <w:r>
              <w:rPr>
                <w:rFonts w:ascii="Arial" w:cs="Arial" w:eastAsia="Arial" w:hAnsi="Arial"/>
                <w:sz w:val="9"/>
                <w:szCs w:val="9"/>
                <w:color w:val="auto"/>
              </w:rPr>
              <w:t>(8)</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07/31/2019</w:t>
            </w: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Consumer Goods: Durable</w:t>
            </w:r>
          </w:p>
        </w:tc>
        <w:tc>
          <w:tcPr>
            <w:tcW w:w="86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11.00%</w:t>
            </w: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L+1,000</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4,000,000</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3,938,373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4,040,000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Language Line,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07/07/2022</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85"/>
              </w:rPr>
              <w:t>Consumer Services</w:t>
            </w:r>
          </w:p>
        </w:tc>
        <w:tc>
          <w:tcPr>
            <w:tcW w:w="8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10.75%</w:t>
            </w: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L+975</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w w:val="93"/>
              </w:rPr>
              <w:t>10,750,000</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93"/>
              </w:rPr>
              <w:t>10,589,814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6"/>
              </w:rPr>
              <w:t>10,723,125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Novitex Acquisition,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07/07/2021</w:t>
            </w: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5"/>
              </w:rPr>
              <w:t>Business Services</w:t>
            </w:r>
          </w:p>
        </w:tc>
        <w:tc>
          <w:tcPr>
            <w:tcW w:w="86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11.75%</w:t>
            </w: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L+1,050</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w w:val="93"/>
              </w:rPr>
              <w:t>11,000,000</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w w:val="93"/>
              </w:rPr>
              <w:t>10,902,202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6"/>
              </w:rPr>
              <w:t>10,780,000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Penton Media, Inc. </w:t>
            </w:r>
            <w:r>
              <w:rPr>
                <w:rFonts w:ascii="Arial" w:cs="Arial" w:eastAsia="Arial" w:hAnsi="Arial"/>
                <w:sz w:val="9"/>
                <w:szCs w:val="9"/>
                <w:color w:val="auto"/>
              </w:rPr>
              <w:t>(8)</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10/02/2020</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1"/>
              </w:rPr>
              <w:t>Media: Diversified and Production</w:t>
            </w:r>
          </w:p>
        </w:tc>
        <w:tc>
          <w:tcPr>
            <w:tcW w:w="8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9.00%</w:t>
            </w: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L+775</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5,252,824</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5,194,116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5,230,920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Sunshine Oilsands Ltd. </w:t>
            </w:r>
            <w:r>
              <w:rPr>
                <w:rFonts w:ascii="Arial" w:cs="Arial" w:eastAsia="Arial" w:hAnsi="Arial"/>
                <w:sz w:val="9"/>
                <w:szCs w:val="9"/>
                <w:color w:val="auto"/>
              </w:rPr>
              <w:t>(5), (6), (8), (11)</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08/01/2017</w:t>
            </w: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8"/>
              </w:rPr>
              <w:t>Energy: Oil and Gas</w:t>
            </w:r>
          </w:p>
        </w:tc>
        <w:tc>
          <w:tcPr>
            <w:tcW w:w="86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10.00%</w:t>
            </w:r>
          </w:p>
        </w:tc>
        <w:tc>
          <w:tcPr>
            <w:tcW w:w="8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2,812,500</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2,697,607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2,615,625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Second Lien Secured Debt</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93"/>
              </w:rPr>
              <w:t>47,630,500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6"/>
              </w:rPr>
              <w:t>47,902,800</w:t>
            </w:r>
          </w:p>
        </w:tc>
        <w:tc>
          <w:tcPr>
            <w:tcW w:w="0" w:type="dxa"/>
            <w:vAlign w:val="bottom"/>
          </w:tcPr>
          <w:p>
            <w:pPr>
              <w:spacing w:after="0"/>
              <w:rPr>
                <w:sz w:val="1"/>
                <w:szCs w:val="1"/>
                <w:color w:val="auto"/>
              </w:rPr>
            </w:pPr>
          </w:p>
        </w:tc>
      </w:tr>
      <w:tr>
        <w:trPr>
          <w:trHeight w:val="142"/>
        </w:trPr>
        <w:tc>
          <w:tcPr>
            <w:tcW w:w="470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Subordinated Debt/Corporate Notes—1.5% </w:t>
            </w:r>
            <w:r>
              <w:rPr>
                <w:rFonts w:ascii="Arial" w:cs="Arial" w:eastAsia="Arial" w:hAnsi="Arial"/>
                <w:sz w:val="9"/>
                <w:szCs w:val="9"/>
                <w:b w:val="1"/>
                <w:bCs w:val="1"/>
                <w:color w:val="auto"/>
              </w:rPr>
              <w:t>(8)</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Affinion Group Holdings,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09/14/2018</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Consumer Goods: Durable</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(7)</w:t>
            </w: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4,786,483</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4,361,551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1,818,864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Affinion Investments LLC</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08/15/2018</w:t>
            </w: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Consumer Goods: Durable</w:t>
            </w:r>
          </w:p>
        </w:tc>
        <w:tc>
          <w:tcPr>
            <w:tcW w:w="86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(7)</w:t>
            </w:r>
          </w:p>
        </w:tc>
        <w:tc>
          <w:tcPr>
            <w:tcW w:w="8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2,484,000</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2,146,500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1,664,280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Credit Infonet, Inc.</w:t>
            </w:r>
          </w:p>
        </w:tc>
        <w:tc>
          <w:tcPr>
            <w:tcW w:w="7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10/26/2018</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80"/>
              <w:spacing w:after="0" w:line="129" w:lineRule="exact"/>
              <w:rPr>
                <w:sz w:val="20"/>
                <w:szCs w:val="20"/>
                <w:color w:val="auto"/>
              </w:rPr>
            </w:pPr>
            <w:r>
              <w:rPr>
                <w:rFonts w:ascii="Arial" w:cs="Arial" w:eastAsia="Arial" w:hAnsi="Arial"/>
                <w:sz w:val="12"/>
                <w:szCs w:val="12"/>
                <w:color w:val="auto"/>
                <w:w w:val="89"/>
              </w:rPr>
              <w:t>High Tech Industries</w:t>
            </w:r>
          </w:p>
        </w:tc>
        <w:tc>
          <w:tcPr>
            <w:tcW w:w="860" w:type="dxa"/>
            <w:vAlign w:val="bottom"/>
            <w:gridSpan w:val="2"/>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13.00%</w:t>
            </w:r>
          </w:p>
        </w:tc>
        <w:tc>
          <w:tcPr>
            <w:tcW w:w="820" w:type="dxa"/>
            <w:vAlign w:val="bottom"/>
            <w:gridSpan w:val="2"/>
            <w:shd w:val="clear" w:color="auto" w:fill="CCEEFF"/>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2,025,065</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1,999,885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1,992,841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2"/>
              <w:spacing w:after="0"/>
              <w:rPr>
                <w:sz w:val="20"/>
                <w:szCs w:val="20"/>
                <w:color w:val="auto"/>
              </w:rPr>
            </w:pPr>
            <w:r>
              <w:rPr>
                <w:rFonts w:ascii="Arial" w:cs="Arial" w:eastAsia="Arial" w:hAnsi="Arial"/>
                <w:sz w:val="12"/>
                <w:szCs w:val="12"/>
                <w:color w:val="auto"/>
              </w:rPr>
              <w:t>(PIK 1.75%)</w:t>
            </w: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gridSpan w:val="2"/>
          </w:tcPr>
          <w:p>
            <w:pPr>
              <w:spacing w:after="0" w:line="129" w:lineRule="exact"/>
              <w:rPr>
                <w:sz w:val="20"/>
                <w:szCs w:val="20"/>
                <w:color w:val="auto"/>
              </w:rPr>
            </w:pPr>
            <w:r>
              <w:rPr>
                <w:rFonts w:ascii="Arial" w:cs="Arial" w:eastAsia="Arial" w:hAnsi="Arial"/>
                <w:sz w:val="12"/>
                <w:szCs w:val="12"/>
                <w:color w:val="auto"/>
              </w:rPr>
              <w:t>UniTek Global Services, Inc.</w:t>
            </w:r>
          </w:p>
        </w:tc>
        <w:tc>
          <w:tcPr>
            <w:tcW w:w="700" w:type="dxa"/>
            <w:vAlign w:val="bottom"/>
          </w:tcPr>
          <w:p>
            <w:pPr>
              <w:jc w:val="center"/>
              <w:spacing w:after="0" w:line="129" w:lineRule="exact"/>
              <w:rPr>
                <w:sz w:val="20"/>
                <w:szCs w:val="20"/>
                <w:color w:val="auto"/>
              </w:rPr>
            </w:pPr>
            <w:r>
              <w:rPr>
                <w:rFonts w:ascii="Arial" w:cs="Arial" w:eastAsia="Arial" w:hAnsi="Arial"/>
                <w:sz w:val="12"/>
                <w:szCs w:val="12"/>
                <w:color w:val="auto"/>
                <w:w w:val="89"/>
              </w:rPr>
              <w:t>07/15/2019</w:t>
            </w: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29" w:lineRule="exact"/>
              <w:rPr>
                <w:sz w:val="20"/>
                <w:szCs w:val="20"/>
                <w:color w:val="auto"/>
              </w:rPr>
            </w:pPr>
            <w:r>
              <w:rPr>
                <w:rFonts w:ascii="Arial" w:cs="Arial" w:eastAsia="Arial" w:hAnsi="Arial"/>
                <w:sz w:val="12"/>
                <w:szCs w:val="12"/>
                <w:color w:val="auto"/>
                <w:w w:val="87"/>
              </w:rPr>
              <w:t>Telecommunications</w:t>
            </w:r>
          </w:p>
        </w:tc>
        <w:tc>
          <w:tcPr>
            <w:tcW w:w="860" w:type="dxa"/>
            <w:vAlign w:val="bottom"/>
            <w:gridSpan w:val="2"/>
          </w:tcPr>
          <w:p>
            <w:pPr>
              <w:jc w:val="right"/>
              <w:ind w:right="122"/>
              <w:spacing w:after="0" w:line="129" w:lineRule="exact"/>
              <w:rPr>
                <w:sz w:val="20"/>
                <w:szCs w:val="20"/>
                <w:color w:val="auto"/>
              </w:rPr>
            </w:pPr>
            <w:r>
              <w:rPr>
                <w:rFonts w:ascii="Arial" w:cs="Arial" w:eastAsia="Arial" w:hAnsi="Arial"/>
                <w:sz w:val="12"/>
                <w:szCs w:val="12"/>
                <w:color w:val="auto"/>
              </w:rPr>
              <w:t>15.00%</w:t>
            </w: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126,259</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126,259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126,259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82"/>
              <w:spacing w:after="0"/>
              <w:rPr>
                <w:sz w:val="20"/>
                <w:szCs w:val="20"/>
                <w:color w:val="auto"/>
              </w:rPr>
            </w:pPr>
            <w:r>
              <w:rPr>
                <w:rFonts w:ascii="Arial" w:cs="Arial" w:eastAsia="Arial" w:hAnsi="Arial"/>
                <w:sz w:val="12"/>
                <w:szCs w:val="12"/>
                <w:color w:val="auto"/>
                <w:w w:val="98"/>
              </w:rPr>
              <w:t>(PIK 15.00%)</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Subordinated Debt/Corporate Notes</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8,634,195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5,602,244</w:t>
            </w:r>
          </w:p>
        </w:tc>
        <w:tc>
          <w:tcPr>
            <w:tcW w:w="0" w:type="dxa"/>
            <w:vAlign w:val="bottom"/>
          </w:tcPr>
          <w:p>
            <w:pPr>
              <w:spacing w:after="0"/>
              <w:rPr>
                <w:sz w:val="1"/>
                <w:szCs w:val="1"/>
                <w:color w:val="auto"/>
              </w:rPr>
            </w:pPr>
          </w:p>
        </w:tc>
      </w:tr>
      <w:tr>
        <w:trPr>
          <w:trHeight w:val="142"/>
        </w:trPr>
        <w:tc>
          <w:tcPr>
            <w:tcW w:w="470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Preferred Equity—0.3% </w:t>
            </w:r>
            <w:r>
              <w:rPr>
                <w:rFonts w:ascii="Arial" w:cs="Arial" w:eastAsia="Arial" w:hAnsi="Arial"/>
                <w:sz w:val="9"/>
                <w:szCs w:val="9"/>
                <w:b w:val="1"/>
                <w:bCs w:val="1"/>
                <w:color w:val="auto"/>
              </w:rPr>
              <w:t>(7), (8)</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J.A. Cosmetics US, Inc.</w:t>
            </w:r>
          </w:p>
        </w:tc>
        <w:tc>
          <w:tcPr>
            <w:tcW w:w="80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2"/>
                <w:szCs w:val="12"/>
                <w:color w:val="auto"/>
              </w:rPr>
              <w:t>—</w:t>
            </w: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Consumer Goods: Durable</w:t>
            </w:r>
          </w:p>
        </w:tc>
        <w:tc>
          <w:tcPr>
            <w:tcW w:w="8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8.00%</w:t>
            </w: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400</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399,704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455,490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UniTek Global Services, Inc.</w:t>
            </w:r>
          </w:p>
        </w:tc>
        <w:tc>
          <w:tcPr>
            <w:tcW w:w="800" w:type="dxa"/>
            <w:vAlign w:val="bottom"/>
            <w:gridSpan w:val="2"/>
          </w:tcPr>
          <w:p>
            <w:pPr>
              <w:ind w:left="260"/>
              <w:spacing w:after="0" w:line="135" w:lineRule="exact"/>
              <w:rPr>
                <w:sz w:val="20"/>
                <w:szCs w:val="20"/>
                <w:color w:val="auto"/>
              </w:rPr>
            </w:pPr>
            <w:r>
              <w:rPr>
                <w:rFonts w:ascii="Arial" w:cs="Arial" w:eastAsia="Arial" w:hAnsi="Arial"/>
                <w:sz w:val="12"/>
                <w:szCs w:val="12"/>
                <w:color w:val="auto"/>
              </w:rPr>
              <w:t>—</w:t>
            </w: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7"/>
              </w:rPr>
              <w:t>Telecommunications</w:t>
            </w:r>
          </w:p>
        </w:tc>
        <w:tc>
          <w:tcPr>
            <w:tcW w:w="860" w:type="dxa"/>
            <w:vAlign w:val="bottom"/>
            <w:gridSpan w:val="2"/>
          </w:tcPr>
          <w:p>
            <w:pPr>
              <w:jc w:val="right"/>
              <w:ind w:right="122"/>
              <w:spacing w:after="0" w:line="135" w:lineRule="exact"/>
              <w:rPr>
                <w:sz w:val="20"/>
                <w:szCs w:val="20"/>
                <w:color w:val="auto"/>
              </w:rPr>
            </w:pPr>
            <w:r>
              <w:rPr>
                <w:rFonts w:ascii="Arial" w:cs="Arial" w:eastAsia="Arial" w:hAnsi="Arial"/>
                <w:sz w:val="12"/>
                <w:szCs w:val="12"/>
                <w:color w:val="auto"/>
              </w:rPr>
              <w:t>13.50%</w:t>
            </w:r>
          </w:p>
        </w:tc>
        <w:tc>
          <w:tcPr>
            <w:tcW w:w="8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1,047,317</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670,283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691,115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Preferred Equity</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1,069,987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1,146,605</w:t>
            </w:r>
          </w:p>
        </w:tc>
        <w:tc>
          <w:tcPr>
            <w:tcW w:w="0" w:type="dxa"/>
            <w:vAlign w:val="bottom"/>
          </w:tcPr>
          <w:p>
            <w:pPr>
              <w:spacing w:after="0"/>
              <w:rPr>
                <w:sz w:val="1"/>
                <w:szCs w:val="1"/>
                <w:color w:val="auto"/>
              </w:rPr>
            </w:pPr>
          </w:p>
        </w:tc>
      </w:tr>
      <w:tr>
        <w:trPr>
          <w:trHeight w:val="142"/>
        </w:trPr>
        <w:tc>
          <w:tcPr>
            <w:tcW w:w="470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Common Equity/Warrants—0.5% </w:t>
            </w:r>
            <w:r>
              <w:rPr>
                <w:rFonts w:ascii="Arial" w:cs="Arial" w:eastAsia="Arial" w:hAnsi="Arial"/>
                <w:sz w:val="9"/>
                <w:szCs w:val="9"/>
                <w:b w:val="1"/>
                <w:bCs w:val="1"/>
                <w:color w:val="auto"/>
              </w:rPr>
              <w:t>(7), (8)</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A2Z Wireless Holdings, Inc.</w:t>
            </w:r>
          </w:p>
        </w:tc>
        <w:tc>
          <w:tcPr>
            <w:tcW w:w="80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2"/>
                <w:szCs w:val="12"/>
                <w:color w:val="auto"/>
              </w:rPr>
              <w:t>—</w:t>
            </w: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1"/>
              </w:rPr>
              <w:t>Retail</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463</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118,817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674,296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Affinion Group Holdings, Inc., Series A (Warrants)</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12/12/2023</w:t>
            </w: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Consumer Goods: Durable</w:t>
            </w:r>
          </w:p>
        </w:tc>
        <w:tc>
          <w:tcPr>
            <w:tcW w:w="86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554,715</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1,186,649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291,226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Affinion Group Holdings, Inc., Series B (Warrants)</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12/12/2023</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Consumer Goods: Durable</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1,135,743</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22,715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gridSpan w:val="2"/>
          </w:tcPr>
          <w:p>
            <w:pPr>
              <w:spacing w:after="0" w:line="129" w:lineRule="exact"/>
              <w:rPr>
                <w:sz w:val="20"/>
                <w:szCs w:val="20"/>
                <w:color w:val="auto"/>
              </w:rPr>
            </w:pPr>
            <w:r>
              <w:rPr>
                <w:rFonts w:ascii="Arial" w:cs="Arial" w:eastAsia="Arial" w:hAnsi="Arial"/>
                <w:sz w:val="12"/>
                <w:szCs w:val="12"/>
                <w:color w:val="auto"/>
              </w:rPr>
              <w:t>Faraday Holdings, LLC</w:t>
            </w:r>
          </w:p>
        </w:tc>
        <w:tc>
          <w:tcPr>
            <w:tcW w:w="800" w:type="dxa"/>
            <w:vAlign w:val="bottom"/>
            <w:gridSpan w:val="2"/>
          </w:tcPr>
          <w:p>
            <w:pPr>
              <w:ind w:left="260"/>
              <w:spacing w:after="0" w:line="129" w:lineRule="exact"/>
              <w:rPr>
                <w:sz w:val="20"/>
                <w:szCs w:val="20"/>
                <w:color w:val="auto"/>
              </w:rPr>
            </w:pPr>
            <w:r>
              <w:rPr>
                <w:rFonts w:ascii="Arial" w:cs="Arial" w:eastAsia="Arial" w:hAnsi="Arial"/>
                <w:sz w:val="12"/>
                <w:szCs w:val="12"/>
                <w:color w:val="auto"/>
              </w:rPr>
              <w:t>—</w:t>
            </w:r>
          </w:p>
        </w:tc>
        <w:tc>
          <w:tcPr>
            <w:tcW w:w="1900" w:type="dxa"/>
            <w:vAlign w:val="bottom"/>
            <w:gridSpan w:val="2"/>
          </w:tcPr>
          <w:p>
            <w:pPr>
              <w:jc w:val="center"/>
              <w:ind w:right="100"/>
              <w:spacing w:after="0" w:line="129" w:lineRule="exact"/>
              <w:rPr>
                <w:sz w:val="20"/>
                <w:szCs w:val="20"/>
                <w:color w:val="auto"/>
              </w:rPr>
            </w:pPr>
            <w:r>
              <w:rPr>
                <w:rFonts w:ascii="Arial" w:cs="Arial" w:eastAsia="Arial" w:hAnsi="Arial"/>
                <w:sz w:val="12"/>
                <w:szCs w:val="12"/>
                <w:color w:val="auto"/>
                <w:w w:val="90"/>
              </w:rPr>
              <w:t>Construction and Building</w:t>
            </w:r>
          </w:p>
        </w:tc>
        <w:tc>
          <w:tcPr>
            <w:tcW w:w="860" w:type="dxa"/>
            <w:vAlign w:val="bottom"/>
            <w:gridSpan w:val="2"/>
          </w:tcPr>
          <w:p>
            <w:pPr>
              <w:ind w:left="40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939</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45,761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52,466</w:t>
            </w:r>
          </w:p>
        </w:tc>
        <w:tc>
          <w:tcPr>
            <w:tcW w:w="0" w:type="dxa"/>
            <w:vAlign w:val="bottom"/>
          </w:tcPr>
          <w:p>
            <w:pPr>
              <w:spacing w:after="0"/>
              <w:rPr>
                <w:sz w:val="1"/>
                <w:szCs w:val="1"/>
                <w:color w:val="auto"/>
              </w:rPr>
            </w:pPr>
          </w:p>
        </w:tc>
      </w:tr>
      <w:tr>
        <w:trPr>
          <w:trHeight w:val="148"/>
        </w:trPr>
        <w:tc>
          <w:tcPr>
            <w:tcW w:w="4700" w:type="dxa"/>
            <w:vAlign w:val="bottom"/>
            <w:gridSpan w:val="3"/>
          </w:tcPr>
          <w:p>
            <w:pPr>
              <w:spacing w:after="0"/>
              <w:rPr>
                <w:sz w:val="20"/>
                <w:szCs w:val="20"/>
                <w:color w:val="auto"/>
              </w:rPr>
            </w:pPr>
            <w:r>
              <w:rPr>
                <w:rFonts w:ascii="Arial" w:cs="Arial" w:eastAsia="Arial" w:hAnsi="Arial"/>
                <w:sz w:val="12"/>
                <w:szCs w:val="12"/>
                <w:color w:val="auto"/>
              </w:rPr>
              <w:t>(Interior Specialists, Inc.)</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J.A. Cosmetics US, Inc.</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6"/>
              </w:rPr>
              <w:t>Consumer Goods: Durable</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215,689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gridSpan w:val="2"/>
          </w:tcPr>
          <w:p>
            <w:pPr>
              <w:spacing w:after="0" w:line="129" w:lineRule="exact"/>
              <w:rPr>
                <w:sz w:val="20"/>
                <w:szCs w:val="20"/>
                <w:color w:val="auto"/>
              </w:rPr>
            </w:pPr>
            <w:r>
              <w:rPr>
                <w:rFonts w:ascii="Arial" w:cs="Arial" w:eastAsia="Arial" w:hAnsi="Arial"/>
                <w:sz w:val="12"/>
                <w:szCs w:val="12"/>
                <w:color w:val="auto"/>
              </w:rPr>
              <w:t>Patriot National, Inc. (Warrants)</w:t>
            </w:r>
          </w:p>
        </w:tc>
        <w:tc>
          <w:tcPr>
            <w:tcW w:w="700" w:type="dxa"/>
            <w:vAlign w:val="bottom"/>
          </w:tcPr>
          <w:p>
            <w:pPr>
              <w:jc w:val="center"/>
              <w:spacing w:after="0" w:line="129" w:lineRule="exact"/>
              <w:rPr>
                <w:sz w:val="20"/>
                <w:szCs w:val="20"/>
                <w:color w:val="auto"/>
              </w:rPr>
            </w:pPr>
            <w:r>
              <w:rPr>
                <w:rFonts w:ascii="Arial" w:cs="Arial" w:eastAsia="Arial" w:hAnsi="Arial"/>
                <w:sz w:val="12"/>
                <w:szCs w:val="12"/>
                <w:color w:val="auto"/>
                <w:w w:val="89"/>
              </w:rPr>
              <w:t>11/27/2023</w:t>
            </w:r>
          </w:p>
        </w:tc>
        <w:tc>
          <w:tcPr>
            <w:tcW w:w="100" w:type="dxa"/>
            <w:vAlign w:val="bottom"/>
          </w:tcPr>
          <w:p>
            <w:pPr>
              <w:spacing w:after="0"/>
              <w:rPr>
                <w:sz w:val="11"/>
                <w:szCs w:val="11"/>
                <w:color w:val="auto"/>
              </w:rPr>
            </w:pPr>
          </w:p>
        </w:tc>
        <w:tc>
          <w:tcPr>
            <w:tcW w:w="1900" w:type="dxa"/>
            <w:vAlign w:val="bottom"/>
            <w:gridSpan w:val="2"/>
          </w:tcPr>
          <w:p>
            <w:pPr>
              <w:jc w:val="center"/>
              <w:ind w:right="80"/>
              <w:spacing w:after="0" w:line="129" w:lineRule="exact"/>
              <w:rPr>
                <w:sz w:val="20"/>
                <w:szCs w:val="20"/>
                <w:color w:val="auto"/>
              </w:rPr>
            </w:pPr>
            <w:r>
              <w:rPr>
                <w:rFonts w:ascii="Arial" w:cs="Arial" w:eastAsia="Arial" w:hAnsi="Arial"/>
                <w:sz w:val="12"/>
                <w:szCs w:val="12"/>
                <w:color w:val="auto"/>
                <w:w w:val="87"/>
              </w:rPr>
              <w:t>Banking, Finance, Insurance and Real</w:t>
            </w:r>
          </w:p>
        </w:tc>
        <w:tc>
          <w:tcPr>
            <w:tcW w:w="860" w:type="dxa"/>
            <w:vAlign w:val="bottom"/>
            <w:gridSpan w:val="2"/>
          </w:tcPr>
          <w:p>
            <w:pPr>
              <w:ind w:left="40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14,484</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28,002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190,609</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2"/>
                <w:szCs w:val="12"/>
                <w:color w:val="auto"/>
                <w:w w:val="82"/>
              </w:rPr>
              <w:t>Estate</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UniTek Global Services, Inc.</w:t>
            </w:r>
          </w:p>
        </w:tc>
        <w:tc>
          <w:tcPr>
            <w:tcW w:w="80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2"/>
                <w:szCs w:val="12"/>
                <w:color w:val="auto"/>
              </w:rPr>
              <w:t>—</w:t>
            </w: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7"/>
              </w:rPr>
              <w:t>Telecommunications</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149,617</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gridSpan w:val="2"/>
          </w:tcPr>
          <w:p>
            <w:pPr>
              <w:spacing w:after="0" w:line="129" w:lineRule="exact"/>
              <w:rPr>
                <w:sz w:val="20"/>
                <w:szCs w:val="20"/>
                <w:color w:val="auto"/>
              </w:rPr>
            </w:pPr>
            <w:r>
              <w:rPr>
                <w:rFonts w:ascii="Arial" w:cs="Arial" w:eastAsia="Arial" w:hAnsi="Arial"/>
                <w:sz w:val="12"/>
                <w:szCs w:val="12"/>
                <w:color w:val="auto"/>
              </w:rPr>
              <w:t>Vestcom Parent Holdings, Inc.</w:t>
            </w:r>
          </w:p>
        </w:tc>
        <w:tc>
          <w:tcPr>
            <w:tcW w:w="800" w:type="dxa"/>
            <w:vAlign w:val="bottom"/>
            <w:gridSpan w:val="2"/>
          </w:tcPr>
          <w:p>
            <w:pPr>
              <w:ind w:left="260"/>
              <w:spacing w:after="0" w:line="129" w:lineRule="exact"/>
              <w:rPr>
                <w:sz w:val="20"/>
                <w:szCs w:val="20"/>
                <w:color w:val="auto"/>
              </w:rPr>
            </w:pPr>
            <w:r>
              <w:rPr>
                <w:rFonts w:ascii="Arial" w:cs="Arial" w:eastAsia="Arial" w:hAnsi="Arial"/>
                <w:sz w:val="12"/>
                <w:szCs w:val="12"/>
                <w:color w:val="auto"/>
              </w:rPr>
              <w:t>—</w:t>
            </w:r>
          </w:p>
        </w:tc>
        <w:tc>
          <w:tcPr>
            <w:tcW w:w="1900" w:type="dxa"/>
            <w:vAlign w:val="bottom"/>
            <w:gridSpan w:val="2"/>
          </w:tcPr>
          <w:p>
            <w:pPr>
              <w:jc w:val="center"/>
              <w:ind w:right="80"/>
              <w:spacing w:after="0" w:line="129" w:lineRule="exact"/>
              <w:rPr>
                <w:sz w:val="20"/>
                <w:szCs w:val="20"/>
                <w:color w:val="auto"/>
              </w:rPr>
            </w:pPr>
            <w:r>
              <w:rPr>
                <w:rFonts w:ascii="Arial" w:cs="Arial" w:eastAsia="Arial" w:hAnsi="Arial"/>
                <w:sz w:val="12"/>
                <w:szCs w:val="12"/>
                <w:color w:val="auto"/>
                <w:w w:val="90"/>
              </w:rPr>
              <w:t>Media: Advertising, Printing and</w:t>
            </w:r>
          </w:p>
        </w:tc>
        <w:tc>
          <w:tcPr>
            <w:tcW w:w="860" w:type="dxa"/>
            <w:vAlign w:val="bottom"/>
            <w:gridSpan w:val="2"/>
          </w:tcPr>
          <w:p>
            <w:pPr>
              <w:ind w:left="40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15,179</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56,895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255,899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2"/>
                <w:szCs w:val="12"/>
                <w:color w:val="auto"/>
                <w:w w:val="90"/>
              </w:rPr>
              <w:t>Publishing</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Common Equity/Warrants</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1,436,420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1,702,900</w:t>
            </w: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Total Investments in Non-Controlled, Non-Affiliated Portfolio Companies</w:t>
            </w: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70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w w:val="83"/>
              </w:rPr>
              <w:t>394,561,175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w w:val="86"/>
              </w:rPr>
              <w:t>388,535,383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Investments in Controlled, Affiliated Portfolio Companies—0.7%</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First Lien Secured Debt—0.7%</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GMC Television Broadcasting Holdings, LLC </w:t>
            </w:r>
            <w:r>
              <w:rPr>
                <w:rFonts w:ascii="Arial" w:cs="Arial" w:eastAsia="Arial" w:hAnsi="Arial"/>
                <w:sz w:val="9"/>
                <w:szCs w:val="9"/>
                <w:color w:val="auto"/>
              </w:rPr>
              <w:t>(8), (12)</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12/30/2016</w:t>
            </w:r>
          </w:p>
        </w:tc>
        <w:tc>
          <w:tcPr>
            <w:tcW w:w="1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Media: Broadcasting and Subscription</w:t>
            </w:r>
          </w:p>
        </w:tc>
        <w:tc>
          <w:tcPr>
            <w:tcW w:w="8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4.33%</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L+400</w:t>
            </w:r>
            <w:r>
              <w:rPr>
                <w:rFonts w:ascii="Arial" w:cs="Arial" w:eastAsia="Arial" w:hAnsi="Arial"/>
                <w:sz w:val="9"/>
                <w:szCs w:val="9"/>
                <w:color w:val="auto"/>
              </w:rPr>
              <w:t>(9)</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3,702,009</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2,777,132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2,776,507</w:t>
            </w: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Total Investments—104.9%</w:t>
            </w: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70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w w:val="83"/>
              </w:rPr>
              <w:t>397,338,307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w w:val="86"/>
              </w:rPr>
              <w:t>391,311,890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Equivalents—5.8%</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tcPr>
          <w:p>
            <w:pPr>
              <w:spacing w:after="0" w:line="135" w:lineRule="exact"/>
              <w:rPr>
                <w:sz w:val="20"/>
                <w:szCs w:val="20"/>
                <w:color w:val="auto"/>
              </w:rPr>
            </w:pPr>
            <w:r>
              <w:rPr>
                <w:rFonts w:ascii="Arial" w:cs="Arial" w:eastAsia="Arial" w:hAnsi="Arial"/>
                <w:sz w:val="12"/>
                <w:szCs w:val="12"/>
                <w:color w:val="auto"/>
              </w:rPr>
              <w:t>BlackRock Liquidity Funds, Temp Cash and Temp Fund, Institutional Shares</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w w:val="93"/>
              </w:rPr>
              <w:t>21,428,514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6"/>
              </w:rPr>
              <w:t>21,428,514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and Cash Equivalents—110.7%</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83"/>
              </w:rPr>
              <w:t>418,766,821</w:t>
            </w:r>
          </w:p>
        </w:tc>
        <w:tc>
          <w:tcPr>
            <w:tcW w:w="1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2"/>
                <w:szCs w:val="12"/>
                <w:color w:val="auto"/>
                <w:w w:val="89"/>
              </w:rPr>
              <w:t>$</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86"/>
              </w:rPr>
              <w:t>412,740,404</w:t>
            </w: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Liabilities in Excess of Other Assets—(10.7)%</w:t>
            </w: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70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w w:val="91"/>
              </w:rPr>
              <w:t>(39,849,955)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Net Assets—100.0%</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2"/>
                <w:szCs w:val="12"/>
                <w:color w:val="auto"/>
                <w:w w:val="89"/>
              </w:rPr>
              <w:t>$</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86"/>
              </w:rPr>
              <w:t>372,890,449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51765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6" w:lineRule="exact"/>
        <w:rPr>
          <w:sz w:val="20"/>
          <w:szCs w:val="20"/>
          <w:color w:val="auto"/>
        </w:rPr>
      </w:pPr>
    </w:p>
    <w:p>
      <w:pPr>
        <w:ind w:left="340" w:hanging="332"/>
        <w:spacing w:after="0" w:line="252" w:lineRule="auto"/>
        <w:tabs>
          <w:tab w:leader="none" w:pos="340" w:val="left"/>
        </w:tabs>
        <w:numPr>
          <w:ilvl w:val="0"/>
          <w:numId w:val="85"/>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spacing w:after="0" w:line="20" w:lineRule="exact"/>
        <w:rPr>
          <w:rFonts w:ascii="Arial" w:cs="Arial" w:eastAsia="Arial" w:hAnsi="Arial"/>
          <w:sz w:val="12"/>
          <w:szCs w:val="12"/>
          <w:color w:val="auto"/>
        </w:rPr>
      </w:pPr>
    </w:p>
    <w:p>
      <w:pPr>
        <w:ind w:left="340" w:hanging="332"/>
        <w:spacing w:after="0"/>
        <w:tabs>
          <w:tab w:leader="none" w:pos="340" w:val="left"/>
        </w:tabs>
        <w:numPr>
          <w:ilvl w:val="0"/>
          <w:numId w:val="85"/>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37" w:lineRule="exact"/>
        <w:rPr>
          <w:rFonts w:ascii="Arial" w:cs="Arial" w:eastAsia="Arial" w:hAnsi="Arial"/>
          <w:sz w:val="12"/>
          <w:szCs w:val="12"/>
          <w:color w:val="auto"/>
        </w:rPr>
      </w:pPr>
    </w:p>
    <w:p>
      <w:pPr>
        <w:ind w:left="340" w:right="180" w:hanging="332"/>
        <w:spacing w:after="0" w:line="252" w:lineRule="auto"/>
        <w:tabs>
          <w:tab w:leader="none" w:pos="34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40" w:right="200" w:hanging="332"/>
        <w:spacing w:after="0" w:line="252" w:lineRule="auto"/>
        <w:tabs>
          <w:tab w:leader="none" w:pos="34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340" w:hanging="332"/>
        <w:spacing w:after="0"/>
        <w:tabs>
          <w:tab w:leader="none" w:pos="340" w:val="left"/>
        </w:tabs>
        <w:numPr>
          <w:ilvl w:val="0"/>
          <w:numId w:val="85"/>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49" w:lineRule="exact"/>
        <w:rPr>
          <w:rFonts w:ascii="Arial" w:cs="Arial" w:eastAsia="Arial" w:hAnsi="Arial"/>
          <w:sz w:val="11"/>
          <w:szCs w:val="11"/>
          <w:color w:val="auto"/>
        </w:rPr>
      </w:pPr>
    </w:p>
    <w:p>
      <w:pPr>
        <w:ind w:left="340" w:hanging="332"/>
        <w:spacing w:after="0"/>
        <w:tabs>
          <w:tab w:leader="none" w:pos="340" w:val="left"/>
        </w:tabs>
        <w:numPr>
          <w:ilvl w:val="0"/>
          <w:numId w:val="85"/>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85"/>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securities are not pledged as collateral under the Credit Facility. All other securities are pledged as collateral under the Credit Facility and held through Funding I.</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85"/>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85"/>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40" w:right="200" w:hanging="332"/>
        <w:spacing w:after="0" w:line="252" w:lineRule="auto"/>
        <w:tabs>
          <w:tab w:leader="none" w:pos="34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20" w:lineRule="exact"/>
        <w:rPr>
          <w:rFonts w:ascii="Arial" w:cs="Arial" w:eastAsia="Arial" w:hAnsi="Arial"/>
          <w:sz w:val="12"/>
          <w:szCs w:val="12"/>
          <w:color w:val="auto"/>
        </w:rPr>
      </w:pPr>
    </w:p>
    <w:p>
      <w:pPr>
        <w:ind w:left="340" w:hanging="332"/>
        <w:spacing w:after="0"/>
        <w:tabs>
          <w:tab w:leader="none" w:pos="340" w:val="left"/>
        </w:tabs>
        <w:numPr>
          <w:ilvl w:val="0"/>
          <w:numId w:val="85"/>
        </w:numPr>
        <w:rPr>
          <w:rFonts w:ascii="Arial" w:cs="Arial" w:eastAsia="Arial" w:hAnsi="Arial"/>
          <w:sz w:val="12"/>
          <w:szCs w:val="12"/>
          <w:color w:val="auto"/>
        </w:rPr>
      </w:pPr>
      <w:r>
        <w:rPr>
          <w:rFonts w:ascii="Arial" w:cs="Arial" w:eastAsia="Arial" w:hAnsi="Arial"/>
          <w:sz w:val="12"/>
          <w:szCs w:val="12"/>
          <w:color w:val="auto"/>
        </w:rPr>
        <w:t>Became a controlled affiliate during the quarter ended September 30, 2015.</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SEE NOTES TO CONSOLIDATED FINANCIAL STATEMENTS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02" w:lineRule="exact"/>
        <w:rPr>
          <w:sz w:val="20"/>
          <w:szCs w:val="20"/>
          <w:color w:val="auto"/>
        </w:rPr>
      </w:pPr>
    </w:p>
    <w:p>
      <w:pPr>
        <w:ind w:right="200" w:firstLine="685"/>
        <w:spacing w:after="0" w:line="277" w:lineRule="auto"/>
        <w:rPr>
          <w:sz w:val="20"/>
          <w:szCs w:val="20"/>
          <w:color w:val="auto"/>
        </w:rPr>
      </w:pPr>
      <w:r>
        <w:rPr>
          <w:rFonts w:ascii="Arial" w:cs="Arial" w:eastAsia="Arial" w:hAnsi="Arial"/>
          <w:sz w:val="18"/>
          <w:szCs w:val="18"/>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30" w:lineRule="exact"/>
        <w:rPr>
          <w:sz w:val="20"/>
          <w:szCs w:val="20"/>
          <w:color w:val="auto"/>
        </w:rPr>
      </w:pPr>
    </w:p>
    <w:p>
      <w:pPr>
        <w:ind w:firstLine="685"/>
        <w:spacing w:after="0" w:line="254" w:lineRule="auto"/>
        <w:rPr>
          <w:sz w:val="20"/>
          <w:szCs w:val="20"/>
          <w:color w:val="auto"/>
        </w:rPr>
      </w:pPr>
      <w:r>
        <w:rPr>
          <w:rFonts w:ascii="Arial" w:cs="Arial" w:eastAsia="Arial" w:hAnsi="Arial"/>
          <w:sz w:val="18"/>
          <w:szCs w:val="18"/>
          <w:color w:val="auto"/>
        </w:rPr>
        <w:t>Our investment objectives are to generate current income and capital appreciation. We seek to achieve our investment objective by investing primarily in Floating Rate Loans and other investments made to U.S. middle-market private companies whose debt is rated below investment grade. Floating Rate Loans pay interest at variable rates, which are determined periodically, on the basis of a floating base lending rate such as LIBOR, with or without a floor, plus a fixed spread. Under normal market conditions, we generally expect that at least 80% of the value of our Managed Assets will be invested in Floating Rate Loans and other investments bearing a variable rate of interest, which may include, from time to time, variable rate derivative instruments. We generally expect that senior secured debt, or first lien loans, will represent at least 65% of our overall portfolio. We generally expect to invest up to 35% of our overall portfolio opportunistically in other types of investments, including second lien, high yield, mezzanine and distressed debt securities and, to a lesser extent, equity investments.</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entered into the Investment Management Agreement with the Investment Adviser, an external adviser that manages our day-to-day operations.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also entered into the Administration Agreement with the Administrator, which provides the administrative services necessary for us to operate.</w:t>
      </w:r>
    </w:p>
    <w:p>
      <w:pPr>
        <w:spacing w:after="0" w:line="195" w:lineRule="exact"/>
        <w:rPr>
          <w:sz w:val="20"/>
          <w:szCs w:val="20"/>
          <w:color w:val="auto"/>
        </w:rPr>
      </w:pPr>
    </w:p>
    <w:p>
      <w:pPr>
        <w:ind w:right="20" w:firstLine="685"/>
        <w:spacing w:after="0" w:line="297" w:lineRule="auto"/>
        <w:rPr>
          <w:sz w:val="20"/>
          <w:szCs w:val="20"/>
          <w:color w:val="auto"/>
        </w:rPr>
      </w:pPr>
      <w:r>
        <w:rPr>
          <w:rFonts w:ascii="Arial" w:cs="Arial" w:eastAsia="Arial" w:hAnsi="Arial"/>
          <w:sz w:val="16"/>
          <w:szCs w:val="16"/>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Credit Facility allows Funding I to borrow up to $350 million as of September 30, 2016 at LIBOR plus 200 basis points during the revolving period. The Credit Facility is secured by all of the assets held by Funding I. See Note 11.</w:t>
      </w:r>
    </w:p>
    <w:p>
      <w:pPr>
        <w:spacing w:after="0" w:line="118" w:lineRule="exact"/>
        <w:rPr>
          <w:sz w:val="20"/>
          <w:szCs w:val="20"/>
          <w:color w:val="auto"/>
        </w:rPr>
      </w:pPr>
    </w:p>
    <w:p>
      <w:pPr>
        <w:ind w:right="520" w:firstLine="685"/>
        <w:spacing w:after="0" w:line="312" w:lineRule="auto"/>
        <w:rPr>
          <w:sz w:val="20"/>
          <w:szCs w:val="20"/>
          <w:color w:val="auto"/>
        </w:rPr>
      </w:pPr>
      <w:r>
        <w:rPr>
          <w:rFonts w:ascii="Arial" w:cs="Arial" w:eastAsia="Arial" w:hAnsi="Arial"/>
          <w:sz w:val="16"/>
          <w:szCs w:val="16"/>
          <w:color w:val="auto"/>
        </w:rPr>
        <w:t>We have formed and expect to continue to form certain Taxable Subsidiaries which are taxed as corporations for federal income tax purposes. Accordingly, the Taxable Subsidiaries will pay income taxes at regular corporate income tax rates. These Taxable Subsidiaries allow us to hold equity securities of portfolio companies organized as pass-through entities while continuing to satisfy the requirements of a RIC under the Code.</w:t>
      </w:r>
    </w:p>
    <w:p>
      <w:pPr>
        <w:spacing w:after="0" w:line="106" w:lineRule="exact"/>
        <w:rPr>
          <w:sz w:val="20"/>
          <w:szCs w:val="20"/>
          <w:color w:val="auto"/>
        </w:rPr>
      </w:pPr>
    </w:p>
    <w:p>
      <w:pPr>
        <w:ind w:right="60" w:firstLine="685"/>
        <w:spacing w:after="0" w:line="264" w:lineRule="auto"/>
        <w:rPr>
          <w:sz w:val="20"/>
          <w:szCs w:val="20"/>
          <w:color w:val="auto"/>
        </w:rPr>
      </w:pPr>
      <w:r>
        <w:rPr>
          <w:rFonts w:ascii="Arial" w:cs="Arial" w:eastAsia="Arial" w:hAnsi="Arial"/>
          <w:sz w:val="18"/>
          <w:szCs w:val="18"/>
          <w:color w:val="auto"/>
        </w:rPr>
        <w:t>In August 2015, we completed the acquisition of MCG pursuant to the Agreement and Plan of Merger by and among MCG, our Investment Adviser and the Company. As a result of the transactions completed by the Merger Agreement, MCG was ultimately merged with and into PFLT Funding II, LLC with PFLT Funding II, LLC as the surviving company. See Note 13.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89" w:lineRule="exact"/>
        <w:rPr>
          <w:sz w:val="20"/>
          <w:szCs w:val="20"/>
          <w:color w:val="auto"/>
        </w:rPr>
      </w:pPr>
    </w:p>
    <w:p>
      <w:pPr>
        <w:ind w:firstLine="685"/>
        <w:spacing w:after="0" w:line="254" w:lineRule="auto"/>
        <w:rPr>
          <w:sz w:val="20"/>
          <w:szCs w:val="20"/>
          <w:color w:val="auto"/>
        </w:rPr>
      </w:pPr>
      <w:r>
        <w:rPr>
          <w:rFonts w:ascii="Arial" w:cs="Arial" w:eastAsia="Arial" w:hAnsi="Arial"/>
          <w:sz w:val="18"/>
          <w:szCs w:val="18"/>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w:t>
      </w:r>
    </w:p>
    <w:p>
      <w:pPr>
        <w:spacing w:after="0" w:line="165" w:lineRule="exact"/>
        <w:rPr>
          <w:sz w:val="20"/>
          <w:szCs w:val="20"/>
          <w:color w:val="auto"/>
        </w:rPr>
      </w:pPr>
    </w:p>
    <w:p>
      <w:pPr>
        <w:ind w:right="60" w:firstLine="685"/>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consistent with ASC 946, Financial Services – Investment Companies,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198" w:lineRule="exact"/>
        <w:rPr>
          <w:sz w:val="20"/>
          <w:szCs w:val="20"/>
          <w:color w:val="auto"/>
        </w:rPr>
      </w:pPr>
    </w:p>
    <w:p>
      <w:pPr>
        <w:ind w:right="320" w:firstLine="685"/>
        <w:spacing w:after="0" w:line="277" w:lineRule="auto"/>
        <w:rPr>
          <w:sz w:val="20"/>
          <w:szCs w:val="20"/>
          <w:color w:val="auto"/>
        </w:rPr>
      </w:pPr>
      <w:r>
        <w:rPr>
          <w:rFonts w:ascii="Arial" w:cs="Arial" w:eastAsia="Arial" w:hAnsi="Arial"/>
          <w:sz w:val="18"/>
          <w:szCs w:val="18"/>
          <w:color w:val="auto"/>
        </w:rPr>
        <w:t>We expect that there may not be readily available market values for many of our investments, which are or will be in our portfolio, and we value such investments at fair value as determined in good faith by or under the direction of our board of directors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1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51" w:lineRule="exact"/>
        <w:rPr>
          <w:sz w:val="20"/>
          <w:szCs w:val="20"/>
          <w:color w:val="auto"/>
        </w:rPr>
      </w:pPr>
    </w:p>
    <w:p>
      <w:pPr>
        <w:ind w:right="120" w:firstLine="685"/>
        <w:spacing w:after="0" w:line="264" w:lineRule="auto"/>
        <w:rPr>
          <w:sz w:val="20"/>
          <w:szCs w:val="20"/>
          <w:color w:val="auto"/>
        </w:rPr>
      </w:pPr>
      <w:r>
        <w:rPr>
          <w:rFonts w:ascii="Arial" w:cs="Arial" w:eastAsia="Arial" w:hAnsi="Arial"/>
          <w:sz w:val="18"/>
          <w:szCs w:val="18"/>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77" w:lineRule="exact"/>
        <w:rPr>
          <w:sz w:val="20"/>
          <w:szCs w:val="20"/>
          <w:color w:val="auto"/>
        </w:rPr>
      </w:pPr>
    </w:p>
    <w:p>
      <w:pPr>
        <w:ind w:left="900" w:hanging="446"/>
        <w:spacing w:after="0" w:line="253" w:lineRule="auto"/>
        <w:tabs>
          <w:tab w:leader="none" w:pos="9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73" w:lineRule="exact"/>
        <w:rPr>
          <w:rFonts w:ascii="Arial" w:cs="Arial" w:eastAsia="Arial" w:hAnsi="Arial"/>
          <w:sz w:val="14"/>
          <w:szCs w:val="14"/>
          <w:color w:val="auto"/>
        </w:rPr>
      </w:pPr>
    </w:p>
    <w:p>
      <w:pPr>
        <w:ind w:left="900" w:hanging="446"/>
        <w:spacing w:after="0"/>
        <w:tabs>
          <w:tab w:leader="none" w:pos="9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203" w:lineRule="exact"/>
        <w:rPr>
          <w:rFonts w:ascii="Arial" w:cs="Arial" w:eastAsia="Arial" w:hAnsi="Arial"/>
          <w:sz w:val="14"/>
          <w:szCs w:val="14"/>
          <w:color w:val="auto"/>
        </w:rPr>
      </w:pPr>
    </w:p>
    <w:p>
      <w:pPr>
        <w:jc w:val="both"/>
        <w:ind w:left="900" w:right="260" w:hanging="446"/>
        <w:spacing w:after="0" w:line="264" w:lineRule="auto"/>
        <w:tabs>
          <w:tab w:leader="none" w:pos="9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68" w:lineRule="exact"/>
        <w:rPr>
          <w:rFonts w:ascii="Arial" w:cs="Arial" w:eastAsia="Arial" w:hAnsi="Arial"/>
          <w:sz w:val="13"/>
          <w:szCs w:val="13"/>
          <w:color w:val="auto"/>
        </w:rPr>
      </w:pPr>
    </w:p>
    <w:p>
      <w:pPr>
        <w:ind w:left="900" w:right="140" w:hanging="446"/>
        <w:spacing w:after="0" w:line="238" w:lineRule="auto"/>
        <w:tabs>
          <w:tab w:leader="none" w:pos="9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82" w:lineRule="exact"/>
        <w:rPr>
          <w:rFonts w:ascii="Arial" w:cs="Arial" w:eastAsia="Arial" w:hAnsi="Arial"/>
          <w:sz w:val="14"/>
          <w:szCs w:val="14"/>
          <w:color w:val="auto"/>
        </w:rPr>
      </w:pPr>
    </w:p>
    <w:p>
      <w:pPr>
        <w:ind w:left="900" w:right="280" w:hanging="446"/>
        <w:spacing w:after="0" w:line="253" w:lineRule="auto"/>
        <w:tabs>
          <w:tab w:leader="none" w:pos="9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38" w:lineRule="exact"/>
        <w:rPr>
          <w:sz w:val="20"/>
          <w:szCs w:val="20"/>
          <w:color w:val="auto"/>
        </w:rPr>
      </w:pPr>
    </w:p>
    <w:p>
      <w:pPr>
        <w:ind w:firstLine="685"/>
        <w:spacing w:after="0" w:line="297"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198" w:lineRule="exact"/>
        <w:rPr>
          <w:sz w:val="20"/>
          <w:szCs w:val="20"/>
          <w:color w:val="auto"/>
        </w:rPr>
      </w:pPr>
    </w:p>
    <w:p>
      <w:pPr>
        <w:ind w:right="20" w:firstLine="685"/>
        <w:spacing w:after="0" w:line="257"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148" w:lineRule="exact"/>
        <w:rPr>
          <w:sz w:val="20"/>
          <w:szCs w:val="20"/>
          <w:color w:val="auto"/>
        </w:rPr>
      </w:pPr>
    </w:p>
    <w:p>
      <w:pPr>
        <w:ind w:firstLine="685"/>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 Litigation settlements are accounted for in accordance with the gain contingency provisions of ASC 450-30.</w:t>
      </w:r>
    </w:p>
    <w:p>
      <w:pPr>
        <w:spacing w:after="0" w:line="127" w:lineRule="exact"/>
        <w:rPr>
          <w:sz w:val="20"/>
          <w:szCs w:val="20"/>
          <w:color w:val="auto"/>
        </w:rPr>
      </w:pPr>
    </w:p>
    <w:p>
      <w:pPr>
        <w:ind w:right="140" w:firstLine="685"/>
        <w:spacing w:after="0" w:line="279" w:lineRule="auto"/>
        <w:rPr>
          <w:sz w:val="20"/>
          <w:szCs w:val="20"/>
          <w:color w:val="auto"/>
        </w:rPr>
      </w:pPr>
      <w:r>
        <w:rPr>
          <w:rFonts w:ascii="Arial" w:cs="Arial" w:eastAsia="Arial" w:hAnsi="Arial"/>
          <w:sz w:val="17"/>
          <w:szCs w:val="17"/>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2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Income Taxes</w:t>
      </w:r>
    </w:p>
    <w:p>
      <w:pPr>
        <w:spacing w:after="0" w:line="198" w:lineRule="exact"/>
        <w:rPr>
          <w:sz w:val="20"/>
          <w:szCs w:val="20"/>
          <w:color w:val="auto"/>
        </w:rPr>
      </w:pPr>
    </w:p>
    <w:p>
      <w:pPr>
        <w:ind w:right="20" w:firstLine="685"/>
        <w:spacing w:after="0" w:line="272" w:lineRule="auto"/>
        <w:rPr>
          <w:sz w:val="20"/>
          <w:szCs w:val="20"/>
          <w:color w:val="auto"/>
        </w:rPr>
      </w:pPr>
      <w:r>
        <w:rPr>
          <w:rFonts w:ascii="Arial" w:cs="Arial" w:eastAsia="Arial" w:hAnsi="Arial"/>
          <w:sz w:val="17"/>
          <w:szCs w:val="17"/>
          <w:color w:val="auto"/>
        </w:rPr>
        <w:t>We have complied with the requirements of Subchapter M of the Code and expect to be treated as a RIC for federal income tax purposes. As a result, we account for income taxes using the asset and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federal income tax purposes, we typically do not incur any material level of federal income taxes. Although we are not subject to federal income taxes as a RIC, we may elect to retain a portion of our calendar year income, which may result in an excise tax. For the fiscal years ended September 30, 2016, 2015 and 2014, we had accrued an excise tax of zero, $0.4 million and $0.5 million, respectively.</w:t>
      </w:r>
    </w:p>
    <w:p>
      <w:pPr>
        <w:spacing w:after="0" w:line="137" w:lineRule="exact"/>
        <w:rPr>
          <w:sz w:val="20"/>
          <w:szCs w:val="20"/>
          <w:color w:val="auto"/>
        </w:rPr>
      </w:pPr>
    </w:p>
    <w:p>
      <w:pPr>
        <w:ind w:firstLine="685"/>
        <w:spacing w:after="0" w:line="259" w:lineRule="auto"/>
        <w:rPr>
          <w:sz w:val="20"/>
          <w:szCs w:val="20"/>
          <w:color w:val="auto"/>
        </w:rPr>
      </w:pPr>
      <w:r>
        <w:rPr>
          <w:rFonts w:ascii="Arial" w:cs="Arial" w:eastAsia="Arial" w:hAnsi="Arial"/>
          <w:sz w:val="18"/>
          <w:szCs w:val="18"/>
          <w:color w:val="auto"/>
        </w:rPr>
        <w:t>We recognize the effect of a tax position in our Consolidated Financial Statements when it is more likely than not, based on the technical merits, that the position will be sustained upon examination by the applicable tax authority. Tax benefits of positions not considered to satisfy the “more-likely-than-not” threshold would be recorded as a tax expense. We did not have any material uncertain tax positions or any unrecognized tax benefits that met the recognition or measurement criteria of ASC 740-10-25 as of the periods presented herein.</w:t>
      </w:r>
    </w:p>
    <w:p>
      <w:pPr>
        <w:spacing w:after="0" w:line="146" w:lineRule="exact"/>
        <w:rPr>
          <w:sz w:val="20"/>
          <w:szCs w:val="20"/>
          <w:color w:val="auto"/>
        </w:rPr>
      </w:pPr>
    </w:p>
    <w:p>
      <w:pPr>
        <w:ind w:right="160" w:firstLine="685"/>
        <w:spacing w:after="0" w:line="279" w:lineRule="auto"/>
        <w:rPr>
          <w:sz w:val="20"/>
          <w:szCs w:val="20"/>
          <w:color w:val="auto"/>
        </w:rPr>
      </w:pPr>
      <w:r>
        <w:rPr>
          <w:rFonts w:ascii="Arial" w:cs="Arial" w:eastAsia="Arial" w:hAnsi="Arial"/>
          <w:sz w:val="17"/>
          <w:szCs w:val="17"/>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Distributions and Capital Transactions</w:t>
      </w:r>
    </w:p>
    <w:p>
      <w:pPr>
        <w:spacing w:after="0" w:line="185" w:lineRule="exact"/>
        <w:rPr>
          <w:sz w:val="20"/>
          <w:szCs w:val="20"/>
          <w:color w:val="auto"/>
        </w:rPr>
      </w:pPr>
    </w:p>
    <w:p>
      <w:pPr>
        <w:ind w:right="20" w:firstLine="685"/>
        <w:spacing w:after="0" w:line="259" w:lineRule="auto"/>
        <w:rPr>
          <w:sz w:val="20"/>
          <w:szCs w:val="20"/>
          <w:color w:val="auto"/>
        </w:rPr>
      </w:pPr>
      <w:r>
        <w:rPr>
          <w:rFonts w:ascii="Arial" w:cs="Arial" w:eastAsia="Arial" w:hAnsi="Arial"/>
          <w:sz w:val="18"/>
          <w:szCs w:val="18"/>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146" w:lineRule="exact"/>
        <w:rPr>
          <w:sz w:val="20"/>
          <w:szCs w:val="20"/>
          <w:color w:val="auto"/>
        </w:rPr>
      </w:pPr>
    </w:p>
    <w:p>
      <w:pPr>
        <w:ind w:right="280" w:firstLine="685"/>
        <w:spacing w:after="0" w:line="277"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Foreign Currency Translation</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237" w:lineRule="exact"/>
        <w:rPr>
          <w:sz w:val="20"/>
          <w:szCs w:val="20"/>
          <w:color w:val="auto"/>
        </w:rPr>
      </w:pPr>
    </w:p>
    <w:p>
      <w:pPr>
        <w:ind w:left="1260" w:hanging="455"/>
        <w:spacing w:after="0"/>
        <w:tabs>
          <w:tab w:leader="none" w:pos="12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Fair value of investment securities, other assets and liabilities – at the exchange rates prevailing at the end of the applicable period; and</w:t>
      </w:r>
    </w:p>
    <w:p>
      <w:pPr>
        <w:spacing w:after="0" w:line="248" w:lineRule="exact"/>
        <w:rPr>
          <w:rFonts w:ascii="Arial" w:cs="Arial" w:eastAsia="Arial" w:hAnsi="Arial"/>
          <w:sz w:val="16"/>
          <w:szCs w:val="16"/>
          <w:color w:val="auto"/>
        </w:rPr>
      </w:pPr>
    </w:p>
    <w:p>
      <w:pPr>
        <w:ind w:left="1260" w:right="640" w:hanging="455"/>
        <w:spacing w:after="0" w:line="277" w:lineRule="auto"/>
        <w:tabs>
          <w:tab w:leader="none" w:pos="1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Purchases and sales of investment securities, income and expenses – at the exchange rates prevailing on the respective dates of such transactions.</w:t>
      </w:r>
    </w:p>
    <w:p>
      <w:pPr>
        <w:spacing w:after="0" w:line="130" w:lineRule="exact"/>
        <w:rPr>
          <w:sz w:val="20"/>
          <w:szCs w:val="20"/>
          <w:color w:val="auto"/>
        </w:rPr>
      </w:pPr>
    </w:p>
    <w:p>
      <w:pPr>
        <w:ind w:right="200" w:firstLine="685"/>
        <w:spacing w:after="0" w:line="288"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ind w:right="260" w:firstLine="685"/>
        <w:spacing w:after="0" w:line="254" w:lineRule="auto"/>
        <w:rPr>
          <w:sz w:val="20"/>
          <w:szCs w:val="20"/>
          <w:color w:val="auto"/>
        </w:rPr>
      </w:pPr>
      <w:r>
        <w:rPr>
          <w:rFonts w:ascii="Arial" w:cs="Arial" w:eastAsia="Arial" w:hAnsi="Arial"/>
          <w:sz w:val="18"/>
          <w:szCs w:val="18"/>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Consolidation</w:t>
      </w:r>
    </w:p>
    <w:p>
      <w:pPr>
        <w:spacing w:after="0" w:line="185" w:lineRule="exact"/>
        <w:rPr>
          <w:sz w:val="20"/>
          <w:szCs w:val="20"/>
          <w:color w:val="auto"/>
        </w:rPr>
      </w:pPr>
    </w:p>
    <w:p>
      <w:pPr>
        <w:ind w:right="80" w:firstLine="685"/>
        <w:spacing w:after="0" w:line="286" w:lineRule="auto"/>
        <w:rPr>
          <w:sz w:val="20"/>
          <w:szCs w:val="20"/>
          <w:color w:val="auto"/>
        </w:rPr>
      </w:pPr>
      <w:r>
        <w:rPr>
          <w:rFonts w:ascii="Arial" w:cs="Arial" w:eastAsia="Arial" w:hAnsi="Arial"/>
          <w:sz w:val="17"/>
          <w:szCs w:val="17"/>
          <w:color w:val="auto"/>
        </w:rPr>
        <w:t>As permitted under Regulation S-X and as explained by ASC 946-810-45, PennantPark Floating Rate Capital Ltd. will generally not consolidate its investment in a company other than an investment company subsidiary or a controlled operating company whose business consists of providing services to us. Accordingly, we have consolidated the results of our subsidiaries in our Consolidated Financial Statements.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Asset Transfers and Servicing</w:t>
      </w:r>
    </w:p>
    <w:p>
      <w:pPr>
        <w:spacing w:after="0" w:line="198" w:lineRule="exact"/>
        <w:rPr>
          <w:sz w:val="20"/>
          <w:szCs w:val="20"/>
          <w:color w:val="auto"/>
        </w:rPr>
      </w:pPr>
    </w:p>
    <w:p>
      <w:pPr>
        <w:ind w:right="20" w:firstLine="685"/>
        <w:spacing w:after="0" w:line="264" w:lineRule="auto"/>
        <w:rPr>
          <w:sz w:val="20"/>
          <w:szCs w:val="20"/>
          <w:color w:val="auto"/>
        </w:rPr>
      </w:pPr>
      <w:r>
        <w:rPr>
          <w:rFonts w:ascii="Arial" w:cs="Arial" w:eastAsia="Arial" w:hAnsi="Arial"/>
          <w:sz w:val="18"/>
          <w:szCs w:val="18"/>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its assets and such assets are not intended to be available to the creditors of PennantPark Floating Rate Capital Ltd. or any of its affiliates.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189" w:lineRule="exact"/>
        <w:rPr>
          <w:sz w:val="20"/>
          <w:szCs w:val="20"/>
          <w:color w:val="auto"/>
        </w:rPr>
      </w:pPr>
    </w:p>
    <w:p>
      <w:pPr>
        <w:ind w:right="100" w:firstLine="685"/>
        <w:spacing w:after="0" w:line="255" w:lineRule="auto"/>
        <w:rPr>
          <w:sz w:val="20"/>
          <w:szCs w:val="20"/>
          <w:color w:val="auto"/>
        </w:rPr>
      </w:pPr>
      <w:r>
        <w:rPr>
          <w:rFonts w:ascii="Arial" w:cs="Arial" w:eastAsia="Arial" w:hAnsi="Arial"/>
          <w:sz w:val="18"/>
          <w:szCs w:val="18"/>
          <w:color w:val="auto"/>
        </w:rPr>
        <w:t>The Investment Management Agreement with the Investment Adviser was reapproved by our board of directors, including a majority of our directors who are not interested persons of us or the Investment Advisers, in February 2016.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62" w:lineRule="exact"/>
        <w:rPr>
          <w:sz w:val="20"/>
          <w:szCs w:val="20"/>
          <w:color w:val="auto"/>
        </w:rPr>
      </w:pPr>
    </w:p>
    <w:p>
      <w:pPr>
        <w:ind w:firstLine="685"/>
        <w:spacing w:after="0" w:line="270" w:lineRule="auto"/>
        <w:rPr>
          <w:sz w:val="20"/>
          <w:szCs w:val="20"/>
          <w:color w:val="auto"/>
        </w:rPr>
      </w:pPr>
      <w:r>
        <w:rPr>
          <w:rFonts w:ascii="Arial" w:cs="Arial" w:eastAsia="Arial" w:hAnsi="Arial"/>
          <w:sz w:val="17"/>
          <w:szCs w:val="17"/>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2016, 2015 and 2014, the Investment Adviser earned a base management fee of $5.0 million, $3.6 million and $3.7 million, respectively, from us.</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incentive fee has two parts, as follows:</w:t>
      </w:r>
    </w:p>
    <w:p>
      <w:pPr>
        <w:spacing w:after="0" w:line="185" w:lineRule="exact"/>
        <w:rPr>
          <w:sz w:val="20"/>
          <w:szCs w:val="20"/>
          <w:color w:val="auto"/>
        </w:rPr>
      </w:pPr>
    </w:p>
    <w:p>
      <w:pPr>
        <w:ind w:right="20" w:firstLine="685"/>
        <w:spacing w:after="0" w:line="283"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w:t>
      </w:r>
    </w:p>
    <w:p>
      <w:pPr>
        <w:spacing w:after="0" w:line="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years ended September 30, 2016, 2015 and 2014, the Investment Adviser earned $3.7 million, $2.2 million and $2.6 million, respectively, in incentive fees on net investment income from us.</w:t>
      </w:r>
    </w:p>
    <w:p>
      <w:pPr>
        <w:spacing w:after="0" w:line="164" w:lineRule="exact"/>
        <w:rPr>
          <w:sz w:val="20"/>
          <w:szCs w:val="20"/>
          <w:color w:val="auto"/>
        </w:rPr>
      </w:pPr>
    </w:p>
    <w:p>
      <w:pPr>
        <w:ind w:right="120" w:firstLine="685"/>
        <w:spacing w:after="0" w:line="277"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and equals 20% of our realized capital gains, if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2016, 2015 and 2014 the Investment Adviser accrued an incentive fee on capital gains of approximately zero, $(0.4) million and $0.8 million, respectively, as calculated under the Investment Management Agreement (as described above).</w:t>
      </w:r>
    </w:p>
    <w:p>
      <w:pPr>
        <w:spacing w:after="0" w:line="160" w:lineRule="exact"/>
        <w:rPr>
          <w:sz w:val="20"/>
          <w:szCs w:val="20"/>
          <w:color w:val="auto"/>
        </w:rPr>
      </w:pPr>
    </w:p>
    <w:p>
      <w:pPr>
        <w:ind w:right="60" w:firstLine="685"/>
        <w:spacing w:after="0" w:line="283"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2016, 2015 and 2014 was $1.1 million, $(0.7) million and $0.1 million, respectively.</w:t>
      </w:r>
    </w:p>
    <w:p>
      <w:pPr>
        <w:spacing w:after="0" w:line="7" w:lineRule="exact"/>
        <w:rPr>
          <w:sz w:val="20"/>
          <w:szCs w:val="20"/>
          <w:color w:val="auto"/>
        </w:rPr>
      </w:pPr>
    </w:p>
    <w:p>
      <w:pPr>
        <w:ind w:right="40" w:firstLine="685"/>
        <w:spacing w:after="0" w:line="268" w:lineRule="auto"/>
        <w:rPr>
          <w:sz w:val="20"/>
          <w:szCs w:val="20"/>
          <w:color w:val="auto"/>
        </w:rPr>
      </w:pPr>
      <w:r>
        <w:rPr>
          <w:rFonts w:ascii="Arial" w:cs="Arial" w:eastAsia="Arial" w:hAnsi="Arial"/>
          <w:sz w:val="17"/>
          <w:szCs w:val="17"/>
          <w:color w:val="auto"/>
        </w:rPr>
        <w:t>The Administration Agreement with the Administrator was reapproved by our board of directors, including a majority of the directors who are not interested persons of us, in February 2016. Under the Administration Agreement, the Administrator provides administration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Statements of Operations. For the years ended September 30, 2016, 2015 and 2014, the Investment Adviser was reimbursed approximately $0.8 million, $0.5 million and $0.5 million, respectively, from us, including expenses the Investment Adviser incurred on behalf of the Administrator, for services described above.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202" w:lineRule="exact"/>
        <w:rPr>
          <w:sz w:val="20"/>
          <w:szCs w:val="20"/>
          <w:color w:val="auto"/>
        </w:rPr>
      </w:pPr>
    </w:p>
    <w:p>
      <w:pPr>
        <w:ind w:right="60" w:firstLine="685"/>
        <w:spacing w:after="0" w:line="342" w:lineRule="auto"/>
        <w:rPr>
          <w:sz w:val="20"/>
          <w:szCs w:val="20"/>
          <w:color w:val="auto"/>
        </w:rPr>
      </w:pPr>
      <w:r>
        <w:rPr>
          <w:rFonts w:ascii="Arial" w:cs="Arial" w:eastAsia="Arial" w:hAnsi="Arial"/>
          <w:sz w:val="16"/>
          <w:szCs w:val="16"/>
          <w:color w:val="auto"/>
        </w:rPr>
        <w:t>Purchases of investments, including PIK, for the years ended September 30, 2016, 2015 and 2014 totaled $364.6 million, $224.8 million and $248.8 million, respectively. Sales and repayments of investments for the same periods totaled $164.2 million, $195.0 million and $225.6 million, respectively.</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Investments and cash and cash equivalents consisted of the following:</w:t>
      </w: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September 30, 2016</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5"/>
          </w:tcPr>
          <w:p>
            <w:pPr>
              <w:ind w:left="600"/>
              <w:spacing w:after="0"/>
              <w:rPr>
                <w:sz w:val="20"/>
                <w:szCs w:val="20"/>
                <w:color w:val="auto"/>
              </w:rPr>
            </w:pPr>
            <w:r>
              <w:rPr>
                <w:rFonts w:ascii="Arial" w:cs="Arial" w:eastAsia="Arial" w:hAnsi="Arial"/>
                <w:sz w:val="14"/>
                <w:szCs w:val="14"/>
                <w:b w:val="1"/>
                <w:bCs w:val="1"/>
                <w:color w:val="auto"/>
              </w:rPr>
              <w:t>September 30, 2015</w:t>
            </w:r>
          </w:p>
        </w:tc>
        <w:tc>
          <w:tcPr>
            <w:tcW w:w="0" w:type="dxa"/>
            <w:vAlign w:val="bottom"/>
          </w:tcPr>
          <w:p>
            <w:pPr>
              <w:spacing w:after="0"/>
              <w:rPr>
                <w:sz w:val="1"/>
                <w:szCs w:val="1"/>
                <w:color w:val="auto"/>
              </w:rPr>
            </w:pPr>
          </w:p>
        </w:tc>
      </w:tr>
      <w:tr>
        <w:trPr>
          <w:trHeight w:val="142"/>
        </w:trPr>
        <w:tc>
          <w:tcPr>
            <w:tcW w:w="45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Cost</w:t>
            </w:r>
          </w:p>
        </w:tc>
        <w:tc>
          <w:tcPr>
            <w:tcW w:w="4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Cost</w:t>
            </w:r>
          </w:p>
        </w:tc>
        <w:tc>
          <w:tcPr>
            <w:tcW w:w="4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lien</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549,736,982</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548,410,095</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338,567,205</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334,957,341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Second lien</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38,404,428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36,596,692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47,630,500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47,902,800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3,228,083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3,160,372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8,634,195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Preferred equity / common equity / warrants</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6,540,774</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10,720,366</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2,506,407</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597,910,267</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598,887,525</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397,338,307</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391,311,890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28,903,359</w:t>
            </w: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28,910,973</w:t>
            </w: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21,428,514</w:t>
            </w: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21,428,514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cash and cash equivalents</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626,813,626</w:t>
            </w:r>
          </w:p>
        </w:tc>
        <w:tc>
          <w:tcPr>
            <w:tcW w:w="5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627,798,498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418,766,821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412,740,404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334"/>
              <w:spacing w:after="0"/>
              <w:rPr>
                <w:sz w:val="20"/>
                <w:szCs w:val="20"/>
                <w:color w:val="auto"/>
              </w:rPr>
            </w:pPr>
            <w:r>
              <w:rPr>
                <w:rFonts w:ascii="Arial" w:cs="Arial" w:eastAsia="Arial" w:hAnsi="Arial"/>
                <w:sz w:val="18"/>
                <w:szCs w:val="18"/>
                <w:color w:val="auto"/>
              </w:rPr>
              <w:t>F-19</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2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13" w:lineRule="exact"/>
        <w:rPr>
          <w:sz w:val="20"/>
          <w:szCs w:val="20"/>
          <w:color w:val="auto"/>
        </w:rPr>
      </w:pPr>
    </w:p>
    <w:p>
      <w:pPr>
        <w:ind w:firstLine="685"/>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160" w:type="dxa"/>
            <w:vAlign w:val="bottom"/>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1040" w:type="dxa"/>
            <w:vAlign w:val="bottom"/>
            <w:vMerge w:val="restart"/>
          </w:tcPr>
          <w:p>
            <w:pPr>
              <w:spacing w:after="0"/>
              <w:rPr>
                <w:sz w:val="14"/>
                <w:szCs w:val="14"/>
                <w:color w:val="auto"/>
              </w:rPr>
            </w:pPr>
          </w:p>
        </w:tc>
        <w:tc>
          <w:tcPr>
            <w:tcW w:w="20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7160" w:type="dxa"/>
            <w:vAlign w:val="bottom"/>
            <w:tcBorders>
              <w:bottom w:val="single" w:sz="8" w:color="auto"/>
            </w:tcBorders>
            <w:vMerge w:val="continue"/>
          </w:tcPr>
          <w:p>
            <w:pPr>
              <w:spacing w:after="0"/>
              <w:rPr>
                <w:sz w:val="12"/>
                <w:szCs w:val="12"/>
                <w:color w:val="auto"/>
              </w:rPr>
            </w:pPr>
          </w:p>
        </w:tc>
        <w:tc>
          <w:tcPr>
            <w:tcW w:w="1040" w:type="dxa"/>
            <w:vAlign w:val="bottom"/>
            <w:tcBorders>
              <w:bottom w:val="single" w:sz="8" w:color="CCEEFF"/>
            </w:tcBorders>
            <w:vMerge w:val="continue"/>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108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10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High Tech Industries</w:t>
            </w: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Consumer Goods: Durable</w:t>
            </w: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Capital Equipment</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0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Diversified and Production</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Retail</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Wholesale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Consumer Goods: Non-Durable</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Banking, Finance, Insurance and Real Estate</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Consumer Services</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Broadcasting and Subscription</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Automotive</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60" w:type="dxa"/>
            <w:vAlign w:val="bottom"/>
            <w:gridSpan w:val="2"/>
          </w:tcPr>
          <w:p>
            <w:pPr>
              <w:jc w:val="right"/>
              <w:ind w:right="940"/>
              <w:spacing w:after="0"/>
              <w:rPr>
                <w:sz w:val="20"/>
                <w:szCs w:val="20"/>
                <w:color w:val="auto"/>
              </w:rPr>
            </w:pPr>
            <w:r>
              <w:rPr>
                <w:rFonts w:ascii="Arial" w:cs="Arial" w:eastAsia="Arial" w:hAnsi="Arial"/>
                <w:sz w:val="18"/>
                <w:szCs w:val="18"/>
                <w:color w:val="auto"/>
              </w:rPr>
              <w:t>100%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97" w:lineRule="exact"/>
        <w:rPr>
          <w:sz w:val="20"/>
          <w:szCs w:val="20"/>
          <w:color w:val="auto"/>
        </w:rPr>
      </w:pPr>
    </w:p>
    <w:p>
      <w:pPr>
        <w:ind w:right="20" w:firstLine="685"/>
        <w:spacing w:after="0" w:line="293"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25" w:lineRule="exact"/>
        <w:rPr>
          <w:sz w:val="20"/>
          <w:szCs w:val="20"/>
          <w:color w:val="auto"/>
        </w:rPr>
      </w:pPr>
    </w:p>
    <w:p>
      <w:pPr>
        <w:ind w:left="1400" w:right="740" w:hanging="823"/>
        <w:spacing w:after="0" w:line="277" w:lineRule="auto"/>
        <w:tabs>
          <w:tab w:leader="none" w:pos="1380" w:val="left"/>
        </w:tabs>
        <w:rPr>
          <w:sz w:val="20"/>
          <w:szCs w:val="20"/>
          <w:color w:val="auto"/>
        </w:rPr>
      </w:pPr>
      <w:r>
        <w:rPr>
          <w:rFonts w:ascii="Arial" w:cs="Arial" w:eastAsia="Arial" w:hAnsi="Arial"/>
          <w:sz w:val="18"/>
          <w:szCs w:val="18"/>
          <w:color w:val="auto"/>
        </w:rPr>
        <w:t>Level 1:</w:t>
        <w:tab/>
        <w:t>Inputs that are quoted prices (unadjusted) in active markets for identical assets or liabilities, accessible by us at the measurement date.</w:t>
      </w:r>
    </w:p>
    <w:p>
      <w:pPr>
        <w:spacing w:after="0" w:line="62" w:lineRule="exact"/>
        <w:rPr>
          <w:sz w:val="20"/>
          <w:szCs w:val="20"/>
          <w:color w:val="auto"/>
        </w:rPr>
      </w:pPr>
    </w:p>
    <w:p>
      <w:pPr>
        <w:ind w:left="1400" w:right="580" w:hanging="823"/>
        <w:spacing w:after="0" w:line="264" w:lineRule="auto"/>
        <w:tabs>
          <w:tab w:leader="none" w:pos="1380" w:val="left"/>
        </w:tabs>
        <w:rPr>
          <w:sz w:val="20"/>
          <w:szCs w:val="20"/>
          <w:color w:val="auto"/>
        </w:rPr>
      </w:pPr>
      <w:r>
        <w:rPr>
          <w:rFonts w:ascii="Arial" w:cs="Arial" w:eastAsia="Arial" w:hAnsi="Arial"/>
          <w:sz w:val="18"/>
          <w:szCs w:val="18"/>
          <w:color w:val="auto"/>
        </w:rPr>
        <w:t>Level 2:</w:t>
        <w:tab/>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400" w:right="580" w:hanging="823"/>
        <w:spacing w:after="0" w:line="277" w:lineRule="auto"/>
        <w:tabs>
          <w:tab w:leader="none" w:pos="138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30" w:lineRule="exact"/>
        <w:rPr>
          <w:sz w:val="20"/>
          <w:szCs w:val="20"/>
          <w:color w:val="auto"/>
        </w:rPr>
      </w:pPr>
    </w:p>
    <w:p>
      <w:pPr>
        <w:ind w:right="240" w:firstLine="685"/>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2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13" w:lineRule="exact"/>
        <w:rPr>
          <w:sz w:val="20"/>
          <w:szCs w:val="20"/>
          <w:color w:val="auto"/>
        </w:rPr>
      </w:pPr>
    </w:p>
    <w:p>
      <w:pPr>
        <w:ind w:right="40" w:firstLine="685"/>
        <w:spacing w:after="0" w:line="273" w:lineRule="auto"/>
        <w:rPr>
          <w:sz w:val="20"/>
          <w:szCs w:val="20"/>
          <w:color w:val="auto"/>
        </w:rPr>
      </w:pPr>
      <w:r>
        <w:rPr>
          <w:rFonts w:ascii="Arial" w:cs="Arial" w:eastAsia="Arial" w:hAnsi="Arial"/>
          <w:sz w:val="17"/>
          <w:szCs w:val="17"/>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151" w:lineRule="exact"/>
        <w:rPr>
          <w:sz w:val="20"/>
          <w:szCs w:val="20"/>
          <w:color w:val="auto"/>
        </w:rPr>
      </w:pPr>
    </w:p>
    <w:p>
      <w:pPr>
        <w:ind w:right="80" w:firstLine="685"/>
        <w:spacing w:after="0" w:line="255" w:lineRule="auto"/>
        <w:rPr>
          <w:sz w:val="20"/>
          <w:szCs w:val="20"/>
          <w:color w:val="auto"/>
        </w:rPr>
      </w:pPr>
      <w:r>
        <w:rPr>
          <w:rFonts w:ascii="Arial" w:cs="Arial" w:eastAsia="Arial" w:hAnsi="Arial"/>
          <w:sz w:val="18"/>
          <w:szCs w:val="18"/>
          <w:color w:val="auto"/>
        </w:rPr>
        <w:t>Our investments are generally structured as Floating Rate Loans, mainly senior secured debt, but also may include second lien, high yield, mezzanine and distressed debt securities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53" w:lineRule="exact"/>
        <w:rPr>
          <w:sz w:val="20"/>
          <w:szCs w:val="20"/>
          <w:color w:val="auto"/>
        </w:rPr>
      </w:pPr>
    </w:p>
    <w:p>
      <w:pPr>
        <w:ind w:firstLine="685"/>
        <w:spacing w:after="0" w:line="257"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resulted in one reclassification from Level 2 to 1 and one reclassification from Level 3 to Level 2 during the year ended September 30, 2016. During the year ended September 30, 2015, there were two reclassifications from Level 2 to 3 and one reclassification from Level 3 to 2.</w:t>
      </w:r>
    </w:p>
    <w:p>
      <w:pPr>
        <w:spacing w:after="0" w:line="148" w:lineRule="exact"/>
        <w:rPr>
          <w:sz w:val="20"/>
          <w:szCs w:val="20"/>
          <w:color w:val="auto"/>
        </w:rPr>
      </w:pPr>
    </w:p>
    <w:p>
      <w:pPr>
        <w:ind w:right="180" w:firstLine="685"/>
        <w:spacing w:after="0" w:line="264"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 and 2(e).</w:t>
      </w:r>
    </w:p>
    <w:p>
      <w:pPr>
        <w:spacing w:after="0" w:line="154" w:lineRule="exact"/>
        <w:rPr>
          <w:sz w:val="20"/>
          <w:szCs w:val="20"/>
          <w:color w:val="auto"/>
        </w:rPr>
      </w:pPr>
    </w:p>
    <w:p>
      <w:pPr>
        <w:ind w:firstLine="685"/>
        <w:spacing w:after="0" w:line="276" w:lineRule="auto"/>
        <w:rPr>
          <w:sz w:val="20"/>
          <w:szCs w:val="20"/>
          <w:color w:val="auto"/>
        </w:rPr>
      </w:pPr>
      <w:r>
        <w:rPr>
          <w:rFonts w:ascii="Arial" w:cs="Arial" w:eastAsia="Arial" w:hAnsi="Arial"/>
          <w:sz w:val="17"/>
          <w:szCs w:val="17"/>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32" w:lineRule="exact"/>
        <w:rPr>
          <w:sz w:val="20"/>
          <w:szCs w:val="20"/>
          <w:color w:val="auto"/>
        </w:rPr>
      </w:pPr>
    </w:p>
    <w:p>
      <w:pPr>
        <w:ind w:right="20" w:firstLine="685"/>
        <w:spacing w:after="0" w:line="288" w:lineRule="auto"/>
        <w:rPr>
          <w:sz w:val="20"/>
          <w:szCs w:val="20"/>
          <w:color w:val="auto"/>
        </w:rPr>
      </w:pPr>
      <w:r>
        <w:rPr>
          <w:rFonts w:ascii="Arial" w:cs="Arial" w:eastAsia="Arial" w:hAnsi="Arial"/>
          <w:sz w:val="16"/>
          <w:szCs w:val="16"/>
          <w:color w:val="auto"/>
        </w:rPr>
        <w:t>The remainder of our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Level 3 valuation techniques, unobservable inputs and ranges were categorized as follows for ASC 820 purposes: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14"/>
                <w:szCs w:val="1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Fair Value as of</w:t>
            </w:r>
          </w:p>
        </w:tc>
        <w:tc>
          <w:tcPr>
            <w:tcW w:w="260" w:type="dxa"/>
            <w:vAlign w:val="bottom"/>
          </w:tcPr>
          <w:p>
            <w:pPr>
              <w:spacing w:after="0"/>
              <w:rPr>
                <w:sz w:val="14"/>
                <w:szCs w:val="14"/>
                <w:color w:val="auto"/>
              </w:rPr>
            </w:pPr>
          </w:p>
        </w:tc>
        <w:tc>
          <w:tcPr>
            <w:tcW w:w="1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Valuation Technique</w:t>
            </w:r>
          </w:p>
        </w:tc>
        <w:tc>
          <w:tcPr>
            <w:tcW w:w="1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Unobservable Input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43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 2016</w:t>
            </w:r>
          </w:p>
        </w:tc>
        <w:tc>
          <w:tcPr>
            <w:tcW w:w="26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96"/>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Debt investments</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273,399,858</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Market Comparable</w:t>
            </w:r>
          </w:p>
        </w:tc>
        <w:tc>
          <w:tcPr>
            <w:tcW w:w="22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Broker/Dealer bid quotes</w:t>
            </w:r>
          </w:p>
        </w:tc>
        <w:tc>
          <w:tcPr>
            <w:tcW w:w="2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rPr>
                <w:sz w:val="20"/>
                <w:szCs w:val="20"/>
                <w:color w:val="auto"/>
              </w:rPr>
            </w:pPr>
            <w:r>
              <w:rPr>
                <w:rFonts w:ascii="Arial" w:cs="Arial" w:eastAsia="Arial" w:hAnsi="Arial"/>
                <w:sz w:val="16"/>
                <w:szCs w:val="16"/>
                <w:color w:val="auto"/>
              </w:rPr>
              <w:t>Debt investments</w:t>
            </w:r>
          </w:p>
        </w:tc>
        <w:tc>
          <w:tcPr>
            <w:tcW w:w="160" w:type="dxa"/>
            <w:vAlign w:val="bottom"/>
          </w:tcPr>
          <w:p>
            <w:pPr>
              <w:spacing w:after="0"/>
              <w:rPr>
                <w:sz w:val="16"/>
                <w:szCs w:val="16"/>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314,767,301</w:t>
            </w:r>
          </w:p>
        </w:tc>
        <w:tc>
          <w:tcPr>
            <w:tcW w:w="260" w:type="dxa"/>
            <w:vAlign w:val="bottom"/>
          </w:tcPr>
          <w:p>
            <w:pPr>
              <w:spacing w:after="0"/>
              <w:rPr>
                <w:sz w:val="16"/>
                <w:szCs w:val="16"/>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196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Market Yield</w:t>
            </w: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5.3% – 16.5%</w:t>
            </w:r>
          </w:p>
        </w:tc>
        <w:tc>
          <w:tcPr>
            <w:tcW w:w="0" w:type="dxa"/>
            <w:vAlign w:val="bottom"/>
          </w:tcPr>
          <w:p>
            <w:pPr>
              <w:spacing w:after="0"/>
              <w:rPr>
                <w:sz w:val="1"/>
                <w:szCs w:val="1"/>
                <w:color w:val="auto"/>
              </w:rPr>
            </w:pPr>
          </w:p>
        </w:tc>
      </w:tr>
      <w:tr>
        <w:trPr>
          <w:trHeight w:val="206"/>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7"/>
              </w:rPr>
              <w:t>(8.9%)</w:t>
            </w:r>
          </w:p>
        </w:tc>
        <w:tc>
          <w:tcPr>
            <w:tcW w:w="0" w:type="dxa"/>
            <w:vAlign w:val="bottom"/>
          </w:tcPr>
          <w:p>
            <w:pPr>
              <w:spacing w:after="0"/>
              <w:rPr>
                <w:sz w:val="1"/>
                <w:szCs w:val="1"/>
                <w:color w:val="auto"/>
              </w:rPr>
            </w:pPr>
          </w:p>
        </w:tc>
      </w:tr>
      <w:tr>
        <w:trPr>
          <w:trHeight w:val="199"/>
        </w:trPr>
        <w:tc>
          <w:tcPr>
            <w:tcW w:w="4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investments</w:t>
            </w:r>
          </w:p>
        </w:tc>
        <w:tc>
          <w:tcPr>
            <w:tcW w:w="1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7,655,677</w:t>
            </w:r>
          </w:p>
        </w:tc>
        <w:tc>
          <w:tcPr>
            <w:tcW w:w="26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Enterprise Market Value</w:t>
            </w:r>
          </w:p>
        </w:tc>
        <w:tc>
          <w:tcPr>
            <w:tcW w:w="196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rPr>
              <w:t>EBITDA multiple</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4.3x – 9.0x</w:t>
            </w: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(7.2x)</w:t>
            </w:r>
          </w:p>
        </w:tc>
        <w:tc>
          <w:tcPr>
            <w:tcW w:w="0" w:type="dxa"/>
            <w:vAlign w:val="bottom"/>
          </w:tcPr>
          <w:p>
            <w:pPr>
              <w:spacing w:after="0"/>
              <w:rPr>
                <w:sz w:val="1"/>
                <w:szCs w:val="1"/>
                <w:color w:val="auto"/>
              </w:rPr>
            </w:pPr>
          </w:p>
        </w:tc>
      </w:tr>
      <w:tr>
        <w:trPr>
          <w:trHeight w:val="207"/>
        </w:trPr>
        <w:tc>
          <w:tcPr>
            <w:tcW w:w="4320" w:type="dxa"/>
            <w:vAlign w:val="bottom"/>
            <w:gridSpan w:val="2"/>
          </w:tcPr>
          <w:p>
            <w:pPr>
              <w:ind w:left="180"/>
              <w:spacing w:after="0"/>
              <w:rPr>
                <w:sz w:val="20"/>
                <w:szCs w:val="20"/>
                <w:color w:val="auto"/>
              </w:rPr>
            </w:pPr>
            <w:r>
              <w:rPr>
                <w:rFonts w:ascii="Arial" w:cs="Arial" w:eastAsia="Arial" w:hAnsi="Arial"/>
                <w:sz w:val="16"/>
                <w:szCs w:val="16"/>
                <w:color w:val="auto"/>
              </w:rPr>
              <w:t>Total Level 3 investments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595,822,836</w:t>
            </w: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Credit Facility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232,389,498</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196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6"/>
              </w:rPr>
              <w:t>Market Yield</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24"/>
                <w:szCs w:val="2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Fair Value as of</w:t>
            </w:r>
          </w:p>
        </w:tc>
        <w:tc>
          <w:tcPr>
            <w:tcW w:w="260" w:type="dxa"/>
            <w:vAlign w:val="bottom"/>
          </w:tcPr>
          <w:p>
            <w:pPr>
              <w:spacing w:after="0"/>
              <w:rPr>
                <w:sz w:val="24"/>
                <w:szCs w:val="24"/>
                <w:color w:val="auto"/>
              </w:rPr>
            </w:pPr>
          </w:p>
        </w:tc>
        <w:tc>
          <w:tcPr>
            <w:tcW w:w="1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Valuation Technique</w:t>
            </w:r>
          </w:p>
        </w:tc>
        <w:tc>
          <w:tcPr>
            <w:tcW w:w="1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Unobservable Input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43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 2015</w:t>
            </w:r>
          </w:p>
        </w:tc>
        <w:tc>
          <w:tcPr>
            <w:tcW w:w="26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96"/>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Debt investments</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259,566,475</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Market Comparable</w:t>
            </w:r>
          </w:p>
        </w:tc>
        <w:tc>
          <w:tcPr>
            <w:tcW w:w="22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Broker/Dealer bid quotes</w:t>
            </w:r>
          </w:p>
        </w:tc>
        <w:tc>
          <w:tcPr>
            <w:tcW w:w="2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rPr>
                <w:sz w:val="20"/>
                <w:szCs w:val="20"/>
                <w:color w:val="auto"/>
              </w:rPr>
            </w:pPr>
            <w:r>
              <w:rPr>
                <w:rFonts w:ascii="Arial" w:cs="Arial" w:eastAsia="Arial" w:hAnsi="Arial"/>
                <w:sz w:val="16"/>
                <w:szCs w:val="16"/>
                <w:color w:val="auto"/>
              </w:rPr>
              <w:t>Debt investments</w:t>
            </w:r>
          </w:p>
        </w:tc>
        <w:tc>
          <w:tcPr>
            <w:tcW w:w="160" w:type="dxa"/>
            <w:vAlign w:val="bottom"/>
          </w:tcPr>
          <w:p>
            <w:pPr>
              <w:spacing w:after="0"/>
              <w:rPr>
                <w:sz w:val="16"/>
                <w:szCs w:val="16"/>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128,895,910</w:t>
            </w:r>
          </w:p>
        </w:tc>
        <w:tc>
          <w:tcPr>
            <w:tcW w:w="260" w:type="dxa"/>
            <w:vAlign w:val="bottom"/>
          </w:tcPr>
          <w:p>
            <w:pPr>
              <w:spacing w:after="0"/>
              <w:rPr>
                <w:sz w:val="16"/>
                <w:szCs w:val="16"/>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196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Market Yield</w:t>
            </w: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5.5% – 34.7%</w:t>
            </w:r>
          </w:p>
        </w:tc>
        <w:tc>
          <w:tcPr>
            <w:tcW w:w="0" w:type="dxa"/>
            <w:vAlign w:val="bottom"/>
          </w:tcPr>
          <w:p>
            <w:pPr>
              <w:spacing w:after="0"/>
              <w:rPr>
                <w:sz w:val="1"/>
                <w:szCs w:val="1"/>
                <w:color w:val="auto"/>
              </w:rPr>
            </w:pPr>
          </w:p>
        </w:tc>
      </w:tr>
      <w:tr>
        <w:trPr>
          <w:trHeight w:val="206"/>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6"/>
              </w:rPr>
              <w:t>(10.6%)</w:t>
            </w:r>
          </w:p>
        </w:tc>
        <w:tc>
          <w:tcPr>
            <w:tcW w:w="0" w:type="dxa"/>
            <w:vAlign w:val="bottom"/>
          </w:tcPr>
          <w:p>
            <w:pPr>
              <w:spacing w:after="0"/>
              <w:rPr>
                <w:sz w:val="1"/>
                <w:szCs w:val="1"/>
                <w:color w:val="auto"/>
              </w:rPr>
            </w:pPr>
          </w:p>
        </w:tc>
      </w:tr>
      <w:tr>
        <w:trPr>
          <w:trHeight w:val="209"/>
        </w:trPr>
        <w:tc>
          <w:tcPr>
            <w:tcW w:w="4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investments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313,941</w:t>
            </w:r>
          </w:p>
        </w:tc>
        <w:tc>
          <w:tcPr>
            <w:tcW w:w="2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196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1"/>
              </w:rPr>
              <w:t>Broker/Dealer bid quotes</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rPr>
                <w:sz w:val="20"/>
                <w:szCs w:val="20"/>
                <w:color w:val="auto"/>
              </w:rPr>
            </w:pPr>
            <w:r>
              <w:rPr>
                <w:rFonts w:ascii="Arial" w:cs="Arial" w:eastAsia="Arial" w:hAnsi="Arial"/>
                <w:sz w:val="16"/>
                <w:szCs w:val="16"/>
                <w:color w:val="auto"/>
              </w:rPr>
              <w:t>Equity investments</w:t>
            </w:r>
          </w:p>
        </w:tc>
        <w:tc>
          <w:tcPr>
            <w:tcW w:w="160" w:type="dxa"/>
            <w:vAlign w:val="bottom"/>
          </w:tcPr>
          <w:p>
            <w:pPr>
              <w:spacing w:after="0"/>
              <w:rPr>
                <w:sz w:val="16"/>
                <w:szCs w:val="16"/>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2,344,955</w:t>
            </w:r>
          </w:p>
        </w:tc>
        <w:tc>
          <w:tcPr>
            <w:tcW w:w="260" w:type="dxa"/>
            <w:vAlign w:val="bottom"/>
          </w:tcPr>
          <w:p>
            <w:pPr>
              <w:spacing w:after="0"/>
              <w:rPr>
                <w:sz w:val="16"/>
                <w:szCs w:val="16"/>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Enterprise Market Value</w:t>
            </w:r>
          </w:p>
        </w:tc>
        <w:tc>
          <w:tcPr>
            <w:tcW w:w="1960" w:type="dxa"/>
            <w:vAlign w:val="bottom"/>
            <w:gridSpan w:val="2"/>
          </w:tcPr>
          <w:p>
            <w:pPr>
              <w:jc w:val="center"/>
              <w:ind w:right="220"/>
              <w:spacing w:after="0"/>
              <w:rPr>
                <w:sz w:val="20"/>
                <w:szCs w:val="20"/>
                <w:color w:val="auto"/>
              </w:rPr>
            </w:pPr>
            <w:r>
              <w:rPr>
                <w:rFonts w:ascii="Arial" w:cs="Arial" w:eastAsia="Arial" w:hAnsi="Arial"/>
                <w:sz w:val="16"/>
                <w:szCs w:val="16"/>
                <w:color w:val="auto"/>
              </w:rPr>
              <w:t>EBITDA multiple</w:t>
            </w:r>
          </w:p>
        </w:tc>
        <w:tc>
          <w:tcPr>
            <w:tcW w:w="1300" w:type="dxa"/>
            <w:vAlign w:val="bottom"/>
          </w:tcPr>
          <w:p>
            <w:pPr>
              <w:jc w:val="center"/>
              <w:spacing w:after="0"/>
              <w:rPr>
                <w:sz w:val="20"/>
                <w:szCs w:val="20"/>
                <w:color w:val="auto"/>
              </w:rPr>
            </w:pPr>
            <w:r>
              <w:rPr>
                <w:rFonts w:ascii="Arial" w:cs="Arial" w:eastAsia="Arial" w:hAnsi="Arial"/>
                <w:sz w:val="16"/>
                <w:szCs w:val="16"/>
                <w:color w:val="auto"/>
                <w:w w:val="94"/>
              </w:rPr>
              <w:t>6.0x – 10.5x</w:t>
            </w:r>
          </w:p>
        </w:tc>
        <w:tc>
          <w:tcPr>
            <w:tcW w:w="0" w:type="dxa"/>
            <w:vAlign w:val="bottom"/>
          </w:tcPr>
          <w:p>
            <w:pPr>
              <w:spacing w:after="0"/>
              <w:rPr>
                <w:sz w:val="1"/>
                <w:szCs w:val="1"/>
                <w:color w:val="auto"/>
              </w:rPr>
            </w:pPr>
          </w:p>
        </w:tc>
      </w:tr>
      <w:tr>
        <w:trPr>
          <w:trHeight w:val="219"/>
        </w:trPr>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(7.6x)</w:t>
            </w:r>
          </w:p>
        </w:tc>
        <w:tc>
          <w:tcPr>
            <w:tcW w:w="0" w:type="dxa"/>
            <w:vAlign w:val="bottom"/>
          </w:tcPr>
          <w:p>
            <w:pPr>
              <w:spacing w:after="0"/>
              <w:rPr>
                <w:sz w:val="1"/>
                <w:szCs w:val="1"/>
                <w:color w:val="auto"/>
              </w:rPr>
            </w:pPr>
          </w:p>
        </w:tc>
      </w:tr>
      <w:tr>
        <w:trPr>
          <w:trHeight w:val="203"/>
        </w:trPr>
        <w:tc>
          <w:tcPr>
            <w:tcW w:w="43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 Level 3 investments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391,121,281</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6"/>
                <w:szCs w:val="16"/>
                <w:color w:val="auto"/>
              </w:rPr>
              <w:t>Long-Term Credit Facility</w:t>
            </w: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gridSpan w:val="2"/>
            <w:vMerge w:val="restart"/>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1960" w:type="dxa"/>
            <w:vAlign w:val="bottom"/>
            <w:gridSpan w:val="2"/>
            <w:vMerge w:val="restart"/>
          </w:tcPr>
          <w:p>
            <w:pPr>
              <w:jc w:val="center"/>
              <w:ind w:right="220"/>
              <w:spacing w:after="0"/>
              <w:rPr>
                <w:sz w:val="20"/>
                <w:szCs w:val="20"/>
                <w:color w:val="auto"/>
              </w:rPr>
            </w:pPr>
            <w:r>
              <w:rPr>
                <w:rFonts w:ascii="Arial" w:cs="Arial" w:eastAsia="Arial" w:hAnsi="Arial"/>
                <w:sz w:val="16"/>
                <w:szCs w:val="16"/>
                <w:color w:val="auto"/>
                <w:w w:val="96"/>
              </w:rPr>
              <w:t>Market Yield</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3"/>
              </w:rPr>
              <w:t>2.9%</w:t>
            </w:r>
          </w:p>
        </w:tc>
        <w:tc>
          <w:tcPr>
            <w:tcW w:w="0" w:type="dxa"/>
            <w:vAlign w:val="bottom"/>
          </w:tcPr>
          <w:p>
            <w:pPr>
              <w:spacing w:after="0" w:line="20" w:lineRule="exact"/>
              <w:rPr>
                <w:sz w:val="1"/>
                <w:szCs w:val="1"/>
                <w:color w:val="auto"/>
              </w:rPr>
            </w:pPr>
          </w:p>
        </w:tc>
      </w:tr>
      <w:tr>
        <w:trPr>
          <w:trHeight w:val="194"/>
        </w:trPr>
        <w:tc>
          <w:tcPr>
            <w:tcW w:w="4320" w:type="dxa"/>
            <w:vAlign w:val="bottom"/>
            <w:gridSpan w:val="2"/>
            <w:vMerge w:val="continue"/>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29,600,000</w:t>
            </w:r>
          </w:p>
        </w:tc>
        <w:tc>
          <w:tcPr>
            <w:tcW w:w="260" w:type="dxa"/>
            <w:vAlign w:val="bottom"/>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investments, cash and cash equivalents and Credit Facility were categorized as follows in the fair value hierarchy for ASC 820 purposes: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Fair Value at September 30, 2016</w:t>
            </w: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2"/>
                <w:szCs w:val="12"/>
                <w:color w:val="auto"/>
              </w:rPr>
            </w:pPr>
          </w:p>
        </w:tc>
        <w:tc>
          <w:tcPr>
            <w:tcW w:w="114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ind w:right="320"/>
              <w:spacing w:after="0" w:line="142" w:lineRule="exact"/>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jc w:val="right"/>
              <w:ind w:right="46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Debt investments (First lien)</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548,410,095</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548,410,095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Debt investments (Second lien)</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36,596,692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36,596,692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Debt investments (Subordinated debt / corporate notes)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3,160,372</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3,160,372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Equity investments</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10,720,366</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106,922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2,957,767</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7,655,677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investments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598,887,525</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106,922</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2,957,767</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595,822,836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28,910,973</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28,910,973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investments, cash and cash equivalents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627,798,498</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29,017,895</w:t>
            </w:r>
          </w:p>
        </w:tc>
        <w:tc>
          <w:tcPr>
            <w:tcW w:w="38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2,957,767</w:t>
            </w:r>
          </w:p>
        </w:tc>
        <w:tc>
          <w:tcPr>
            <w:tcW w:w="620" w:type="dxa"/>
            <w:vAlign w:val="bottom"/>
            <w:gridSpan w:val="2"/>
            <w:shd w:val="clear" w:color="auto" w:fill="CCEEFF"/>
          </w:tcPr>
          <w:p>
            <w:pPr>
              <w:jc w:val="right"/>
              <w:ind w:right="164"/>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595,822,836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6"/>
                <w:szCs w:val="16"/>
                <w:color w:val="auto"/>
              </w:rPr>
              <w:t>Long-Term Credit Facility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120" w:type="dxa"/>
            <w:vAlign w:val="bottom"/>
            <w:gridSpan w:val="2"/>
            <w:vMerge w:val="continue"/>
          </w:tcPr>
          <w:p>
            <w:pPr>
              <w:spacing w:after="0"/>
              <w:rPr>
                <w:sz w:val="16"/>
                <w:szCs w:val="16"/>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232,389,498</w:t>
            </w:r>
          </w:p>
        </w:tc>
        <w:tc>
          <w:tcPr>
            <w:tcW w:w="30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64"/>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232,389,498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Fair Value at September 30, 2015</w:t>
            </w: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2"/>
                <w:szCs w:val="12"/>
                <w:color w:val="auto"/>
              </w:rPr>
            </w:pPr>
          </w:p>
        </w:tc>
        <w:tc>
          <w:tcPr>
            <w:tcW w:w="114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ind w:right="320"/>
              <w:spacing w:after="0" w:line="142" w:lineRule="exact"/>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jc w:val="right"/>
              <w:ind w:right="46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Debt investments (First lien)</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334,957,341</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334,957,341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Debt investments (Second lien)</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47,902,800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47,902,800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Debt investments (Subordinated debt / corporate notes)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5,602,244</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5,602,244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Equity investments</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2,849,505</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190,609</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2,658,896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investments</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391,311,890</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190,609</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391,121,281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6"/>
                <w:szCs w:val="16"/>
                <w:color w:val="auto"/>
              </w:rPr>
              <w:t>Cash equivalents</w:t>
            </w: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21,428,514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21,428,514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investments, cash and cash equivalents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412,740,404</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21,428,514</w:t>
            </w:r>
          </w:p>
        </w:tc>
        <w:tc>
          <w:tcPr>
            <w:tcW w:w="38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190,609</w:t>
            </w:r>
          </w:p>
        </w:tc>
        <w:tc>
          <w:tcPr>
            <w:tcW w:w="620" w:type="dxa"/>
            <w:vAlign w:val="bottom"/>
            <w:gridSpan w:val="2"/>
            <w:shd w:val="clear" w:color="auto" w:fill="CCEEFF"/>
          </w:tcPr>
          <w:p>
            <w:pPr>
              <w:jc w:val="right"/>
              <w:ind w:right="164"/>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391,121,281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6"/>
                <w:szCs w:val="16"/>
                <w:color w:val="auto"/>
              </w:rPr>
              <w:t>Long-Term Credit Facility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120" w:type="dxa"/>
            <w:vAlign w:val="bottom"/>
            <w:gridSpan w:val="2"/>
            <w:vMerge w:val="continue"/>
          </w:tcPr>
          <w:p>
            <w:pPr>
              <w:spacing w:after="0"/>
              <w:rPr>
                <w:sz w:val="16"/>
                <w:szCs w:val="16"/>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29,600,000</w:t>
            </w:r>
          </w:p>
        </w:tc>
        <w:tc>
          <w:tcPr>
            <w:tcW w:w="30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64"/>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29,600,000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 (Continued) SEPTEMBER 30, 2016</w:t>
      </w:r>
    </w:p>
    <w:p>
      <w:pPr>
        <w:spacing w:after="0" w:line="113" w:lineRule="exact"/>
        <w:rPr>
          <w:sz w:val="20"/>
          <w:szCs w:val="20"/>
          <w:color w:val="auto"/>
        </w:rPr>
      </w:pPr>
    </w:p>
    <w:p>
      <w:pPr>
        <w:ind w:right="220" w:firstLine="685"/>
        <w:spacing w:after="0" w:line="277" w:lineRule="auto"/>
        <w:rPr>
          <w:sz w:val="20"/>
          <w:szCs w:val="20"/>
          <w:color w:val="auto"/>
        </w:rPr>
      </w:pPr>
      <w:r>
        <w:rPr>
          <w:rFonts w:ascii="Arial" w:cs="Arial" w:eastAsia="Arial" w:hAnsi="Arial"/>
          <w:sz w:val="18"/>
          <w:szCs w:val="18"/>
          <w:color w:val="auto"/>
        </w:rPr>
        <w:t>The tables below show a reconciliation of the beginning and ending balances for fair valued investments measured using significant unobservable inputs (Level 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8"/>
          </w:tcPr>
          <w:p>
            <w:pPr>
              <w:jc w:val="center"/>
              <w:ind w:left="741"/>
              <w:spacing w:after="0"/>
              <w:rPr>
                <w:sz w:val="20"/>
                <w:szCs w:val="20"/>
                <w:color w:val="auto"/>
              </w:rPr>
            </w:pPr>
            <w:r>
              <w:rPr>
                <w:rFonts w:ascii="Arial" w:cs="Arial" w:eastAsia="Arial" w:hAnsi="Arial"/>
                <w:sz w:val="14"/>
                <w:szCs w:val="14"/>
                <w:b w:val="1"/>
                <w:bCs w:val="1"/>
                <w:color w:val="auto"/>
                <w:w w:val="92"/>
              </w:rPr>
              <w:t>Year Ended September 30, 2016</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3"/>
              </w:rPr>
              <w:t>Second lien,</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subordinated</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First Lien</w:t>
            </w: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debt and equity</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70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334,957,341</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56,163,940</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391,121,281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Net realized gains (losses)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744,464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(2,223,584)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(1,479,120)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Net unrealized appreciation</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2,282,976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4,804,379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7,087,355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Purchases, PIK, net discount accretion and non-cash exchanges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357,140,895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9,088,987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366,229,882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Sales, repayments and non-cash exchanges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(146,715,581)</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(17,463,214)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(164,178,795)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Transfers in and/or out of Level 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(2,957,767)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(2,957,767)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548,410,095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47,412,741</w:t>
            </w:r>
          </w:p>
        </w:tc>
        <w:tc>
          <w:tcPr>
            <w:tcW w:w="1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595,822,836</w:t>
            </w:r>
          </w:p>
        </w:tc>
        <w:tc>
          <w:tcPr>
            <w:tcW w:w="0" w:type="dxa"/>
            <w:vAlign w:val="bottom"/>
          </w:tcPr>
          <w:p>
            <w:pPr>
              <w:spacing w:after="0"/>
              <w:rPr>
                <w:sz w:val="1"/>
                <w:szCs w:val="1"/>
                <w:color w:val="auto"/>
              </w:rPr>
            </w:pPr>
          </w:p>
        </w:tc>
      </w:tr>
      <w:tr>
        <w:trPr>
          <w:trHeight w:val="20"/>
        </w:trPr>
        <w:tc>
          <w:tcPr>
            <w:tcW w:w="7080" w:type="dxa"/>
            <w:vAlign w:val="bottom"/>
            <w:gridSpan w:val="3"/>
            <w:vMerge w:val="restart"/>
          </w:tcPr>
          <w:p>
            <w:pPr>
              <w:spacing w:after="0"/>
              <w:rPr>
                <w:sz w:val="20"/>
                <w:szCs w:val="20"/>
                <w:color w:val="auto"/>
              </w:rPr>
            </w:pPr>
            <w:r>
              <w:rPr>
                <w:rFonts w:ascii="Arial" w:cs="Arial" w:eastAsia="Arial" w:hAnsi="Arial"/>
                <w:sz w:val="16"/>
                <w:szCs w:val="16"/>
                <w:color w:val="auto"/>
              </w:rPr>
              <w:t>Net change in unrealized appreciation (depreciation) reported within the net change in unrealized</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0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tcPr>
          <w:p>
            <w:pPr>
              <w:ind w:left="160"/>
              <w:spacing w:after="0"/>
              <w:rPr>
                <w:sz w:val="20"/>
                <w:szCs w:val="20"/>
                <w:color w:val="auto"/>
              </w:rPr>
            </w:pPr>
            <w:r>
              <w:rPr>
                <w:rFonts w:ascii="Arial" w:cs="Arial" w:eastAsia="Arial" w:hAnsi="Arial"/>
                <w:sz w:val="16"/>
                <w:szCs w:val="16"/>
                <w:color w:val="auto"/>
                <w:w w:val="96"/>
              </w:rPr>
              <w:t>appreciation on investments in our Consolidated Statements of Operations attributable to our Level 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gridSpan w:val="2"/>
          </w:tcPr>
          <w:p>
            <w:pPr>
              <w:ind w:left="160"/>
              <w:spacing w:after="0"/>
              <w:rPr>
                <w:sz w:val="20"/>
                <w:szCs w:val="20"/>
                <w:color w:val="auto"/>
              </w:rPr>
            </w:pPr>
            <w:r>
              <w:rPr>
                <w:rFonts w:ascii="Arial" w:cs="Arial" w:eastAsia="Arial" w:hAnsi="Arial"/>
                <w:sz w:val="16"/>
                <w:szCs w:val="16"/>
                <w:color w:val="auto"/>
              </w:rPr>
              <w:t>assets still held at the reporting date.</w:t>
            </w:r>
          </w:p>
        </w:tc>
        <w:tc>
          <w:tcPr>
            <w:tcW w:w="200" w:type="dxa"/>
            <w:vAlign w:val="bottom"/>
            <w:gridSpan w:val="2"/>
          </w:tcPr>
          <w:p>
            <w:pPr>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2,617,111</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(693,738)</w:t>
            </w:r>
          </w:p>
        </w:tc>
        <w:tc>
          <w:tcPr>
            <w:tcW w:w="3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1,923,373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8"/>
          </w:tcPr>
          <w:p>
            <w:pPr>
              <w:jc w:val="center"/>
              <w:ind w:left="741"/>
              <w:spacing w:after="0"/>
              <w:rPr>
                <w:sz w:val="20"/>
                <w:szCs w:val="20"/>
                <w:color w:val="auto"/>
              </w:rPr>
            </w:pPr>
            <w:r>
              <w:rPr>
                <w:rFonts w:ascii="Arial" w:cs="Arial" w:eastAsia="Arial" w:hAnsi="Arial"/>
                <w:sz w:val="14"/>
                <w:szCs w:val="14"/>
                <w:b w:val="1"/>
                <w:bCs w:val="1"/>
                <w:color w:val="auto"/>
                <w:w w:val="92"/>
              </w:rPr>
              <w:t>Year Ended September 30, 2015</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3"/>
              </w:rPr>
              <w:t>Second lien,</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subordinated</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First Lien</w:t>
            </w: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debt and equity</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70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302,565,355</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40,707,230</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343,272,585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Net realized (losses) gains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6"/>
                <w:szCs w:val="16"/>
                <w:color w:val="auto"/>
              </w:rPr>
              <w:t>(175,862)</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667,008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491,146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Net unrealized depreciation</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(3,286,024)</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(2,397,090)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(5,683,114)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tcPr>
          <w:p>
            <w:pPr>
              <w:ind w:left="320"/>
              <w:spacing w:after="0" w:line="202" w:lineRule="exact"/>
              <w:rPr>
                <w:sz w:val="20"/>
                <w:szCs w:val="20"/>
                <w:color w:val="auto"/>
              </w:rPr>
            </w:pPr>
            <w:r>
              <w:rPr>
                <w:rFonts w:ascii="Arial" w:cs="Arial" w:eastAsia="Arial" w:hAnsi="Arial"/>
                <w:sz w:val="14"/>
                <w:szCs w:val="14"/>
                <w:color w:val="auto"/>
              </w:rPr>
              <w:t xml:space="preserve">Purchases, PIK, net discount accretion and non-cash exchanges </w:t>
            </w:r>
            <w:r>
              <w:rPr>
                <w:rFonts w:ascii="Arial" w:cs="Arial" w:eastAsia="Arial" w:hAnsi="Arial"/>
                <w:sz w:val="23"/>
                <w:szCs w:val="23"/>
                <w:color w:val="auto"/>
                <w:vertAlign w:val="superscript"/>
              </w:rPr>
              <w:t>(1)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215,410,313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27,790,325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243,200,638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Sales, repayments and non-cash exchanges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(179,556,441)</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(15,493,137)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(195,049,578)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Transfers in and/or out of Level 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4,889,604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4,889,604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334,957,341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56,163,940</w:t>
            </w:r>
          </w:p>
        </w:tc>
        <w:tc>
          <w:tcPr>
            <w:tcW w:w="1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391,121,281</w:t>
            </w:r>
          </w:p>
        </w:tc>
        <w:tc>
          <w:tcPr>
            <w:tcW w:w="0" w:type="dxa"/>
            <w:vAlign w:val="bottom"/>
          </w:tcPr>
          <w:p>
            <w:pPr>
              <w:spacing w:after="0"/>
              <w:rPr>
                <w:sz w:val="1"/>
                <w:szCs w:val="1"/>
                <w:color w:val="auto"/>
              </w:rPr>
            </w:pPr>
          </w:p>
        </w:tc>
      </w:tr>
      <w:tr>
        <w:trPr>
          <w:trHeight w:val="20"/>
        </w:trPr>
        <w:tc>
          <w:tcPr>
            <w:tcW w:w="7080" w:type="dxa"/>
            <w:vAlign w:val="bottom"/>
            <w:gridSpan w:val="3"/>
            <w:vMerge w:val="restart"/>
          </w:tcPr>
          <w:p>
            <w:pPr>
              <w:spacing w:after="0"/>
              <w:rPr>
                <w:sz w:val="20"/>
                <w:szCs w:val="20"/>
                <w:color w:val="auto"/>
              </w:rPr>
            </w:pPr>
            <w:r>
              <w:rPr>
                <w:rFonts w:ascii="Arial" w:cs="Arial" w:eastAsia="Arial" w:hAnsi="Arial"/>
                <w:sz w:val="14"/>
                <w:szCs w:val="14"/>
                <w:color w:val="auto"/>
                <w:w w:val="97"/>
              </w:rPr>
              <w:t>Net change in unrealized depreciation reported within the net change in unrealized appreciation on investments in our</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0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60" w:type="dxa"/>
            <w:vAlign w:val="bottom"/>
            <w:gridSpan w:val="2"/>
          </w:tcPr>
          <w:p>
            <w:pPr>
              <w:ind w:left="140"/>
              <w:spacing w:after="0"/>
              <w:rPr>
                <w:sz w:val="20"/>
                <w:szCs w:val="20"/>
                <w:color w:val="auto"/>
              </w:rPr>
            </w:pPr>
            <w:r>
              <w:rPr>
                <w:rFonts w:ascii="Arial" w:cs="Arial" w:eastAsia="Arial" w:hAnsi="Arial"/>
                <w:sz w:val="14"/>
                <w:szCs w:val="14"/>
                <w:color w:val="auto"/>
              </w:rPr>
              <w:t>Consolidated Statements of Operations attributable to our Level 3 assets still held at the reporting date.</w:t>
            </w:r>
          </w:p>
        </w:tc>
        <w:tc>
          <w:tcPr>
            <w:tcW w:w="200" w:type="dxa"/>
            <w:vAlign w:val="bottom"/>
            <w:gridSpan w:val="2"/>
          </w:tcPr>
          <w:p>
            <w:pPr>
              <w:spacing w:after="0"/>
              <w:rPr>
                <w:sz w:val="20"/>
                <w:szCs w:val="20"/>
                <w:color w:val="auto"/>
              </w:rPr>
            </w:pPr>
            <w:r>
              <w:rPr>
                <w:rFonts w:ascii="Arial" w:cs="Arial" w:eastAsia="Arial" w:hAnsi="Arial"/>
                <w:sz w:val="14"/>
                <w:szCs w:val="14"/>
                <w:color w:val="auto"/>
              </w:rPr>
              <w:t>$</w:t>
            </w:r>
          </w:p>
        </w:tc>
        <w:tc>
          <w:tcPr>
            <w:tcW w:w="1260" w:type="dxa"/>
            <w:vAlign w:val="bottom"/>
            <w:gridSpan w:val="3"/>
          </w:tcPr>
          <w:p>
            <w:pPr>
              <w:jc w:val="right"/>
              <w:ind w:right="160"/>
              <w:spacing w:after="0"/>
              <w:rPr>
                <w:sz w:val="20"/>
                <w:szCs w:val="20"/>
                <w:color w:val="auto"/>
              </w:rPr>
            </w:pPr>
            <w:r>
              <w:rPr>
                <w:rFonts w:ascii="Arial" w:cs="Arial" w:eastAsia="Arial" w:hAnsi="Arial"/>
                <w:sz w:val="14"/>
                <w:szCs w:val="14"/>
                <w:color w:val="auto"/>
              </w:rPr>
              <w:t>(3,449,989)</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(2,257,945)</w:t>
            </w:r>
          </w:p>
        </w:tc>
        <w:tc>
          <w:tcPr>
            <w:tcW w:w="3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(5,707,934)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0326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64" w:lineRule="exact"/>
        <w:rPr>
          <w:sz w:val="20"/>
          <w:szCs w:val="20"/>
          <w:color w:val="auto"/>
        </w:rPr>
      </w:pPr>
    </w:p>
    <w:p>
      <w:pPr>
        <w:ind w:left="580" w:hanging="572"/>
        <w:spacing w:after="0"/>
        <w:tabs>
          <w:tab w:leader="none" w:pos="580" w:val="left"/>
        </w:tabs>
        <w:numPr>
          <w:ilvl w:val="0"/>
          <w:numId w:val="88"/>
        </w:numPr>
        <w:rPr>
          <w:rFonts w:ascii="Arial" w:cs="Arial" w:eastAsia="Arial" w:hAnsi="Arial"/>
          <w:sz w:val="12"/>
          <w:szCs w:val="12"/>
          <w:color w:val="auto"/>
        </w:rPr>
      </w:pPr>
      <w:r>
        <w:rPr>
          <w:rFonts w:ascii="Arial" w:cs="Arial" w:eastAsia="Arial" w:hAnsi="Arial"/>
          <w:sz w:val="14"/>
          <w:szCs w:val="14"/>
          <w:color w:val="auto"/>
        </w:rPr>
        <w:t>Includes assets acquired from MCG.</w:t>
      </w:r>
    </w:p>
    <w:p>
      <w:pPr>
        <w:spacing w:after="0" w:line="8" w:lineRule="exact"/>
        <w:rPr>
          <w:sz w:val="20"/>
          <w:szCs w:val="20"/>
          <w:color w:val="auto"/>
        </w:rPr>
      </w:pPr>
    </w:p>
    <w:p>
      <w:pPr>
        <w:ind w:right="160" w:firstLine="685"/>
        <w:spacing w:after="0" w:line="259" w:lineRule="auto"/>
        <w:rPr>
          <w:sz w:val="20"/>
          <w:szCs w:val="20"/>
          <w:color w:val="auto"/>
        </w:rPr>
      </w:pPr>
      <w:r>
        <w:rPr>
          <w:rFonts w:ascii="Arial" w:cs="Arial" w:eastAsia="Arial" w:hAnsi="Arial"/>
          <w:sz w:val="18"/>
          <w:szCs w:val="18"/>
          <w:color w:val="auto"/>
        </w:rPr>
        <w:t>The following table shows a reconciliation of the beginning and ending balances for fair valued liabilities measured using significant unobservable inputs (Level 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8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Carrying/Fair Value</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5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Years Ended September 30,</w:t>
            </w: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2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540" w:type="dxa"/>
            <w:vAlign w:val="bottom"/>
          </w:tcPr>
          <w:p>
            <w:pPr>
              <w:jc w:val="right"/>
              <w:ind w:right="802"/>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00" w:type="dxa"/>
            <w:vAlign w:val="bottom"/>
          </w:tcPr>
          <w:p>
            <w:pPr>
              <w:jc w:val="right"/>
              <w:ind w:right="78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Beginning Balance (cost – $29,600,000 and $146,400,000, respectively)</w:t>
            </w:r>
          </w:p>
        </w:tc>
        <w:tc>
          <w:tcPr>
            <w:tcW w:w="4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29,600,000</w:t>
            </w:r>
          </w:p>
        </w:tc>
        <w:tc>
          <w:tcPr>
            <w:tcW w:w="5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146,949,000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tcPr>
          <w:p>
            <w:pPr>
              <w:ind w:left="340"/>
              <w:spacing w:after="0"/>
              <w:rPr>
                <w:sz w:val="20"/>
                <w:szCs w:val="20"/>
                <w:color w:val="auto"/>
              </w:rPr>
            </w:pPr>
            <w:r>
              <w:rPr>
                <w:rFonts w:ascii="Arial" w:cs="Arial" w:eastAsia="Arial" w:hAnsi="Arial"/>
                <w:sz w:val="16"/>
                <w:szCs w:val="16"/>
                <w:color w:val="auto"/>
              </w:rPr>
              <w:t>Total unrealized depreciation included in earnings</w:t>
            </w:r>
          </w:p>
        </w:tc>
        <w:tc>
          <w:tcPr>
            <w:tcW w:w="520" w:type="dxa"/>
            <w:vAlign w:val="bottom"/>
          </w:tcPr>
          <w:p>
            <w:pPr>
              <w:spacing w:after="0"/>
              <w:rPr>
                <w:sz w:val="17"/>
                <w:szCs w:val="17"/>
                <w:color w:val="auto"/>
              </w:rPr>
            </w:pPr>
          </w:p>
        </w:tc>
        <w:tc>
          <w:tcPr>
            <w:tcW w:w="1540" w:type="dxa"/>
            <w:vAlign w:val="bottom"/>
          </w:tcPr>
          <w:p>
            <w:pPr>
              <w:jc w:val="right"/>
              <w:ind w:right="82"/>
              <w:spacing w:after="0"/>
              <w:rPr>
                <w:sz w:val="20"/>
                <w:szCs w:val="20"/>
                <w:color w:val="auto"/>
              </w:rPr>
            </w:pPr>
            <w:r>
              <w:rPr>
                <w:rFonts w:ascii="Arial" w:cs="Arial" w:eastAsia="Arial" w:hAnsi="Arial"/>
                <w:sz w:val="16"/>
                <w:szCs w:val="16"/>
                <w:color w:val="auto"/>
              </w:rPr>
              <w:t>(518,002)</w:t>
            </w: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(549,000)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Borrowings</w:t>
            </w:r>
          </w:p>
        </w:tc>
        <w:tc>
          <w:tcPr>
            <w:tcW w:w="5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260,707,500</w:t>
            </w: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130,700,000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tcPr>
          <w:p>
            <w:pPr>
              <w:ind w:left="340"/>
              <w:spacing w:after="0"/>
              <w:rPr>
                <w:sz w:val="20"/>
                <w:szCs w:val="20"/>
                <w:color w:val="auto"/>
              </w:rPr>
            </w:pPr>
            <w:r>
              <w:rPr>
                <w:rFonts w:ascii="Arial" w:cs="Arial" w:eastAsia="Arial" w:hAnsi="Arial"/>
                <w:sz w:val="16"/>
                <w:szCs w:val="16"/>
                <w:color w:val="auto"/>
              </w:rPr>
              <w:t>Repayments</w:t>
            </w:r>
          </w:p>
        </w:tc>
        <w:tc>
          <w:tcPr>
            <w:tcW w:w="520" w:type="dxa"/>
            <w:vAlign w:val="bottom"/>
          </w:tcPr>
          <w:p>
            <w:pPr>
              <w:spacing w:after="0"/>
              <w:rPr>
                <w:sz w:val="17"/>
                <w:szCs w:val="17"/>
                <w:color w:val="auto"/>
              </w:rPr>
            </w:pPr>
          </w:p>
        </w:tc>
        <w:tc>
          <w:tcPr>
            <w:tcW w:w="1540" w:type="dxa"/>
            <w:vAlign w:val="bottom"/>
          </w:tcPr>
          <w:p>
            <w:pPr>
              <w:jc w:val="right"/>
              <w:ind w:right="82"/>
              <w:spacing w:after="0"/>
              <w:rPr>
                <w:sz w:val="20"/>
                <w:szCs w:val="20"/>
                <w:color w:val="auto"/>
              </w:rPr>
            </w:pPr>
            <w:r>
              <w:rPr>
                <w:rFonts w:ascii="Arial" w:cs="Arial" w:eastAsia="Arial" w:hAnsi="Arial"/>
                <w:sz w:val="16"/>
                <w:szCs w:val="16"/>
                <w:color w:val="auto"/>
              </w:rPr>
              <w:t>(57,400,000)</w:t>
            </w: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(247,500,000)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Transfers in and/or out of Level 3</w:t>
            </w:r>
          </w:p>
        </w:tc>
        <w:tc>
          <w:tcPr>
            <w:tcW w:w="5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20" w:type="dxa"/>
            <w:vAlign w:val="bottom"/>
            <w:gridSpan w:val="2"/>
          </w:tcPr>
          <w:p>
            <w:pPr>
              <w:spacing w:after="0"/>
              <w:rPr>
                <w:sz w:val="20"/>
                <w:szCs w:val="20"/>
                <w:color w:val="auto"/>
              </w:rPr>
            </w:pPr>
            <w:r>
              <w:rPr>
                <w:rFonts w:ascii="Arial" w:cs="Arial" w:eastAsia="Arial" w:hAnsi="Arial"/>
                <w:sz w:val="16"/>
                <w:szCs w:val="16"/>
                <w:color w:val="auto"/>
              </w:rPr>
              <w:t>Ending Balance (cost – $232,907,500 and $29,600,000, respectively)</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82"/>
              <w:spacing w:after="0"/>
              <w:rPr>
                <w:sz w:val="20"/>
                <w:szCs w:val="20"/>
                <w:color w:val="auto"/>
              </w:rPr>
            </w:pPr>
            <w:r>
              <w:rPr>
                <w:rFonts w:ascii="Arial" w:cs="Arial" w:eastAsia="Arial" w:hAnsi="Arial"/>
                <w:sz w:val="16"/>
                <w:szCs w:val="16"/>
                <w:color w:val="auto"/>
              </w:rPr>
              <w:t>232,389,498</w:t>
            </w:r>
          </w:p>
        </w:tc>
        <w:tc>
          <w:tcPr>
            <w:tcW w:w="1240" w:type="dxa"/>
            <w:vAlign w:val="bottom"/>
            <w:gridSpan w:val="2"/>
          </w:tcPr>
          <w:p>
            <w:pPr>
              <w:jc w:val="right"/>
              <w:ind w:right="4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29,600,000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80" w:firstLine="685"/>
        <w:spacing w:after="0" w:line="277" w:lineRule="auto"/>
        <w:rPr>
          <w:sz w:val="20"/>
          <w:szCs w:val="20"/>
          <w:color w:val="auto"/>
        </w:rPr>
      </w:pPr>
      <w:r>
        <w:rPr>
          <w:rFonts w:ascii="Arial" w:cs="Arial" w:eastAsia="Arial" w:hAnsi="Arial"/>
          <w:sz w:val="18"/>
          <w:szCs w:val="18"/>
          <w:color w:val="auto"/>
        </w:rPr>
        <w:t>As of September 30, 2016, we had outstanding non-U.S. dollar borrowings on our Credit Facility. Net change in fair value from foreign currency translating on outstanding borrowings is listed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Foreign Currency</w:t>
            </w:r>
          </w:p>
        </w:tc>
        <w:tc>
          <w:tcPr>
            <w:tcW w:w="500" w:type="dxa"/>
            <w:vAlign w:val="bottom"/>
          </w:tcPr>
          <w:p>
            <w:pPr>
              <w:spacing w:after="0"/>
              <w:rPr>
                <w:sz w:val="14"/>
                <w:szCs w:val="14"/>
                <w:color w:val="auto"/>
              </w:rPr>
            </w:pPr>
          </w:p>
        </w:tc>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w w:val="94"/>
              </w:rPr>
              <w:t>Local Currency</w:t>
            </w:r>
          </w:p>
        </w:tc>
        <w:tc>
          <w:tcPr>
            <w:tcW w:w="1080" w:type="dxa"/>
            <w:vAlign w:val="bottom"/>
          </w:tcPr>
          <w:p>
            <w:pPr>
              <w:spacing w:after="0"/>
              <w:rPr>
                <w:sz w:val="14"/>
                <w:szCs w:val="14"/>
                <w:color w:val="auto"/>
              </w:rPr>
            </w:pPr>
          </w:p>
        </w:tc>
        <w:tc>
          <w:tcPr>
            <w:tcW w:w="206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98"/>
              </w:rPr>
              <w:t>Original</w:t>
            </w:r>
          </w:p>
        </w:tc>
        <w:tc>
          <w:tcPr>
            <w:tcW w:w="1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Current Value</w:t>
            </w:r>
          </w:p>
        </w:tc>
        <w:tc>
          <w:tcPr>
            <w:tcW w:w="16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Reset Date</w:t>
            </w:r>
          </w:p>
        </w:tc>
        <w:tc>
          <w:tcPr>
            <w:tcW w:w="5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Change in Fair</w:t>
            </w:r>
          </w:p>
        </w:tc>
        <w:tc>
          <w:tcPr>
            <w:tcW w:w="0" w:type="dxa"/>
            <w:vAlign w:val="bottom"/>
          </w:tcPr>
          <w:p>
            <w:pPr>
              <w:spacing w:after="0"/>
              <w:rPr>
                <w:sz w:val="1"/>
                <w:szCs w:val="1"/>
                <w:color w:val="auto"/>
              </w:rPr>
            </w:pPr>
          </w:p>
        </w:tc>
      </w:tr>
      <w:tr>
        <w:trPr>
          <w:trHeight w:val="171"/>
        </w:trPr>
        <w:tc>
          <w:tcPr>
            <w:tcW w:w="164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206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93"/>
              </w:rPr>
              <w:t>Borrowing Cost</w:t>
            </w:r>
          </w:p>
        </w:tc>
        <w:tc>
          <w:tcPr>
            <w:tcW w:w="1980" w:type="dxa"/>
            <w:vAlign w:val="bottom"/>
            <w:gridSpan w:val="2"/>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1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Canadian Dollars</w:t>
            </w:r>
          </w:p>
        </w:tc>
        <w:tc>
          <w:tcPr>
            <w:tcW w:w="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91"/>
              </w:rPr>
              <w:t>C$ 17,500,000</w:t>
            </w:r>
          </w:p>
        </w:tc>
        <w:tc>
          <w:tcPr>
            <w:tcW w:w="10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  12,407,501</w:t>
            </w:r>
          </w:p>
        </w:tc>
        <w:tc>
          <w:tcPr>
            <w:tcW w:w="10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94"/>
              </w:rPr>
              <w:t>$ 13,338,920</w:t>
            </w:r>
          </w:p>
        </w:tc>
        <w:tc>
          <w:tcPr>
            <w:tcW w:w="10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8"/>
              </w:rPr>
              <w:t>October 3, 2016</w:t>
            </w:r>
          </w:p>
        </w:tc>
        <w:tc>
          <w:tcPr>
            <w:tcW w:w="5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931,419</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13" w:lineRule="exact"/>
        <w:rPr>
          <w:sz w:val="20"/>
          <w:szCs w:val="20"/>
          <w:color w:val="auto"/>
        </w:rPr>
      </w:pPr>
    </w:p>
    <w:p>
      <w:pPr>
        <w:ind w:right="40" w:firstLine="685"/>
        <w:spacing w:after="0" w:line="268" w:lineRule="auto"/>
        <w:rPr>
          <w:sz w:val="20"/>
          <w:szCs w:val="20"/>
          <w:color w:val="auto"/>
        </w:rPr>
      </w:pPr>
      <w:r>
        <w:rPr>
          <w:rFonts w:ascii="Arial" w:cs="Arial" w:eastAsia="Arial" w:hAnsi="Arial"/>
          <w:sz w:val="17"/>
          <w:szCs w:val="17"/>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$0.9 million, $2.3 million and $0.7 million relating to amendment fees on the Credit Facility during the years ended September 30, 2016, 2015 and 2014,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fiscal years ended September 30, 2016 and 2015, our Credit Facility had a net change in unrealized depreciation of $0.5 million and $0.5 million, respectively. As of September 30, 2016 and 2015, the net unrealized depreciation on our Credit Facility totaled $0.5 million and zero, respectively. We use a nationally recognized independent valuation service to measure the fair value of our Credit Facility in a manner consistent with the valuation process that the board of directors uses to value our investments.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189" w:lineRule="exact"/>
        <w:rPr>
          <w:sz w:val="20"/>
          <w:szCs w:val="20"/>
          <w:color w:val="auto"/>
        </w:rPr>
      </w:pPr>
    </w:p>
    <w:p>
      <w:pPr>
        <w:ind w:right="120" w:firstLine="685"/>
        <w:spacing w:after="0" w:line="259" w:lineRule="auto"/>
        <w:rPr>
          <w:sz w:val="20"/>
          <w:szCs w:val="20"/>
          <w:color w:val="auto"/>
        </w:rPr>
      </w:pPr>
      <w:r>
        <w:rPr>
          <w:rFonts w:ascii="Arial" w:cs="Arial" w:eastAsia="Arial" w:hAnsi="Arial"/>
          <w:sz w:val="18"/>
          <w:szCs w:val="18"/>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nine months ended September 30, 2016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Fair Value at</w:t>
            </w:r>
          </w:p>
        </w:tc>
        <w:tc>
          <w:tcPr>
            <w:tcW w:w="24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Purchases of /</w:t>
            </w:r>
          </w:p>
        </w:tc>
        <w:tc>
          <w:tcPr>
            <w:tcW w:w="2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Sale of /</w:t>
            </w:r>
          </w:p>
        </w:tc>
        <w:tc>
          <w:tcPr>
            <w:tcW w:w="120" w:type="dxa"/>
            <w:vAlign w:val="bottom"/>
          </w:tcPr>
          <w:p>
            <w:pPr>
              <w:spacing w:after="0"/>
              <w:rPr>
                <w:sz w:val="14"/>
                <w:szCs w:val="14"/>
                <w:color w:val="auto"/>
              </w:rPr>
            </w:pPr>
          </w:p>
        </w:tc>
        <w:tc>
          <w:tcPr>
            <w:tcW w:w="70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Net Realized</w:t>
            </w:r>
          </w:p>
        </w:tc>
        <w:tc>
          <w:tcPr>
            <w:tcW w:w="0" w:type="dxa"/>
            <w:vAlign w:val="bottom"/>
          </w:tcPr>
          <w:p>
            <w:pPr>
              <w:spacing w:after="0"/>
              <w:rPr>
                <w:sz w:val="1"/>
                <w:szCs w:val="1"/>
                <w:color w:val="auto"/>
              </w:rPr>
            </w:pPr>
          </w:p>
        </w:tc>
      </w:tr>
      <w:tr>
        <w:trPr>
          <w:trHeight w:val="149"/>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Advances to</w:t>
            </w:r>
          </w:p>
        </w:tc>
        <w:tc>
          <w:tcPr>
            <w:tcW w:w="2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90"/>
              </w:rPr>
              <w:t>September 30, 2015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Affiliates</w:t>
            </w:r>
          </w:p>
        </w:tc>
        <w:tc>
          <w:tcPr>
            <w:tcW w:w="24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from Affiliates</w:t>
            </w:r>
          </w:p>
        </w:tc>
        <w:tc>
          <w:tcPr>
            <w:tcW w:w="120" w:type="dxa"/>
            <w:vAlign w:val="bottom"/>
          </w:tcPr>
          <w:p>
            <w:pPr>
              <w:spacing w:after="0"/>
              <w:rPr>
                <w:sz w:val="14"/>
                <w:szCs w:val="14"/>
                <w:color w:val="auto"/>
              </w:rPr>
            </w:pPr>
          </w:p>
        </w:tc>
        <w:tc>
          <w:tcPr>
            <w:tcW w:w="700" w:type="dxa"/>
            <w:vAlign w:val="bottom"/>
          </w:tcPr>
          <w:p>
            <w:pPr>
              <w:jc w:val="right"/>
              <w:ind w:right="79"/>
              <w:spacing w:after="0"/>
              <w:rPr>
                <w:sz w:val="20"/>
                <w:szCs w:val="20"/>
                <w:color w:val="auto"/>
              </w:rPr>
            </w:pPr>
            <w:r>
              <w:rPr>
                <w:rFonts w:ascii="Arial" w:cs="Arial" w:eastAsia="Arial" w:hAnsi="Arial"/>
                <w:sz w:val="14"/>
                <w:szCs w:val="14"/>
                <w:b w:val="1"/>
                <w:bCs w:val="1"/>
                <w:color w:val="auto"/>
                <w:w w:val="92"/>
              </w:rPr>
              <w:t>Accrued</w:t>
            </w:r>
          </w:p>
        </w:tc>
        <w:tc>
          <w:tcPr>
            <w:tcW w:w="24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September 30, 2016</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7"/>
              </w:rPr>
              <w:t>Gains (Losses)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Controlled Affiliates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GMC Television Broadcasting Holdings, LLC</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2,776,507</w:t>
            </w: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1380" w:type="dxa"/>
            <w:vAlign w:val="bottom"/>
            <w:gridSpan w:val="3"/>
          </w:tcPr>
          <w:p>
            <w:pPr>
              <w:ind w:lef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(2,777,132)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105,502</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Controlled Affiliates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2,776,507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1380" w:type="dxa"/>
            <w:vAlign w:val="bottom"/>
            <w:gridSpan w:val="3"/>
            <w:shd w:val="clear" w:color="auto" w:fill="CCEEFF"/>
          </w:tcPr>
          <w:p>
            <w:pPr>
              <w:ind w:lef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(2,777,132)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105,502</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Years Ended September 30,</w:t>
            </w: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714"/>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ind w:right="737"/>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73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82"/>
        </w:trPr>
        <w:tc>
          <w:tcPr>
            <w:tcW w:w="4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9"/>
              </w:rPr>
              <w:t>Numerator for net increase in net assets resulting from</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33,488,663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12,504,245</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20,513,971</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w w:val="91"/>
              </w:rPr>
              <w:t>Denominator for basic and diluted weighted average shares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00" w:type="dxa"/>
            <w:vAlign w:val="bottom"/>
            <w:gridSpan w:val="2"/>
          </w:tcPr>
          <w:p>
            <w:pPr>
              <w:jc w:val="right"/>
              <w:ind w:right="440"/>
              <w:spacing w:after="0"/>
              <w:rPr>
                <w:sz w:val="20"/>
                <w:szCs w:val="20"/>
                <w:color w:val="auto"/>
              </w:rPr>
            </w:pPr>
            <w:r>
              <w:rPr>
                <w:rFonts w:ascii="Arial" w:cs="Arial" w:eastAsia="Arial" w:hAnsi="Arial"/>
                <w:sz w:val="18"/>
                <w:szCs w:val="18"/>
                <w:color w:val="auto"/>
              </w:rPr>
              <w:t>26,730,074</w:t>
            </w:r>
          </w:p>
        </w:tc>
        <w:tc>
          <w:tcPr>
            <w:tcW w:w="160" w:type="dxa"/>
            <w:vAlign w:val="bottom"/>
          </w:tcPr>
          <w:p>
            <w:pPr>
              <w:spacing w:after="0"/>
              <w:rPr>
                <w:sz w:val="18"/>
                <w:szCs w:val="18"/>
                <w:color w:val="auto"/>
              </w:rPr>
            </w:pPr>
          </w:p>
        </w:tc>
        <w:tc>
          <w:tcPr>
            <w:tcW w:w="2100" w:type="dxa"/>
            <w:vAlign w:val="bottom"/>
            <w:gridSpan w:val="2"/>
          </w:tcPr>
          <w:p>
            <w:pPr>
              <w:jc w:val="right"/>
              <w:ind w:right="340"/>
              <w:spacing w:after="0"/>
              <w:rPr>
                <w:sz w:val="20"/>
                <w:szCs w:val="20"/>
                <w:color w:val="auto"/>
              </w:rPr>
            </w:pPr>
            <w:r>
              <w:rPr>
                <w:rFonts w:ascii="Arial" w:cs="Arial" w:eastAsia="Arial" w:hAnsi="Arial"/>
                <w:sz w:val="18"/>
                <w:szCs w:val="18"/>
                <w:color w:val="auto"/>
              </w:rPr>
              <w:t>16,291,965</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14,898,056</w:t>
            </w: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net increase in net assets per share</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resulting from operations</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0.77</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 AND DISTRIBUTIONS</w:t>
      </w:r>
    </w:p>
    <w:p>
      <w:pPr>
        <w:spacing w:after="0" w:line="162" w:lineRule="exact"/>
        <w:rPr>
          <w:sz w:val="20"/>
          <w:szCs w:val="20"/>
          <w:color w:val="auto"/>
        </w:rPr>
      </w:pPr>
    </w:p>
    <w:p>
      <w:pPr>
        <w:ind w:right="40" w:firstLine="685"/>
        <w:spacing w:after="0" w:line="276" w:lineRule="auto"/>
        <w:rPr>
          <w:sz w:val="20"/>
          <w:szCs w:val="20"/>
          <w:color w:val="auto"/>
        </w:rPr>
      </w:pPr>
      <w:r>
        <w:rPr>
          <w:rFonts w:ascii="Arial" w:cs="Arial" w:eastAsia="Arial" w:hAnsi="Arial"/>
          <w:sz w:val="17"/>
          <w:szCs w:val="17"/>
          <w:color w:val="auto"/>
        </w:rPr>
        <w:t>Distributions from net investment income and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gain or paid-in-capital, as appropriate. Distributions from net realized capital gains, if any, are normally declared and paid annually, but the Company may make distributions on a more frequent basis to comply with the distribution requirements for RICs under the Code.</w:t>
      </w:r>
    </w:p>
    <w:p>
      <w:pPr>
        <w:spacing w:after="0" w:line="132" w:lineRule="exact"/>
        <w:rPr>
          <w:sz w:val="20"/>
          <w:szCs w:val="20"/>
          <w:color w:val="auto"/>
        </w:rPr>
      </w:pPr>
    </w:p>
    <w:p>
      <w:pPr>
        <w:ind w:right="140" w:firstLine="685"/>
        <w:spacing w:after="0" w:line="342" w:lineRule="auto"/>
        <w:rPr>
          <w:sz w:val="20"/>
          <w:szCs w:val="20"/>
          <w:color w:val="auto"/>
        </w:rPr>
      </w:pPr>
      <w:r>
        <w:rPr>
          <w:rFonts w:ascii="Arial" w:cs="Arial" w:eastAsia="Arial" w:hAnsi="Arial"/>
          <w:sz w:val="16"/>
          <w:szCs w:val="16"/>
          <w:color w:val="auto"/>
        </w:rPr>
        <w:t>As of September 30, 2016 and 2015, the cost of investments for federal income tax purposes was $600.1 million and $399.6 million, respectively, resulting in a gross unrealized appreciation of $10.6 million and $3.3 million, respectively, and depreciation of $11.8 million and $11.6 million, respectively.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amounts were reclassified for tax purposes: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2"/>
              </w:rPr>
              <w:t>Years Ended September 30,</w:t>
            </w:r>
          </w:p>
        </w:tc>
        <w:tc>
          <w:tcPr>
            <w:tcW w:w="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860" w:type="dxa"/>
            <w:vAlign w:val="bottom"/>
          </w:tcPr>
          <w:p>
            <w:pPr>
              <w:spacing w:after="0"/>
              <w:rPr>
                <w:sz w:val="14"/>
                <w:szCs w:val="14"/>
                <w:color w:val="auto"/>
              </w:rPr>
            </w:pPr>
          </w:p>
        </w:tc>
      </w:tr>
      <w:tr>
        <w:trPr>
          <w:trHeight w:val="142"/>
        </w:trPr>
        <w:tc>
          <w:tcPr>
            <w:tcW w:w="390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623"/>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61"/>
              <w:spacing w:after="0" w:line="142" w:lineRule="exact"/>
              <w:rPr>
                <w:sz w:val="20"/>
                <w:szCs w:val="20"/>
                <w:color w:val="auto"/>
              </w:rPr>
            </w:pPr>
            <w:r>
              <w:rPr>
                <w:rFonts w:ascii="Arial" w:cs="Arial" w:eastAsia="Arial" w:hAnsi="Arial"/>
                <w:sz w:val="14"/>
                <w:szCs w:val="14"/>
                <w:b w:val="1"/>
                <w:bCs w:val="1"/>
                <w:color w:val="auto"/>
              </w:rPr>
              <w:t>2014</w:t>
            </w:r>
          </w:p>
        </w:tc>
        <w:tc>
          <w:tcPr>
            <w:tcW w:w="860" w:type="dxa"/>
            <w:vAlign w:val="bottom"/>
            <w:tcBorders>
              <w:bottom w:val="single" w:sz="8" w:color="CCEEFF"/>
            </w:tcBorders>
          </w:tcPr>
          <w:p>
            <w:pPr>
              <w:spacing w:after="0"/>
              <w:rPr>
                <w:sz w:val="12"/>
                <w:szCs w:val="12"/>
                <w:color w:val="auto"/>
              </w:rPr>
            </w:pPr>
          </w:p>
        </w:tc>
      </w:tr>
      <w:tr>
        <w:trPr>
          <w:trHeight w:val="196"/>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Decrease in paid-in capital</w:t>
            </w: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(308,435)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(429,892)</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(254,753)</w:t>
            </w:r>
          </w:p>
        </w:tc>
        <w:tc>
          <w:tcPr>
            <w:tcW w:w="860" w:type="dxa"/>
            <w:vAlign w:val="bottom"/>
            <w:shd w:val="clear" w:color="auto" w:fill="CCEEFF"/>
          </w:tcPr>
          <w:p>
            <w:pPr>
              <w:spacing w:after="0"/>
              <w:rPr>
                <w:sz w:val="17"/>
                <w:szCs w:val="17"/>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6"/>
                <w:szCs w:val="16"/>
                <w:color w:val="auto"/>
              </w:rPr>
              <w:t>Increase in accumulated net realized gain</w:t>
            </w: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9,384</w:t>
            </w:r>
          </w:p>
        </w:tc>
        <w:tc>
          <w:tcPr>
            <w:tcW w:w="860" w:type="dxa"/>
            <w:vAlign w:val="bottom"/>
          </w:tcPr>
          <w:p>
            <w:pPr>
              <w:spacing w:after="0"/>
              <w:rPr>
                <w:sz w:val="17"/>
                <w:szCs w:val="17"/>
                <w:color w:val="auto"/>
              </w:rPr>
            </w:pPr>
          </w:p>
        </w:tc>
      </w:tr>
      <w:tr>
        <w:trPr>
          <w:trHeight w:val="203"/>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Increase in undistributed net investment income</w:t>
            </w: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308,435</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429,892</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245,369</w:t>
            </w:r>
          </w:p>
        </w:tc>
        <w:tc>
          <w:tcPr>
            <w:tcW w:w="860" w:type="dxa"/>
            <w:vAlign w:val="bottom"/>
            <w:shd w:val="clear" w:color="auto" w:fill="CCEEFF"/>
          </w:tcPr>
          <w:p>
            <w:pPr>
              <w:spacing w:after="0"/>
              <w:rPr>
                <w:sz w:val="17"/>
                <w:szCs w:val="17"/>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reconciles net increase in net assets resulting from operations to taxable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Years Ended September 30,</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0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621"/>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60"/>
              <w:spacing w:after="0" w:line="142" w:lineRule="exact"/>
              <w:rPr>
                <w:sz w:val="20"/>
                <w:szCs w:val="20"/>
                <w:color w:val="auto"/>
              </w:rPr>
            </w:pPr>
            <w:r>
              <w:rPr>
                <w:rFonts w:ascii="Arial" w:cs="Arial" w:eastAsia="Arial" w:hAnsi="Arial"/>
                <w:sz w:val="14"/>
                <w:szCs w:val="14"/>
                <w:b w:val="1"/>
                <w:bCs w:val="1"/>
                <w:color w:val="auto"/>
              </w:rPr>
              <w:t>2014</w:t>
            </w:r>
          </w:p>
        </w:tc>
        <w:tc>
          <w:tcPr>
            <w:tcW w:w="8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Net increase in net assets resulting from operations</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33,488,663</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12,504,245</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20,513,971</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Arial" w:cs="Arial" w:eastAsia="Arial" w:hAnsi="Arial"/>
                <w:sz w:val="16"/>
                <w:szCs w:val="16"/>
                <w:color w:val="auto"/>
              </w:rPr>
              <w:t>Net realized loss on investments</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1,376,788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ind w:left="14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60" w:type="dxa"/>
            <w:vAlign w:val="bottom"/>
            <w:gridSpan w:val="2"/>
          </w:tcPr>
          <w:p>
            <w:pPr>
              <w:jc w:val="right"/>
              <w:ind w:right="8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w w:val="96"/>
              </w:rPr>
              <w:t>Net change in unrealized (appreciation) depreciation on investments</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and Credit Facility</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(7,529,291)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5,551,614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(1,004,771)</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Arial" w:cs="Arial" w:eastAsia="Arial" w:hAnsi="Arial"/>
                <w:sz w:val="16"/>
                <w:szCs w:val="16"/>
                <w:color w:val="auto"/>
              </w:rPr>
              <w:t>Other book-to-tax differences</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642,719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5,788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266,378</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Other non-deductible expenses</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440,000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479,425</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6"/>
                <w:szCs w:val="16"/>
                <w:color w:val="auto"/>
              </w:rPr>
              <w:t>Taxable income before dividends paid deduction</w:t>
            </w: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80" w:type="dxa"/>
            <w:vAlign w:val="bottom"/>
            <w:vMerge w:val="continue"/>
          </w:tcPr>
          <w:p>
            <w:pPr>
              <w:spacing w:after="0"/>
              <w:rPr>
                <w:sz w:val="17"/>
                <w:szCs w:val="17"/>
                <w:color w:val="auto"/>
              </w:rPr>
            </w:pPr>
          </w:p>
        </w:tc>
        <w:tc>
          <w:tcPr>
            <w:tcW w:w="380" w:type="dxa"/>
            <w:vAlign w:val="bottom"/>
            <w:gridSpan w:val="2"/>
          </w:tcPr>
          <w:p>
            <w:pPr>
              <w:jc w:val="right"/>
              <w:ind w:right="249"/>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27,978,879</w:t>
            </w:r>
          </w:p>
        </w:tc>
        <w:tc>
          <w:tcPr>
            <w:tcW w:w="1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18,501,647</w:t>
            </w:r>
          </w:p>
        </w:tc>
        <w:tc>
          <w:tcPr>
            <w:tcW w:w="220" w:type="dxa"/>
            <w:vAlign w:val="bottom"/>
          </w:tcPr>
          <w:p>
            <w:pPr>
              <w:spacing w:after="0"/>
              <w:rPr>
                <w:sz w:val="17"/>
                <w:szCs w:val="17"/>
                <w:color w:val="auto"/>
              </w:rPr>
            </w:pPr>
          </w:p>
        </w:tc>
        <w:tc>
          <w:tcPr>
            <w:tcW w:w="520" w:type="dxa"/>
            <w:vAlign w:val="bottom"/>
            <w:gridSpan w:val="2"/>
          </w:tcPr>
          <w:p>
            <w:pPr>
              <w:jc w:val="right"/>
              <w:ind w:right="284"/>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20,255,003</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components of undistributed taxable income on a tax basis and reconciliation to accumulated surplus on a book basis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As of September 30,</w:t>
            </w: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00"/>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62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60"/>
              <w:spacing w:after="0" w:line="142" w:lineRule="exact"/>
              <w:rPr>
                <w:sz w:val="20"/>
                <w:szCs w:val="20"/>
                <w:color w:val="auto"/>
              </w:rPr>
            </w:pPr>
            <w:r>
              <w:rPr>
                <w:rFonts w:ascii="Arial" w:cs="Arial" w:eastAsia="Arial" w:hAnsi="Arial"/>
                <w:sz w:val="14"/>
                <w:szCs w:val="14"/>
                <w:b w:val="1"/>
                <w:bCs w:val="1"/>
                <w:color w:val="auto"/>
              </w:rPr>
              <w:t>2014</w:t>
            </w:r>
          </w:p>
        </w:tc>
        <w:tc>
          <w:tcPr>
            <w:tcW w:w="8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Undistributed ordinary income – tax basis</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10,097,684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12,591,089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10,097,482</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color w:val="auto"/>
                <w:w w:val="95"/>
              </w:rPr>
              <w:t>(Realized loss carried forward)/Undistributed long-term capital gain</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(1,121,514)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1,652,842</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580" w:type="dxa"/>
            <w:vAlign w:val="bottom"/>
            <w:gridSpan w:val="2"/>
          </w:tcPr>
          <w:p>
            <w:pPr>
              <w:ind w:left="18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Distributions payable and other book to tax differences</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(5,793,312)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(5,203,754)</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(3,989,324)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color w:val="auto"/>
                <w:w w:val="94"/>
              </w:rPr>
              <w:t>Net unrealized appreciation (depreciation) of investments and Credit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6"/>
                <w:szCs w:val="16"/>
                <w:color w:val="auto"/>
              </w:rPr>
              <w:t>Facility</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1,502,874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6"/>
                <w:szCs w:val="16"/>
                <w:color w:val="auto"/>
              </w:rPr>
              <w:t>(6,026,417)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60" w:type="dxa"/>
            <w:vAlign w:val="bottom"/>
            <w:gridSpan w:val="2"/>
          </w:tcPr>
          <w:p>
            <w:pPr>
              <w:jc w:val="right"/>
              <w:ind w:right="820"/>
              <w:spacing w:after="0"/>
              <w:rPr>
                <w:sz w:val="20"/>
                <w:szCs w:val="20"/>
                <w:color w:val="auto"/>
              </w:rPr>
            </w:pPr>
            <w:r>
              <w:rPr>
                <w:rFonts w:ascii="Arial" w:cs="Arial" w:eastAsia="Arial" w:hAnsi="Arial"/>
                <w:sz w:val="16"/>
                <w:szCs w:val="16"/>
                <w:color w:val="auto"/>
              </w:rPr>
              <w:t>(474,803)</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Total accumulated surplus – book basis</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4,685,732</w:t>
            </w:r>
          </w:p>
        </w:tc>
        <w:tc>
          <w:tcPr>
            <w:tcW w:w="34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1,360,918</w:t>
            </w:r>
          </w:p>
        </w:tc>
        <w:tc>
          <w:tcPr>
            <w:tcW w:w="1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84"/>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7,286,197</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7411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168" w:lineRule="exact"/>
        <w:rPr>
          <w:sz w:val="20"/>
          <w:szCs w:val="20"/>
          <w:color w:val="auto"/>
        </w:rPr>
      </w:pPr>
    </w:p>
    <w:p>
      <w:pPr>
        <w:ind w:left="360" w:right="1120" w:hanging="352"/>
        <w:spacing w:after="0" w:line="277" w:lineRule="auto"/>
        <w:tabs>
          <w:tab w:leader="none" w:pos="483" w:val="left"/>
        </w:tabs>
        <w:numPr>
          <w:ilvl w:val="0"/>
          <w:numId w:val="89"/>
        </w:numPr>
        <w:rPr>
          <w:rFonts w:ascii="Arial" w:cs="Arial" w:eastAsia="Arial" w:hAnsi="Arial"/>
          <w:sz w:val="15"/>
          <w:szCs w:val="15"/>
          <w:color w:val="auto"/>
        </w:rPr>
      </w:pPr>
      <w:r>
        <w:rPr>
          <w:rFonts w:ascii="Arial" w:cs="Arial" w:eastAsia="Arial" w:hAnsi="Arial"/>
          <w:sz w:val="18"/>
          <w:szCs w:val="18"/>
          <w:color w:val="auto"/>
        </w:rPr>
        <w:t>As of September 30, 2016, the capital loss carried forward was $1.1 million. This loss can be carried forward indefinitely to be an offset against future capital gains.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tax characteristics of distributions declared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Years Ended September 30,</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0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622"/>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61"/>
              <w:spacing w:after="0" w:line="142" w:lineRule="exact"/>
              <w:rPr>
                <w:sz w:val="20"/>
                <w:szCs w:val="20"/>
                <w:color w:val="auto"/>
              </w:rPr>
            </w:pPr>
            <w:r>
              <w:rPr>
                <w:rFonts w:ascii="Arial" w:cs="Arial" w:eastAsia="Arial" w:hAnsi="Arial"/>
                <w:sz w:val="14"/>
                <w:szCs w:val="14"/>
                <w:b w:val="1"/>
                <w:bCs w:val="1"/>
                <w:color w:val="auto"/>
              </w:rPr>
              <w:t>2014</w:t>
            </w:r>
          </w:p>
        </w:tc>
        <w:tc>
          <w:tcPr>
            <w:tcW w:w="8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Ordinary income (including short-term gains)</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30,472,284</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17,206,311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13,473,860</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6"/>
                <w:szCs w:val="16"/>
                <w:color w:val="auto"/>
              </w:rPr>
              <w:t>Long-term capital gain</w:t>
            </w:r>
          </w:p>
        </w:tc>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1,653,105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2,578,795</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Total distributions</w:t>
            </w:r>
          </w:p>
        </w:tc>
        <w:tc>
          <w:tcPr>
            <w:tcW w:w="380" w:type="dxa"/>
            <w:vAlign w:val="bottom"/>
            <w:gridSpan w:val="2"/>
            <w:shd w:val="clear" w:color="auto" w:fill="CCEEFF"/>
          </w:tcPr>
          <w:p>
            <w:pPr>
              <w:jc w:val="right"/>
              <w:ind w:right="249"/>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30,472,284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18,859,416</w:t>
            </w:r>
          </w:p>
        </w:tc>
        <w:tc>
          <w:tcPr>
            <w:tcW w:w="2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84"/>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16,052,655</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6"/>
                <w:szCs w:val="16"/>
                <w:color w:val="auto"/>
              </w:rPr>
              <w:t>Total distributions per share based on weighted average shares</w:t>
            </w: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680" w:type="dxa"/>
            <w:vAlign w:val="bottom"/>
            <w:gridSpan w:val="2"/>
            <w:vMerge w:val="continue"/>
          </w:tcPr>
          <w:p>
            <w:pPr>
              <w:spacing w:after="0"/>
              <w:rPr>
                <w:sz w:val="16"/>
                <w:szCs w:val="16"/>
                <w:color w:val="auto"/>
              </w:rPr>
            </w:pPr>
          </w:p>
        </w:tc>
        <w:tc>
          <w:tcPr>
            <w:tcW w:w="380" w:type="dxa"/>
            <w:vAlign w:val="bottom"/>
            <w:gridSpan w:val="2"/>
          </w:tcPr>
          <w:p>
            <w:pPr>
              <w:jc w:val="right"/>
              <w:ind w:right="249"/>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1.14</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1.16</w:t>
            </w:r>
          </w:p>
        </w:tc>
        <w:tc>
          <w:tcPr>
            <w:tcW w:w="220" w:type="dxa"/>
            <w:vAlign w:val="bottom"/>
          </w:tcPr>
          <w:p>
            <w:pPr>
              <w:spacing w:after="0"/>
              <w:rPr>
                <w:sz w:val="16"/>
                <w:szCs w:val="16"/>
                <w:color w:val="auto"/>
              </w:rPr>
            </w:pPr>
          </w:p>
        </w:tc>
        <w:tc>
          <w:tcPr>
            <w:tcW w:w="520" w:type="dxa"/>
            <w:vAlign w:val="bottom"/>
            <w:gridSpan w:val="2"/>
          </w:tcPr>
          <w:p>
            <w:pPr>
              <w:jc w:val="right"/>
              <w:ind w:right="284"/>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1.08</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CASH EQUIVALENTS</w:t>
      </w:r>
    </w:p>
    <w:p>
      <w:pPr>
        <w:spacing w:after="0" w:line="202" w:lineRule="exact"/>
        <w:rPr>
          <w:sz w:val="20"/>
          <w:szCs w:val="20"/>
          <w:color w:val="auto"/>
        </w:rPr>
      </w:pPr>
    </w:p>
    <w:p>
      <w:pPr>
        <w:ind w:firstLine="685"/>
        <w:spacing w:after="0" w:line="270" w:lineRule="auto"/>
        <w:rPr>
          <w:sz w:val="20"/>
          <w:szCs w:val="20"/>
          <w:color w:val="auto"/>
        </w:rPr>
      </w:pPr>
      <w:r>
        <w:rPr>
          <w:rFonts w:ascii="Arial" w:cs="Arial" w:eastAsia="Arial" w:hAnsi="Arial"/>
          <w:sz w:val="17"/>
          <w:szCs w:val="17"/>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September 30, 2016 and 2015, cash equivalents consisted of money market funds in the amounts of $28.9 million and $21.4 million at fair value,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Below are the financial highlights for the years ended September 30: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38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2016</w:t>
            </w:r>
          </w:p>
        </w:tc>
        <w:tc>
          <w:tcPr>
            <w:tcW w:w="3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2015</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2014</w:t>
            </w:r>
          </w:p>
        </w:tc>
        <w:tc>
          <w:tcPr>
            <w:tcW w:w="3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 xml:space="preserve">2013 </w:t>
            </w:r>
            <w:r>
              <w:rPr>
                <w:rFonts w:ascii="Arial" w:cs="Arial" w:eastAsia="Arial" w:hAnsi="Arial"/>
                <w:sz w:val="9"/>
                <w:szCs w:val="9"/>
                <w:b w:val="1"/>
                <w:bCs w:val="1"/>
                <w:color w:val="auto"/>
              </w:rPr>
              <w:t>(6)</w:t>
            </w:r>
          </w:p>
        </w:tc>
        <w:tc>
          <w:tcPr>
            <w:tcW w:w="3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 xml:space="preserve">2012 </w:t>
            </w:r>
            <w:r>
              <w:rPr>
                <w:rFonts w:ascii="Arial" w:cs="Arial" w:eastAsia="Arial" w:hAnsi="Arial"/>
                <w:sz w:val="9"/>
                <w:szCs w:val="9"/>
                <w:b w:val="1"/>
                <w:bCs w:val="1"/>
                <w:color w:val="auto"/>
              </w:rPr>
              <w:t>(6)</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0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Per Share Data:</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6"/>
                <w:szCs w:val="16"/>
                <w:color w:val="auto"/>
              </w:rPr>
              <w:t>Net asset value, beginning of period</w:t>
            </w: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13.95</w:t>
            </w:r>
          </w:p>
        </w:tc>
        <w:tc>
          <w:tcPr>
            <w:tcW w:w="36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14.40</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14.10</w:t>
            </w:r>
          </w:p>
        </w:tc>
        <w:tc>
          <w:tcPr>
            <w:tcW w:w="38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rPr>
              <w:t>13.98</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13.44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1.10</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4"/>
                <w:szCs w:val="14"/>
                <w:color w:val="auto"/>
              </w:rPr>
              <w:t xml:space="preserve">Net change in realized and unrealized gain (loss) </w:t>
            </w:r>
            <w:r>
              <w:rPr>
                <w:rFonts w:ascii="Arial" w:cs="Arial" w:eastAsia="Arial" w:hAnsi="Arial"/>
                <w:sz w:val="23"/>
                <w:szCs w:val="23"/>
                <w:color w:val="auto"/>
                <w:vertAlign w:val="superscript"/>
              </w:rPr>
              <w:t>(1)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0.23</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0.26</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rPr>
              <w:t>0.15</w:t>
            </w:r>
          </w:p>
        </w:tc>
        <w:tc>
          <w:tcPr>
            <w:tcW w:w="24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0.83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1.25</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23"/>
                <w:szCs w:val="23"/>
                <w:color w:val="auto"/>
                <w:vertAlign w:val="superscript"/>
              </w:rPr>
              <w:t>(1), (2)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Distribution of net investment income</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(1.13)</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(0.98)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(0.84)</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(0.95)</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160"/>
              <w:spacing w:after="0"/>
              <w:rPr>
                <w:sz w:val="20"/>
                <w:szCs w:val="20"/>
                <w:color w:val="auto"/>
              </w:rPr>
            </w:pPr>
            <w:r>
              <w:rPr>
                <w:rFonts w:ascii="Arial" w:cs="Arial" w:eastAsia="Arial" w:hAnsi="Arial"/>
                <w:sz w:val="16"/>
                <w:szCs w:val="16"/>
                <w:color w:val="auto"/>
              </w:rPr>
              <w:t>Distribution of realized gains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(0.01)</w:t>
            </w:r>
          </w:p>
        </w:tc>
        <w:tc>
          <w:tcPr>
            <w:tcW w:w="24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color w:val="auto"/>
              </w:rPr>
              <w:t>(0.24)</w:t>
            </w:r>
          </w:p>
        </w:tc>
        <w:tc>
          <w:tcPr>
            <w:tcW w:w="160" w:type="dxa"/>
            <w:vAlign w:val="bottom"/>
          </w:tcPr>
          <w:p>
            <w:pPr>
              <w:spacing w:after="0"/>
              <w:rPr>
                <w:sz w:val="17"/>
                <w:szCs w:val="17"/>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(0.10)</w:t>
            </w:r>
          </w:p>
        </w:tc>
        <w:tc>
          <w:tcPr>
            <w:tcW w:w="24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distributions to stockholders</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(1.14)</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(1.08)</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(1.05)</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4"/>
                <w:szCs w:val="14"/>
                <w:color w:val="auto"/>
              </w:rPr>
              <w:t xml:space="preserve">Effect of acquisition of MCG and offering costs </w:t>
            </w:r>
            <w:r>
              <w:rPr>
                <w:rFonts w:ascii="Arial" w:cs="Arial" w:eastAsia="Arial" w:hAnsi="Arial"/>
                <w:sz w:val="23"/>
                <w:szCs w:val="23"/>
                <w:color w:val="auto"/>
                <w:vertAlign w:val="superscript"/>
              </w:rPr>
              <w:t>(1)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(0.08)</w:t>
            </w:r>
          </w:p>
        </w:tc>
        <w:tc>
          <w:tcPr>
            <w:tcW w:w="24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Net asset value, end of period</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13.95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14.10</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13.98</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6"/>
                <w:szCs w:val="16"/>
                <w:color w:val="auto"/>
              </w:rPr>
              <w:t>Per share market value, end of period</w:t>
            </w: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820" w:type="dxa"/>
            <w:vAlign w:val="bottom"/>
            <w:gridSpan w:val="2"/>
            <w:vMerge w:val="continue"/>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13.23</w:t>
            </w:r>
          </w:p>
        </w:tc>
        <w:tc>
          <w:tcPr>
            <w:tcW w:w="36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11.94</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13.78</w:t>
            </w:r>
          </w:p>
        </w:tc>
        <w:tc>
          <w:tcPr>
            <w:tcW w:w="380" w:type="dxa"/>
            <w:vAlign w:val="bottom"/>
          </w:tcPr>
          <w:p>
            <w:pPr>
              <w:spacing w:after="0"/>
              <w:rPr>
                <w:sz w:val="16"/>
                <w:szCs w:val="16"/>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rPr>
              <w:t>13.78</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800" w:type="dxa"/>
            <w:vAlign w:val="bottom"/>
            <w:shd w:val="clear" w:color="auto" w:fill="CCEEFF"/>
          </w:tcPr>
          <w:p>
            <w:pPr>
              <w:spacing w:after="0" w:line="200"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21.77%</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(6.01)%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8.05%</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17.17%</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6"/>
                <w:szCs w:val="16"/>
                <w:color w:val="auto"/>
              </w:rPr>
              <w:t>Shares outstanding at end of period</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26,730,074</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26,730,074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14,898,056</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rPr>
              <w:t>14,898,056</w:t>
            </w: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6,850,667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Ratios / Supplemental Data:</w:t>
            </w:r>
          </w:p>
        </w:tc>
        <w:tc>
          <w:tcPr>
            <w:tcW w:w="2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23"/>
                <w:szCs w:val="23"/>
                <w:color w:val="auto"/>
                <w:vertAlign w:val="superscript"/>
              </w:rPr>
              <w:t>(4)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3.56%</w:t>
            </w:r>
          </w:p>
        </w:tc>
        <w:tc>
          <w:tcPr>
            <w:tcW w:w="2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4.45%</w:t>
            </w:r>
          </w:p>
        </w:tc>
        <w:tc>
          <w:tcPr>
            <w:tcW w:w="16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4.43%</w:t>
            </w:r>
          </w:p>
        </w:tc>
        <w:tc>
          <w:tcPr>
            <w:tcW w:w="2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w w:val="97"/>
              </w:rPr>
              <w:t>Ratio of Credit Facility related expenses to average net</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assets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1.58%</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1.95%</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6"/>
                <w:szCs w:val="16"/>
                <w:color w:val="auto"/>
              </w:rPr>
              <w:t>Ratio of total expenses to average net assets</w:t>
            </w: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5.14%</w:t>
            </w:r>
          </w:p>
        </w:tc>
        <w:tc>
          <w:tcPr>
            <w:tcW w:w="2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5.35%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6.40%</w:t>
            </w:r>
          </w:p>
        </w:tc>
        <w:tc>
          <w:tcPr>
            <w:tcW w:w="16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6.09%</w:t>
            </w:r>
          </w:p>
        </w:tc>
        <w:tc>
          <w:tcPr>
            <w:tcW w:w="2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Ratio of net investment income to average net assets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7.42%</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7.77%</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7.68%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6"/>
                <w:szCs w:val="16"/>
                <w:color w:val="auto"/>
              </w:rPr>
              <w:t>Net assets at end of period</w:t>
            </w: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375,906,828</w:t>
            </w:r>
          </w:p>
        </w:tc>
        <w:tc>
          <w:tcPr>
            <w:tcW w:w="36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372,890,449</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6"/>
              </w:rPr>
              <w:t>214,527,710</w:t>
            </w:r>
          </w:p>
        </w:tc>
        <w:tc>
          <w:tcPr>
            <w:tcW w:w="38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w w:val="96"/>
              </w:rPr>
              <w:t>210,066,394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95,743,877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debt outstanding</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140,218,095</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123,924,384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147,599,452</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71,678,836</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46,133,607</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line="230" w:lineRule="exact"/>
              <w:rPr>
                <w:sz w:val="20"/>
                <w:szCs w:val="20"/>
                <w:color w:val="auto"/>
              </w:rPr>
            </w:pPr>
            <w:r>
              <w:rPr>
                <w:rFonts w:ascii="Arial" w:cs="Arial" w:eastAsia="Arial" w:hAnsi="Arial"/>
                <w:sz w:val="16"/>
                <w:szCs w:val="16"/>
                <w:color w:val="auto"/>
              </w:rPr>
              <w:t xml:space="preserve">Weighted average debt per share </w:t>
            </w:r>
            <w:r>
              <w:rPr>
                <w:rFonts w:ascii="Arial" w:cs="Arial" w:eastAsia="Arial" w:hAnsi="Arial"/>
                <w:sz w:val="26"/>
                <w:szCs w:val="26"/>
                <w:color w:val="auto"/>
                <w:vertAlign w:val="superscript"/>
              </w:rPr>
              <w:t>(1)</w:t>
            </w: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2"/>
            <w:vMerge w:val="continue"/>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5.25</w:t>
            </w:r>
          </w:p>
        </w:tc>
        <w:tc>
          <w:tcPr>
            <w:tcW w:w="36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7.61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9.91</w:t>
            </w:r>
          </w:p>
        </w:tc>
        <w:tc>
          <w:tcPr>
            <w:tcW w:w="38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rPr>
              <w:t>7.48</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23"/>
                <w:szCs w:val="23"/>
                <w:color w:val="auto"/>
                <w:vertAlign w:val="superscript"/>
              </w:rPr>
              <w:t>(5)</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2,618</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13,598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2,460</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3,109</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2,275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6"/>
                <w:szCs w:val="16"/>
                <w:color w:val="auto"/>
              </w:rPr>
              <w:t>Portfolio turnover ratio</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32.16%</w:t>
            </w:r>
          </w:p>
        </w:tc>
        <w:tc>
          <w:tcPr>
            <w:tcW w:w="2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51.02%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62.74%</w:t>
            </w:r>
          </w:p>
        </w:tc>
        <w:tc>
          <w:tcPr>
            <w:tcW w:w="16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81.89%</w:t>
            </w:r>
          </w:p>
        </w:tc>
        <w:tc>
          <w:tcPr>
            <w:tcW w:w="2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50.68%</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65151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171" w:lineRule="exact"/>
        <w:rPr>
          <w:sz w:val="20"/>
          <w:szCs w:val="20"/>
          <w:color w:val="auto"/>
        </w:rPr>
      </w:pPr>
    </w:p>
    <w:p>
      <w:pPr>
        <w:ind w:left="1040" w:hanging="1032"/>
        <w:spacing w:after="0"/>
        <w:tabs>
          <w:tab w:leader="none" w:pos="1040" w:val="left"/>
        </w:tabs>
        <w:numPr>
          <w:ilvl w:val="0"/>
          <w:numId w:val="90"/>
        </w:numPr>
        <w:rPr>
          <w:rFonts w:ascii="Arial" w:cs="Arial" w:eastAsia="Arial" w:hAnsi="Arial"/>
          <w:sz w:val="28"/>
          <w:szCs w:val="28"/>
          <w:color w:val="auto"/>
          <w:vertAlign w:val="superscript"/>
        </w:rPr>
      </w:pPr>
      <w:r>
        <w:rPr>
          <w:rFonts w:ascii="Arial" w:cs="Arial" w:eastAsia="Arial" w:hAnsi="Arial"/>
          <w:sz w:val="16"/>
          <w:szCs w:val="16"/>
          <w:color w:val="auto"/>
        </w:rPr>
        <w:t>Based on the weighted average shares outstanding for the respective periods.</w:t>
      </w:r>
    </w:p>
    <w:p>
      <w:pPr>
        <w:spacing w:after="0" w:line="10" w:lineRule="exact"/>
        <w:rPr>
          <w:rFonts w:ascii="Arial" w:cs="Arial" w:eastAsia="Arial" w:hAnsi="Arial"/>
          <w:sz w:val="28"/>
          <w:szCs w:val="28"/>
          <w:color w:val="auto"/>
          <w:vertAlign w:val="superscript"/>
        </w:rPr>
      </w:pPr>
    </w:p>
    <w:p>
      <w:pPr>
        <w:ind w:left="1040" w:right="160" w:hanging="1032"/>
        <w:spacing w:after="0" w:line="187" w:lineRule="auto"/>
        <w:tabs>
          <w:tab w:leader="none" w:pos="1040" w:val="left"/>
        </w:tabs>
        <w:numPr>
          <w:ilvl w:val="0"/>
          <w:numId w:val="90"/>
        </w:numPr>
        <w:rPr>
          <w:rFonts w:ascii="Arial" w:cs="Arial" w:eastAsia="Arial" w:hAnsi="Arial"/>
          <w:sz w:val="28"/>
          <w:szCs w:val="28"/>
          <w:color w:val="auto"/>
          <w:vertAlign w:val="superscript"/>
        </w:rPr>
      </w:pPr>
      <w:r>
        <w:rPr>
          <w:rFonts w:ascii="Arial" w:cs="Arial" w:eastAsia="Arial" w:hAnsi="Arial"/>
          <w:sz w:val="16"/>
          <w:szCs w:val="16"/>
          <w:color w:val="auto"/>
        </w:rPr>
        <w:t>The tax status of distributions is calculated in accordance with income tax regulations, which may differ from amounts determined under GAAP, and reported on Form 1099-DIV each calendar year.</w:t>
      </w:r>
    </w:p>
    <w:p>
      <w:pPr>
        <w:ind w:left="1040" w:right="580" w:hanging="1032"/>
        <w:spacing w:after="0" w:line="192" w:lineRule="auto"/>
        <w:tabs>
          <w:tab w:leader="none" w:pos="1040" w:val="left"/>
        </w:tabs>
        <w:numPr>
          <w:ilvl w:val="0"/>
          <w:numId w:val="90"/>
        </w:numPr>
        <w:rPr>
          <w:rFonts w:ascii="Arial" w:cs="Arial" w:eastAsia="Arial" w:hAnsi="Arial"/>
          <w:sz w:val="28"/>
          <w:szCs w:val="28"/>
          <w:color w:val="auto"/>
          <w:vertAlign w:val="superscript"/>
        </w:rPr>
      </w:pPr>
      <w:r>
        <w:rPr>
          <w:rFonts w:ascii="Arial" w:cs="Arial" w:eastAsia="Arial" w:hAnsi="Arial"/>
          <w:sz w:val="16"/>
          <w:szCs w:val="16"/>
          <w:color w:val="auto"/>
        </w:rPr>
        <w:t>Based on the change in market price per share during the period and takes into account distributions, if any, reinvested in accordance with our dividend reinvestment plan.</w:t>
      </w:r>
    </w:p>
    <w:p>
      <w:pPr>
        <w:ind w:left="1040" w:hanging="1032"/>
        <w:spacing w:after="0" w:line="183" w:lineRule="auto"/>
        <w:tabs>
          <w:tab w:leader="none" w:pos="1040" w:val="left"/>
        </w:tabs>
        <w:numPr>
          <w:ilvl w:val="0"/>
          <w:numId w:val="90"/>
        </w:numPr>
        <w:rPr>
          <w:rFonts w:ascii="Arial" w:cs="Arial" w:eastAsia="Arial" w:hAnsi="Arial"/>
          <w:sz w:val="23"/>
          <w:szCs w:val="23"/>
          <w:color w:val="auto"/>
          <w:vertAlign w:val="superscript"/>
        </w:rPr>
      </w:pPr>
      <w:r>
        <w:rPr>
          <w:rFonts w:ascii="Arial" w:cs="Arial" w:eastAsia="Arial" w:hAnsi="Arial"/>
          <w:sz w:val="14"/>
          <w:szCs w:val="14"/>
          <w:color w:val="auto"/>
        </w:rPr>
        <w:t>Excludes Credit Facility related costs.</w:t>
      </w:r>
    </w:p>
    <w:p>
      <w:pPr>
        <w:spacing w:after="0" w:line="11" w:lineRule="exact"/>
        <w:rPr>
          <w:rFonts w:ascii="Arial" w:cs="Arial" w:eastAsia="Arial" w:hAnsi="Arial"/>
          <w:sz w:val="23"/>
          <w:szCs w:val="23"/>
          <w:color w:val="auto"/>
          <w:vertAlign w:val="superscript"/>
        </w:rPr>
      </w:pPr>
    </w:p>
    <w:p>
      <w:pPr>
        <w:ind w:left="1040" w:hanging="1032"/>
        <w:spacing w:after="0" w:line="207" w:lineRule="auto"/>
        <w:tabs>
          <w:tab w:leader="none" w:pos="1040" w:val="left"/>
        </w:tabs>
        <w:numPr>
          <w:ilvl w:val="0"/>
          <w:numId w:val="90"/>
        </w:numPr>
        <w:rPr>
          <w:rFonts w:ascii="Arial" w:cs="Arial" w:eastAsia="Arial" w:hAnsi="Arial"/>
          <w:sz w:val="28"/>
          <w:szCs w:val="28"/>
          <w:color w:val="auto"/>
          <w:vertAlign w:val="superscript"/>
        </w:rPr>
      </w:pPr>
      <w:r>
        <w:rPr>
          <w:rFonts w:ascii="Arial" w:cs="Arial" w:eastAsia="Arial" w:hAnsi="Arial"/>
          <w:sz w:val="16"/>
          <w:szCs w:val="16"/>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spacing w:after="0" w:line="2" w:lineRule="exact"/>
        <w:rPr>
          <w:rFonts w:ascii="Arial" w:cs="Arial" w:eastAsia="Arial" w:hAnsi="Arial"/>
          <w:sz w:val="28"/>
          <w:szCs w:val="28"/>
          <w:color w:val="auto"/>
          <w:vertAlign w:val="superscript"/>
        </w:rPr>
      </w:pPr>
    </w:p>
    <w:p>
      <w:pPr>
        <w:ind w:left="1040" w:hanging="1032"/>
        <w:spacing w:after="0" w:line="183" w:lineRule="auto"/>
        <w:tabs>
          <w:tab w:leader="none" w:pos="1040" w:val="left"/>
        </w:tabs>
        <w:numPr>
          <w:ilvl w:val="0"/>
          <w:numId w:val="90"/>
        </w:numPr>
        <w:rPr>
          <w:rFonts w:ascii="Arial" w:cs="Arial" w:eastAsia="Arial" w:hAnsi="Arial"/>
          <w:sz w:val="23"/>
          <w:szCs w:val="23"/>
          <w:color w:val="auto"/>
          <w:vertAlign w:val="superscript"/>
        </w:rPr>
      </w:pPr>
      <w:r>
        <w:rPr>
          <w:rFonts w:ascii="Arial" w:cs="Arial" w:eastAsia="Arial" w:hAnsi="Arial"/>
          <w:sz w:val="14"/>
          <w:szCs w:val="14"/>
          <w:color w:val="auto"/>
        </w:rPr>
        <w:t>Audited by predecessor auditors.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CREDIT FACILITY</w:t>
      </w:r>
    </w:p>
    <w:p>
      <w:pPr>
        <w:spacing w:after="0" w:line="189" w:lineRule="exact"/>
        <w:rPr>
          <w:sz w:val="20"/>
          <w:szCs w:val="20"/>
          <w:color w:val="auto"/>
        </w:rPr>
      </w:pPr>
    </w:p>
    <w:p>
      <w:pPr>
        <w:ind w:right="60" w:firstLine="685"/>
        <w:spacing w:after="0" w:line="255" w:lineRule="auto"/>
        <w:rPr>
          <w:sz w:val="20"/>
          <w:szCs w:val="20"/>
          <w:color w:val="auto"/>
        </w:rPr>
      </w:pPr>
      <w:r>
        <w:rPr>
          <w:rFonts w:ascii="Arial" w:cs="Arial" w:eastAsia="Arial" w:hAnsi="Arial"/>
          <w:sz w:val="18"/>
          <w:szCs w:val="18"/>
          <w:color w:val="auto"/>
        </w:rPr>
        <w:t>Funding I’s multi-currency Credit Facility with the Lenders was $350 million as of September 30, 2016, subject to satisfaction of certain conditions and the regulatory restrictions that the 1940 Act imposes on us as a BDC, has an interest rate spread above LIBOR of 200 basis points, a maturity date of August 2020 and a revolving period that ends in August 2018. As of September 30, 2016 and 2015, Funding I had $232.9 million and $29.6 million of outstanding borrowings under the Credit Facility, respectively. The Credit Facility had a weighted average interest rate of 2.57% and 2.20%, excluding the undrawn commitment fees of 0.375% and 0.75%, as of September 30, 2016 and 2015, respectively. The annualized weighted average cost of debt for the years ended September 30, 2016, 2015 and 2014, inclusive of the fee on the undrawn commitment on the Credit Facility but excluding amendment costs, was 3.51%, 2.62% and 2.35%, respectively.</w:t>
      </w:r>
    </w:p>
    <w:p>
      <w:pPr>
        <w:spacing w:after="0" w:line="149" w:lineRule="exact"/>
        <w:rPr>
          <w:sz w:val="20"/>
          <w:szCs w:val="20"/>
          <w:color w:val="auto"/>
        </w:rPr>
      </w:pPr>
    </w:p>
    <w:p>
      <w:pPr>
        <w:ind w:right="40" w:firstLine="685"/>
        <w:spacing w:after="0" w:line="259" w:lineRule="auto"/>
        <w:rPr>
          <w:sz w:val="20"/>
          <w:szCs w:val="20"/>
          <w:color w:val="auto"/>
        </w:rPr>
      </w:pPr>
      <w:r>
        <w:rPr>
          <w:rFonts w:ascii="Arial" w:cs="Arial" w:eastAsia="Arial" w:hAnsi="Arial"/>
          <w:sz w:val="18"/>
          <w:szCs w:val="18"/>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60" w:lineRule="exact"/>
        <w:rPr>
          <w:sz w:val="20"/>
          <w:szCs w:val="20"/>
          <w:color w:val="auto"/>
        </w:rPr>
      </w:pPr>
    </w:p>
    <w:p>
      <w:pPr>
        <w:ind w:right="40" w:firstLine="685"/>
        <w:spacing w:after="0" w:line="297" w:lineRule="auto"/>
        <w:rPr>
          <w:sz w:val="20"/>
          <w:szCs w:val="20"/>
          <w:color w:val="auto"/>
        </w:rPr>
      </w:pPr>
      <w:r>
        <w:rPr>
          <w:rFonts w:ascii="Arial" w:cs="Arial" w:eastAsia="Arial" w:hAnsi="Arial"/>
          <w:sz w:val="16"/>
          <w:szCs w:val="16"/>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September 30, 2016, we were in compliance with the covenants relating to our Credit Facility.</w:t>
      </w:r>
    </w:p>
    <w:p>
      <w:pPr>
        <w:spacing w:after="0" w:line="118" w:lineRule="exact"/>
        <w:rPr>
          <w:sz w:val="20"/>
          <w:szCs w:val="20"/>
          <w:color w:val="auto"/>
        </w:rPr>
      </w:pPr>
    </w:p>
    <w:p>
      <w:pPr>
        <w:jc w:val="both"/>
        <w:ind w:right="300" w:firstLine="685"/>
        <w:spacing w:after="0" w:line="264" w:lineRule="auto"/>
        <w:rPr>
          <w:sz w:val="20"/>
          <w:szCs w:val="20"/>
          <w:color w:val="auto"/>
        </w:rPr>
      </w:pPr>
      <w:r>
        <w:rPr>
          <w:rFonts w:ascii="Arial" w:cs="Arial" w:eastAsia="Arial" w:hAnsi="Arial"/>
          <w:sz w:val="18"/>
          <w:szCs w:val="18"/>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41" w:lineRule="exact"/>
        <w:rPr>
          <w:sz w:val="20"/>
          <w:szCs w:val="20"/>
          <w:color w:val="auto"/>
        </w:rPr>
      </w:pPr>
    </w:p>
    <w:p>
      <w:pPr>
        <w:ind w:right="20" w:firstLine="685"/>
        <w:spacing w:after="0" w:line="257" w:lineRule="auto"/>
        <w:rPr>
          <w:sz w:val="20"/>
          <w:szCs w:val="20"/>
          <w:color w:val="auto"/>
        </w:rPr>
      </w:pPr>
      <w:r>
        <w:rPr>
          <w:rFonts w:ascii="Arial" w:cs="Arial" w:eastAsia="Arial" w:hAnsi="Arial"/>
          <w:sz w:val="18"/>
          <w:szCs w:val="18"/>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89" w:lineRule="exact"/>
        <w:rPr>
          <w:sz w:val="20"/>
          <w:szCs w:val="20"/>
          <w:color w:val="auto"/>
        </w:rPr>
      </w:pPr>
    </w:p>
    <w:p>
      <w:pPr>
        <w:ind w:right="220" w:firstLine="685"/>
        <w:spacing w:after="0" w:line="257" w:lineRule="auto"/>
        <w:rPr>
          <w:sz w:val="20"/>
          <w:szCs w:val="20"/>
          <w:color w:val="auto"/>
        </w:rPr>
      </w:pPr>
      <w:r>
        <w:rPr>
          <w:rFonts w:ascii="Arial" w:cs="Arial" w:eastAsia="Arial" w:hAnsi="Arial"/>
          <w:sz w:val="18"/>
          <w:szCs w:val="18"/>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if any, are disclosed in the Consolidated Schedules of Investments. As of September 30, 2016 and 2015, we had $20.0 million and $4.8 million, respectively, in commitments to fund investments.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00" w:right="270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ACQUISITION OF MCG CAPITAL CORPORTION</w:t>
      </w:r>
    </w:p>
    <w:p>
      <w:pPr>
        <w:spacing w:after="0" w:line="202" w:lineRule="exact"/>
        <w:rPr>
          <w:sz w:val="20"/>
          <w:szCs w:val="20"/>
          <w:color w:val="auto"/>
        </w:rPr>
      </w:pPr>
    </w:p>
    <w:p>
      <w:pPr>
        <w:ind w:firstLine="685"/>
        <w:spacing w:after="0" w:line="277" w:lineRule="auto"/>
        <w:rPr>
          <w:sz w:val="20"/>
          <w:szCs w:val="20"/>
          <w:color w:val="auto"/>
        </w:rPr>
      </w:pPr>
      <w:r>
        <w:rPr>
          <w:rFonts w:ascii="Arial" w:cs="Arial" w:eastAsia="Arial" w:hAnsi="Arial"/>
          <w:sz w:val="18"/>
          <w:szCs w:val="18"/>
          <w:color w:val="auto"/>
        </w:rPr>
        <w:t>We entered into the Merger Agreement with MCG on April 28, 2015 to improve our scale to be more important to borrowers, to increase our market capitalization, to reduce our expense ratio and to increase diversification.</w:t>
      </w:r>
    </w:p>
    <w:p>
      <w:pPr>
        <w:spacing w:after="0" w:line="130" w:lineRule="exact"/>
        <w:rPr>
          <w:sz w:val="20"/>
          <w:szCs w:val="20"/>
          <w:color w:val="auto"/>
        </w:rPr>
      </w:pPr>
    </w:p>
    <w:p>
      <w:pPr>
        <w:ind w:right="160" w:firstLine="685"/>
        <w:spacing w:after="0" w:line="271" w:lineRule="auto"/>
        <w:rPr>
          <w:sz w:val="20"/>
          <w:szCs w:val="20"/>
          <w:color w:val="auto"/>
        </w:rPr>
      </w:pPr>
      <w:r>
        <w:rPr>
          <w:rFonts w:ascii="Arial" w:cs="Arial" w:eastAsia="Arial" w:hAnsi="Arial"/>
          <w:sz w:val="17"/>
          <w:szCs w:val="17"/>
          <w:color w:val="auto"/>
        </w:rPr>
        <w:t>In August 2015, we completed the acquisition of MCG whereby we acquired 100% of the net assets of MCG, approximately $166.9 million consisting of primarily cash. In accordance with the terms of the Merger Agreement, each outstanding share of MCG common stock (including shares of restricted stock) was converted into the right to receive (i) 0.32044 shares of our common stock (with MCG stockholders receiving cash in lieu of fractional shares of our common stock), and (ii) $0.30595 per share in cash. Pursuant to the Merger Agreement, we issued an aggregate of approximately 11.8 million shares of our common stock to former MCG stockholders, and our Investment Adviser made an aggregate cash payment of approximately $11.3 million to former MCG stockholders. The cash payment of approximately $11.3 million by our Investment Adviser is not subject to any reimbursement arrangement and is therefore not reflected in our consolidated financial statements. We incurred transaction costs of $2.3 million, of which $2.2 million relating to our share issuance were charged to paid in capital and $0.1 million was expensed.</w:t>
      </w:r>
    </w:p>
    <w:p>
      <w:pPr>
        <w:spacing w:after="0" w:line="138" w:lineRule="exact"/>
        <w:rPr>
          <w:sz w:val="20"/>
          <w:szCs w:val="20"/>
          <w:color w:val="auto"/>
        </w:rPr>
      </w:pPr>
    </w:p>
    <w:p>
      <w:pPr>
        <w:ind w:firstLine="685"/>
        <w:spacing w:after="0" w:line="288" w:lineRule="auto"/>
        <w:rPr>
          <w:sz w:val="20"/>
          <w:szCs w:val="20"/>
          <w:color w:val="auto"/>
        </w:rPr>
      </w:pPr>
      <w:r>
        <w:rPr>
          <w:rFonts w:ascii="Arial" w:cs="Arial" w:eastAsia="Arial" w:hAnsi="Arial"/>
          <w:sz w:val="16"/>
          <w:szCs w:val="16"/>
          <w:color w:val="auto"/>
        </w:rPr>
        <w:t>We accounted for the merger with MCG under the asset acquisition method of accounting in accordance with ASC 805-50, Business Combinations —Related Issues. Under asset acquisition accounting, acquiring assets in groups requires ascertaining the cost of the net assets, as well as, allocating that cost to the individual assets and liabilities comprising the group. Under ASC 805-50-30-1, assets are recognized based on their cost to the acquiring entity, which generally includes transaction costs of the asset acquisition, and no gain or loss is recognized unless the fair value of noncash assets given as consideration differs from the assets’ carrying amounts on the acquiring entity’s records. Furthermore, ASC 805-50-30-2 provides that if the consideration given is not in the form of cash (for example, in the form of equity interests issued), measurement is based on the cost to the acquiring entity or the fair value of the net assets acquired, whichever is more clearly evident and, thus, more reliably measured. Since the acquired net assets were principally comprised of cash, we used the net assets acquired to measure the value of the common stock issued. Finally, ASC 805-50-30-3 provides that the cost of the group of assets acquired in an asset acquisition is allocated to the individual assets acquired or liabilities assumed based on their relative fair values of net identifiable assets acquired other than “non-qualifying” assets (for example, cash) and does not give rise to goodwill.</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sectPr>
      <w:pgSz w:w="11900" w:h="16838" w:orient="portrait"/>
      <w:cols w:equalWidth="0" w:num="1">
        <w:col w:w="11380"/>
      </w:cols>
      <w:pgMar w:left="240" w:top="45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decimal"/>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1)"/>
      <w:numFmt w:val="decimal"/>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1."/>
      <w:numFmt w:val="decimal"/>
      <w:start w:val="820"/>
    </w:lvl>
  </w:abstractNum>
  <w:abstractNum w:abstractNumId="7">
    <w:nsid w:val="684A481A"/>
    <w:multiLevelType w:val="hybridMultilevel"/>
    <w:lvl w:ilvl="0">
      <w:lvlJc w:val="left"/>
      <w:lvlText w:val="%1."/>
      <w:numFmt w:val="decimal"/>
      <w:start w:val="1"/>
    </w:lvl>
  </w:abstractNum>
  <w:abstractNum w:abstractNumId="8">
    <w:nsid w:val="579478FE"/>
    <w:multiLevelType w:val="hybridMultilevel"/>
    <w:lvl w:ilvl="0">
      <w:lvlJc w:val="left"/>
      <w:lvlText w:val="%1."/>
      <w:numFmt w:val="decimal"/>
      <w:start w:val="2"/>
    </w:lvl>
  </w:abstractNum>
  <w:abstractNum w:abstractNumId="9">
    <w:nsid w:val="749ABB43"/>
    <w:multiLevelType w:val="hybridMultilevel"/>
    <w:lvl w:ilvl="0">
      <w:lvlJc w:val="left"/>
      <w:lvlText w:val="%1."/>
      <w:numFmt w:val="decimal"/>
      <w:start w:val="4"/>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1)"/>
      <w:numFmt w:val="decimal"/>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1)"/>
      <w:numFmt w:val="decimal"/>
      <w:start w:val="1"/>
    </w:lvl>
  </w:abstractNum>
  <w:abstractNum w:abstractNumId="19">
    <w:nsid w:val="23F9C13C"/>
    <w:multiLevelType w:val="hybridMultilevel"/>
    <w:lvl w:ilvl="0">
      <w:lvlJc w:val="left"/>
      <w:lvlText w:val="(%1)"/>
      <w:numFmt w:val="decimal"/>
      <w:start w:val="1"/>
    </w:lvl>
  </w:abstractNum>
  <w:abstractNum w:abstractNumId="20">
    <w:nsid w:val="649BB77C"/>
    <w:multiLevelType w:val="hybridMultilevel"/>
    <w:lvl w:ilvl="0">
      <w:lvlJc w:val="left"/>
      <w:lvlText w:val="(%1)"/>
      <w:numFmt w:val="decimal"/>
      <w:start w:val="5"/>
    </w:lvl>
  </w:abstractNum>
  <w:abstractNum w:abstractNumId="21">
    <w:nsid w:val="275AC794"/>
    <w:multiLevelType w:val="hybridMultilevel"/>
    <w:lvl w:ilvl="0">
      <w:lvlJc w:val="left"/>
      <w:lvlText w:val="%1."/>
      <w:numFmt w:val="decimal"/>
      <w:start w:val="1"/>
    </w:lvl>
  </w:abstractNum>
  <w:abstractNum w:abstractNumId="22">
    <w:nsid w:val="39386575"/>
    <w:multiLevelType w:val="hybridMultilevel"/>
    <w:lvl w:ilvl="0">
      <w:lvlJc w:val="left"/>
      <w:lvlText w:val="(%1)"/>
      <w:numFmt w:val="decimal"/>
      <w:start w:val="1"/>
    </w:lvl>
  </w:abstractNum>
  <w:abstractNum w:abstractNumId="23">
    <w:nsid w:val="1CF10FD8"/>
    <w:multiLevelType w:val="hybridMultilevel"/>
    <w:lvl w:ilvl="0">
      <w:lvlJc w:val="left"/>
      <w:lvlText w:val="(%1)"/>
      <w:numFmt w:val="decimal"/>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1)"/>
      <w:numFmt w:val="decimal"/>
      <w:start w:val="2"/>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1)"/>
      <w:numFmt w:val="lowerLetter"/>
      <w:start w:val="2"/>
    </w:lvl>
    <w:lvl w:ilvl="1">
      <w:lvlJc w:val="left"/>
      <w:lvlText w:val="•"/>
      <w:numFmt w:val="bullet"/>
      <w:start w:val="1"/>
    </w:lvl>
  </w:abstractNum>
  <w:abstractNum w:abstractNumId="29">
    <w:nsid w:val="741226BB"/>
    <w:multiLevelType w:val="hybridMultilevel"/>
    <w:lvl w:ilvl="0">
      <w:lvlJc w:val="left"/>
      <w:lvlText w:val="%1)"/>
      <w:numFmt w:val="lowerLetter"/>
      <w:start w:val="1"/>
    </w:lvl>
  </w:abstractNum>
  <w:abstractNum w:abstractNumId="30">
    <w:nsid w:val="D34B6A8"/>
    <w:multiLevelType w:val="hybridMultilevel"/>
    <w:lvl w:ilvl="0">
      <w:lvlJc w:val="left"/>
      <w:lvlText w:val="%1)"/>
      <w:numFmt w:val="lowerLetter"/>
      <w:start w:val="2"/>
    </w:lvl>
  </w:abstractNum>
  <w:abstractNum w:abstractNumId="31">
    <w:nsid w:val="10233C99"/>
    <w:multiLevelType w:val="hybridMultilevel"/>
    <w:lvl w:ilvl="0">
      <w:lvlJc w:val="left"/>
      <w:lvlText w:val="%1)"/>
      <w:numFmt w:val="lowerLetter"/>
      <w:start w:val="3"/>
    </w:lvl>
  </w:abstractNum>
  <w:abstractNum w:abstractNumId="32">
    <w:nsid w:val="3F6AB60F"/>
    <w:multiLevelType w:val="hybridMultilevel"/>
    <w:lvl w:ilvl="0">
      <w:lvlJc w:val="left"/>
      <w:lvlText w:val="%1)"/>
      <w:numFmt w:val="lowerLetter"/>
      <w:start w:val="4"/>
    </w:lvl>
  </w:abstractNum>
  <w:abstractNum w:abstractNumId="33">
    <w:nsid w:val="61574095"/>
    <w:multiLevelType w:val="hybridMultilevel"/>
    <w:lvl w:ilvl="0">
      <w:lvlJc w:val="left"/>
      <w:lvlText w:val="%1)"/>
      <w:numFmt w:val="lowerLetter"/>
      <w:start w:val="5"/>
    </w:lvl>
  </w:abstractNum>
  <w:abstractNum w:abstractNumId="34">
    <w:nsid w:val="7E0C57B1"/>
    <w:multiLevelType w:val="hybridMultilevel"/>
    <w:lvl w:ilvl="0">
      <w:lvlJc w:val="left"/>
      <w:lvlText w:val="%1)"/>
      <w:numFmt w:val="lowerLetter"/>
      <w:start w:val="6"/>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1)"/>
      <w:numFmt w:val="decimal"/>
      <w:start w:val="1"/>
    </w:lvl>
  </w:abstractNum>
  <w:abstractNum w:abstractNumId="39">
    <w:nsid w:val="2F305DEF"/>
    <w:multiLevelType w:val="hybridMultilevel"/>
    <w:lvl w:ilvl="0">
      <w:lvlJc w:val="left"/>
      <w:lvlText w:val="(%1)"/>
      <w:numFmt w:val="decimal"/>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1)"/>
      <w:numFmt w:val="decimal"/>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1)"/>
      <w:numFmt w:val="decimal"/>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1)"/>
      <w:numFmt w:val="decimal"/>
      <w:start w:val="1"/>
    </w:lvl>
  </w:abstractNum>
  <w:abstractNum w:abstractNumId="49">
    <w:nsid w:val="5F5E7FD0"/>
    <w:multiLevelType w:val="hybridMultilevel"/>
    <w:lvl w:ilvl="0">
      <w:lvlJc w:val="left"/>
      <w:lvlText w:val="(%1)"/>
      <w:numFmt w:val="decimal"/>
      <w:start w:val="1"/>
    </w:lvl>
  </w:abstractNum>
  <w:abstractNum w:abstractNumId="50">
    <w:nsid w:val="98A3148"/>
    <w:multiLevelType w:val="hybridMultilevel"/>
    <w:lvl w:ilvl="0">
      <w:lvlJc w:val="left"/>
      <w:lvlText w:val="(%1)"/>
      <w:numFmt w:val="decimal"/>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1)"/>
      <w:numFmt w:val="lowerLetter"/>
      <w:start w:val="2"/>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
      <w:numFmt w:val="bullet"/>
      <w:start w:val="1"/>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
      <w:numFmt w:val="bullet"/>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
      <w:numFmt w:val="bullet"/>
      <w:start w:val="1"/>
    </w:lvl>
  </w:abstractNum>
  <w:abstractNum w:abstractNumId="70">
    <w:nsid w:val="4962813B"/>
    <w:multiLevelType w:val="hybridMultilevel"/>
    <w:lvl w:ilvl="0">
      <w:lvlJc w:val="left"/>
      <w:lvlText w:val="•"/>
      <w:numFmt w:val="bullet"/>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
      <w:numFmt w:val="bullet"/>
      <w:start w:val="1"/>
    </w:lvl>
  </w:abstractNum>
  <w:abstractNum w:abstractNumId="75">
    <w:nsid w:val="1A27709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6">
    <w:nsid w:val="71EA1109"/>
    <w:multiLevelType w:val="hybridMultilevel"/>
    <w:lvl w:ilvl="0">
      <w:lvlJc w:val="left"/>
      <w:lvlText w:val="(%1)"/>
      <w:numFmt w:val="decimal"/>
      <w:start w:val="2"/>
    </w:lvl>
  </w:abstractNum>
  <w:abstractNum w:abstractNumId="77">
    <w:nsid w:val="100F59DC"/>
    <w:multiLevelType w:val="hybridMultilevel"/>
    <w:lvl w:ilvl="0">
      <w:lvlJc w:val="left"/>
      <w:lvlText w:val="•"/>
      <w:numFmt w:val="bullet"/>
      <w:start w:val="1"/>
    </w:lvl>
  </w:abstractNum>
  <w:abstractNum w:abstractNumId="78">
    <w:nsid w:val="7FB7E0AA"/>
    <w:multiLevelType w:val="hybridMultilevel"/>
    <w:lvl w:ilvl="0">
      <w:lvlJc w:val="left"/>
      <w:lvlText w:val="•"/>
      <w:numFmt w:val="bullet"/>
      <w:start w:val="1"/>
    </w:lvl>
  </w:abstractNum>
  <w:abstractNum w:abstractNumId="79">
    <w:nsid w:val="6EB5BD4"/>
    <w:multiLevelType w:val="hybridMultilevel"/>
    <w:lvl w:ilvl="0">
      <w:lvlJc w:val="left"/>
      <w:lvlText w:val="•"/>
      <w:numFmt w:val="bullet"/>
      <w:start w:val="1"/>
    </w:lvl>
    <w:lvl w:ilvl="1">
      <w:lvlJc w:val="left"/>
      <w:lvlText w:val="%2)"/>
      <w:numFmt w:val="decimal"/>
      <w:start w:val="1"/>
    </w:lvl>
  </w:abstractNum>
  <w:abstractNum w:abstractNumId="80">
    <w:nsid w:val="6F6DD9AC"/>
    <w:multiLevelType w:val="hybridMultilevel"/>
    <w:lvl w:ilvl="0">
      <w:lvlJc w:val="left"/>
      <w:lvlText w:val="(%1)"/>
      <w:numFmt w:val="decimal"/>
      <w:start w:val="1"/>
    </w:lvl>
  </w:abstractNum>
  <w:abstractNum w:abstractNumId="81">
    <w:nsid w:val="94211F2"/>
    <w:multiLevelType w:val="hybridMultilevel"/>
    <w:lvl w:ilvl="0">
      <w:lvlJc w:val="left"/>
      <w:lvlText w:val="(%1)"/>
      <w:numFmt w:val="decimal"/>
      <w:start w:val="1"/>
    </w:lvl>
  </w:abstractNum>
  <w:abstractNum w:abstractNumId="82">
    <w:nsid w:val="885E1B"/>
    <w:multiLevelType w:val="hybridMultilevel"/>
    <w:lvl w:ilvl="0">
      <w:lvlJc w:val="left"/>
      <w:lvlText w:val="•"/>
      <w:numFmt w:val="bullet"/>
      <w:start w:val="1"/>
    </w:lvl>
  </w:abstractNum>
  <w:abstractNum w:abstractNumId="83">
    <w:nsid w:val="76272110"/>
    <w:multiLevelType w:val="hybridMultilevel"/>
    <w:lvl w:ilvl="0">
      <w:lvlJc w:val="left"/>
      <w:lvlText w:val="(%1)"/>
      <w:numFmt w:val="decimal"/>
      <w:start w:val="1"/>
    </w:lvl>
  </w:abstractNum>
  <w:abstractNum w:abstractNumId="84">
    <w:nsid w:val="4C04A8AF"/>
    <w:multiLevelType w:val="hybridMultilevel"/>
    <w:lvl w:ilvl="0">
      <w:lvlJc w:val="left"/>
      <w:lvlText w:val="(%1)"/>
      <w:numFmt w:val="decimal"/>
      <w:start w:val="1"/>
    </w:lvl>
  </w:abstractNum>
  <w:abstractNum w:abstractNumId="85">
    <w:nsid w:val="1716703B"/>
    <w:multiLevelType w:val="hybridMultilevel"/>
    <w:lvl w:ilvl="0">
      <w:lvlJc w:val="left"/>
      <w:lvlText w:val="(%1)"/>
      <w:numFmt w:val="decimal"/>
      <w:start w:val="1"/>
    </w:lvl>
  </w:abstractNum>
  <w:abstractNum w:abstractNumId="86">
    <w:nsid w:val="14E17E33"/>
    <w:multiLevelType w:val="hybridMultilevel"/>
    <w:lvl w:ilvl="0">
      <w:lvlJc w:val="left"/>
      <w:lvlText w:val="%1."/>
      <w:numFmt w:val="decimal"/>
      <w:start w:val="1"/>
    </w:lvl>
  </w:abstractNum>
  <w:abstractNum w:abstractNumId="87">
    <w:nsid w:val="3222E7CD"/>
    <w:multiLevelType w:val="hybridMultilevel"/>
    <w:lvl w:ilvl="0">
      <w:lvlJc w:val="left"/>
      <w:lvlText w:val="(%1)"/>
      <w:numFmt w:val="decimal"/>
      <w:start w:val="1"/>
    </w:lvl>
  </w:abstractNum>
  <w:abstractNum w:abstractNumId="88">
    <w:nsid w:val="74DE0EE3"/>
    <w:multiLevelType w:val="hybridMultilevel"/>
    <w:lvl w:ilvl="0">
      <w:lvlJc w:val="left"/>
      <w:lvlText w:val="(%1)"/>
      <w:numFmt w:val="decimal"/>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2019-12-07T14:18:36Z</dcterms:created>
  <dcterms:modified xsi:type="dcterms:W3CDTF">2019-12-07T14:18:36Z</dcterms:modified>
</cp:coreProperties>
</file>