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177165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15, 2025</w:t>
      </w:r>
    </w:p>
    <w:p>
      <w:pPr>
        <w:spacing w:after="0" w:line="2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225" w:right="41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620" w:space="720"/>
            <w:col w:w="3180"/>
          </w:cols>
          <w:pgMar w:left="320" w:top="225" w:right="419" w:bottom="1440" w:gutter="0" w:footer="0" w:header="0"/>
          <w:type w:val="continuous"/>
        </w:sectPr>
      </w:pPr>
    </w:p>
    <w:p>
      <w:pPr>
        <w:spacing w:after="0" w:line="3"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33319</w:t>
      </w:r>
    </w:p>
    <w:p>
      <w:pPr>
        <w:spacing w:after="0" w:line="31"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020"/>
          </w:cols>
          <w:pgMar w:left="320" w:top="225" w:right="419" w:bottom="1440" w:gutter="0" w:footer="0" w:header="0"/>
          <w:type w:val="continuous"/>
        </w:sectPr>
      </w:pP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80" w:firstLine="8"/>
        <w:spacing w:after="0" w:line="498" w:lineRule="auto"/>
        <w:tabs>
          <w:tab w:leader="none" w:pos="3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60"/>
          </w:cols>
          <w:pgMar w:left="320" w:top="225" w:right="419" w:bottom="1440" w:gutter="0" w:footer="0" w:header="0"/>
          <w:type w:val="continuous"/>
        </w:sectPr>
      </w:pPr>
    </w:p>
    <w:p>
      <w:pPr>
        <w:spacing w:after="0" w:line="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980" w:space="720"/>
            <w:col w:w="3540"/>
          </w:cols>
          <w:pgMar w:left="320" w:top="225" w:right="419" w:bottom="1440" w:gutter="0" w:footer="0" w:header="0"/>
          <w:type w:val="continuous"/>
        </w:sectPr>
      </w:pPr>
    </w:p>
    <w:p>
      <w:pPr>
        <w:spacing w:after="0" w:line="7"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April 15, 2025, Frank Galea resigned as Chief Compliance Officer of PennantPark Floating Rate Capital Ltd. (the “Company”). In connection with Mr. Galea’s resignation, there were no disagreements with the Company, known to an executive officer of the Company, on any matter relating to the Company’s operations, policies or practices.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April 15, 2025, the board of directors of the Company appointed Gerald Cummins to replace Mr. Galea as the Company’s Chief Compliance Officer. Mr. Cummins, age 70, has been an employee of ACA Group since 2022, and previously served as a director of Alaric Compliance Services, LLC from 2014 to 2022. Mr. Cummins received a B.A. from Fordham University in 1983.</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Cummins was not appointed as the Company’s Chief Compliance Officer pursuant to any arrangement or understanding with any other person and does not have a family relationship with any of the Company’s trustees or executive officers.</w:t>
      </w:r>
    </w:p>
    <w:p>
      <w:pPr>
        <w:spacing w:after="0" w:line="374" w:lineRule="exact"/>
        <w:rPr>
          <w:sz w:val="20"/>
          <w:szCs w:val="20"/>
          <w:color w:val="auto"/>
        </w:rPr>
      </w:pPr>
    </w:p>
    <w:p>
      <w:pPr>
        <w:ind w:left="60"/>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17, 2025</w:t>
      </w:r>
      <w:r>
        <w:rPr>
          <w:sz w:val="20"/>
          <w:szCs w:val="20"/>
          <w:color w:val="auto"/>
        </w:rPr>
        <w:tab/>
      </w:r>
      <w:r>
        <w:rPr>
          <w:rFonts w:ascii="Times New Roman" w:cs="Times New Roman" w:eastAsia="Times New Roman" w:hAnsi="Times New Roman"/>
          <w:sz w:val="17"/>
          <w:szCs w:val="17"/>
          <w:b w:val="1"/>
          <w:bCs w:val="1"/>
          <w:color w:val="auto"/>
        </w:rPr>
        <w:t>PENNANTPARK FLOATING RATE CAPITAL LTD.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Arthur Penn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Chief Executive Officer</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2025-04-17T15:20:00Z</dcterms:created>
  <dcterms:modified xsi:type="dcterms:W3CDTF">2025-04-17T15:20:00Z</dcterms:modified>
</cp:coreProperties>
</file>